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42" w:rsidRPr="00F3108B" w:rsidRDefault="000E3042" w:rsidP="00645DBE">
      <w:pPr>
        <w:pStyle w:val="Header"/>
        <w:jc w:val="center"/>
        <w:rPr>
          <w:b/>
          <w:sz w:val="24"/>
          <w:szCs w:val="24"/>
        </w:rPr>
      </w:pPr>
      <w:r w:rsidRPr="00F3108B">
        <w:rPr>
          <w:b/>
          <w:sz w:val="24"/>
          <w:szCs w:val="24"/>
        </w:rPr>
        <w:t>Government of Romania</w:t>
      </w:r>
    </w:p>
    <w:p w:rsidR="000E3042" w:rsidRPr="00F3108B" w:rsidRDefault="000E3042" w:rsidP="00645DBE">
      <w:pPr>
        <w:pStyle w:val="Header"/>
        <w:jc w:val="center"/>
        <w:rPr>
          <w:b/>
          <w:sz w:val="24"/>
          <w:szCs w:val="24"/>
        </w:rPr>
      </w:pPr>
      <w:r w:rsidRPr="00F3108B">
        <w:rPr>
          <w:b/>
          <w:sz w:val="24"/>
          <w:szCs w:val="24"/>
        </w:rPr>
        <w:t>Ministry of Environment and Climate Change</w:t>
      </w:r>
    </w:p>
    <w:p w:rsidR="000E3042" w:rsidRDefault="000E3042" w:rsidP="00F3108B">
      <w:pPr>
        <w:jc w:val="both"/>
        <w:rPr>
          <w:b/>
          <w:sz w:val="24"/>
          <w:szCs w:val="24"/>
          <w:lang w:val="en-GB"/>
        </w:rPr>
      </w:pPr>
    </w:p>
    <w:p w:rsidR="000E3042" w:rsidRDefault="000E3042" w:rsidP="00F3108B">
      <w:pPr>
        <w:jc w:val="both"/>
        <w:rPr>
          <w:b/>
          <w:sz w:val="24"/>
          <w:szCs w:val="24"/>
          <w:lang w:val="en-GB"/>
        </w:rPr>
      </w:pPr>
    </w:p>
    <w:p w:rsidR="000E3042" w:rsidRPr="00F3108B" w:rsidRDefault="000E3042" w:rsidP="00F3108B">
      <w:pPr>
        <w:jc w:val="both"/>
        <w:rPr>
          <w:b/>
          <w:sz w:val="24"/>
          <w:szCs w:val="24"/>
          <w:lang w:val="en-GB"/>
        </w:rPr>
      </w:pPr>
      <w:r w:rsidRPr="00F3108B">
        <w:rPr>
          <w:b/>
          <w:sz w:val="24"/>
          <w:szCs w:val="24"/>
          <w:lang w:val="en-GB"/>
        </w:rPr>
        <w:t>Secretary of State Office</w:t>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t>No. 21868/ED/17.05.2013</w:t>
      </w:r>
    </w:p>
    <w:p w:rsidR="000E3042" w:rsidRPr="00F3108B" w:rsidRDefault="000E3042" w:rsidP="00F3108B">
      <w:pPr>
        <w:jc w:val="both"/>
        <w:rPr>
          <w:sz w:val="24"/>
          <w:szCs w:val="24"/>
          <w:lang w:val="en-GB"/>
        </w:rPr>
      </w:pPr>
      <w:r w:rsidRPr="00645DBE">
        <w:rPr>
          <w:b/>
          <w:sz w:val="24"/>
          <w:szCs w:val="24"/>
          <w:lang w:val="en-GB"/>
        </w:rPr>
        <w:t>To:</w:t>
      </w:r>
      <w:r w:rsidRPr="00F3108B">
        <w:rPr>
          <w:sz w:val="24"/>
          <w:szCs w:val="24"/>
          <w:lang w:val="en-GB"/>
        </w:rPr>
        <w:t xml:space="preserve"> </w:t>
      </w:r>
      <w:r w:rsidRPr="00F3108B">
        <w:rPr>
          <w:sz w:val="24"/>
          <w:szCs w:val="24"/>
          <w:lang w:val="en-GB"/>
        </w:rPr>
        <w:tab/>
      </w:r>
      <w:r w:rsidRPr="00F3108B">
        <w:rPr>
          <w:sz w:val="24"/>
          <w:szCs w:val="24"/>
          <w:lang w:val="en-GB"/>
        </w:rPr>
        <w:tab/>
      </w:r>
      <w:r>
        <w:rPr>
          <w:sz w:val="24"/>
          <w:szCs w:val="24"/>
          <w:lang w:val="en-GB"/>
        </w:rPr>
        <w:t>Greenp</w:t>
      </w:r>
      <w:r w:rsidRPr="00F3108B">
        <w:rPr>
          <w:sz w:val="24"/>
          <w:szCs w:val="24"/>
          <w:lang w:val="en-GB"/>
        </w:rPr>
        <w:t>eace CEE Romania</w:t>
      </w:r>
    </w:p>
    <w:p w:rsidR="000E3042" w:rsidRPr="00F3108B" w:rsidRDefault="000E3042" w:rsidP="00F3108B">
      <w:pPr>
        <w:jc w:val="both"/>
        <w:rPr>
          <w:sz w:val="24"/>
          <w:szCs w:val="24"/>
          <w:lang w:val="en-GB"/>
        </w:rPr>
      </w:pPr>
      <w:r w:rsidRPr="00645DBE">
        <w:rPr>
          <w:b/>
          <w:sz w:val="24"/>
          <w:szCs w:val="24"/>
          <w:lang w:val="en-GB"/>
        </w:rPr>
        <w:t>Care of</w:t>
      </w:r>
      <w:r w:rsidRPr="00645DBE">
        <w:rPr>
          <w:b/>
          <w:sz w:val="24"/>
          <w:szCs w:val="24"/>
          <w:lang w:val="en-GB"/>
        </w:rPr>
        <w:tab/>
      </w:r>
      <w:r w:rsidRPr="00F3108B">
        <w:rPr>
          <w:sz w:val="24"/>
          <w:szCs w:val="24"/>
          <w:lang w:val="en-GB"/>
        </w:rPr>
        <w:tab/>
        <w:t>Mrs. Crisanta Lungu</w:t>
      </w:r>
    </w:p>
    <w:p w:rsidR="000E3042" w:rsidRPr="00F3108B" w:rsidRDefault="000E3042" w:rsidP="00F3108B">
      <w:pPr>
        <w:ind w:left="1440" w:hanging="1440"/>
        <w:jc w:val="both"/>
        <w:rPr>
          <w:sz w:val="24"/>
          <w:szCs w:val="24"/>
          <w:lang w:val="en-GB"/>
        </w:rPr>
      </w:pPr>
      <w:r w:rsidRPr="00645DBE">
        <w:rPr>
          <w:b/>
          <w:sz w:val="24"/>
          <w:szCs w:val="24"/>
          <w:lang w:val="en-GB"/>
        </w:rPr>
        <w:t>Ref.</w:t>
      </w:r>
      <w:r w:rsidRPr="00F3108B">
        <w:rPr>
          <w:sz w:val="24"/>
          <w:szCs w:val="24"/>
          <w:lang w:val="en-GB"/>
        </w:rPr>
        <w:t xml:space="preserve"> </w:t>
      </w:r>
      <w:r w:rsidRPr="00F3108B">
        <w:rPr>
          <w:sz w:val="24"/>
          <w:szCs w:val="24"/>
          <w:lang w:val="en-GB"/>
        </w:rPr>
        <w:tab/>
        <w:t>Information request regarding the Rosia Montana mining exploitation, case ACCC/C/2012/69 Aarhus Compliance Committee</w:t>
      </w:r>
    </w:p>
    <w:p w:rsidR="000E3042" w:rsidRPr="00F3108B" w:rsidRDefault="000E3042" w:rsidP="00F3108B">
      <w:pPr>
        <w:jc w:val="both"/>
        <w:rPr>
          <w:sz w:val="24"/>
          <w:szCs w:val="24"/>
          <w:lang w:val="en-GB"/>
        </w:rPr>
      </w:pPr>
    </w:p>
    <w:p w:rsidR="000E3042" w:rsidRPr="00F3108B" w:rsidRDefault="000E3042" w:rsidP="00F3108B">
      <w:pPr>
        <w:jc w:val="both"/>
        <w:rPr>
          <w:sz w:val="24"/>
          <w:szCs w:val="24"/>
          <w:lang w:val="en-GB"/>
        </w:rPr>
      </w:pPr>
      <w:r w:rsidRPr="00F3108B">
        <w:rPr>
          <w:sz w:val="24"/>
          <w:szCs w:val="24"/>
          <w:lang w:val="en-GB"/>
        </w:rPr>
        <w:t>Dear Madam,</w:t>
      </w:r>
    </w:p>
    <w:p w:rsidR="000E3042" w:rsidRPr="00F3108B" w:rsidRDefault="000E3042" w:rsidP="00F3108B">
      <w:pPr>
        <w:jc w:val="both"/>
        <w:rPr>
          <w:sz w:val="24"/>
          <w:szCs w:val="24"/>
          <w:lang w:val="en-GB"/>
        </w:rPr>
      </w:pPr>
      <w:r w:rsidRPr="00F3108B">
        <w:rPr>
          <w:sz w:val="24"/>
          <w:szCs w:val="24"/>
          <w:lang w:val="en-GB"/>
        </w:rPr>
        <w:t xml:space="preserve">Concerning the above mentioned case pending before the Aarhus Compliance Committee we hereby inform you that, following our </w:t>
      </w:r>
      <w:r>
        <w:rPr>
          <w:sz w:val="24"/>
          <w:szCs w:val="24"/>
          <w:lang w:val="en-GB"/>
        </w:rPr>
        <w:t xml:space="preserve">request to NAMR, we have been provided and we are herewith transmitting you copies of the following documents: </w:t>
      </w:r>
    </w:p>
    <w:p w:rsidR="000E3042" w:rsidRDefault="000E3042" w:rsidP="00645DBE">
      <w:pPr>
        <w:pStyle w:val="ListParagraph"/>
        <w:numPr>
          <w:ilvl w:val="0"/>
          <w:numId w:val="2"/>
        </w:numPr>
        <w:contextualSpacing w:val="0"/>
        <w:jc w:val="both"/>
        <w:rPr>
          <w:sz w:val="24"/>
          <w:szCs w:val="24"/>
          <w:lang w:val="en-GB"/>
        </w:rPr>
      </w:pPr>
      <w:r>
        <w:rPr>
          <w:sz w:val="24"/>
          <w:szCs w:val="24"/>
          <w:lang w:val="en-GB"/>
        </w:rPr>
        <w:t>Order of the President of the National Agency for Mineral Resources (NAMR) no. 202/2003 for the approval of the List of Information that represent secret of service within NAMR and for the declassification of documents that were taken out from the initial list, as well as all further acts aimed at amending this order, including NAMR Order no. 74/2007 for the amendment of Order no. 202/2003;</w:t>
      </w:r>
    </w:p>
    <w:p w:rsidR="000E3042" w:rsidRDefault="000E3042" w:rsidP="00645DBE">
      <w:pPr>
        <w:pStyle w:val="ListParagraph"/>
        <w:numPr>
          <w:ilvl w:val="0"/>
          <w:numId w:val="2"/>
        </w:numPr>
        <w:contextualSpacing w:val="0"/>
        <w:jc w:val="both"/>
        <w:rPr>
          <w:sz w:val="24"/>
          <w:szCs w:val="24"/>
          <w:lang w:val="en-GB"/>
        </w:rPr>
      </w:pPr>
      <w:r>
        <w:rPr>
          <w:sz w:val="24"/>
          <w:szCs w:val="24"/>
          <w:lang w:val="en-GB"/>
        </w:rPr>
        <w:t xml:space="preserve">The </w:t>
      </w:r>
      <w:r w:rsidRPr="00F3108B">
        <w:rPr>
          <w:sz w:val="24"/>
          <w:szCs w:val="24"/>
          <w:lang w:val="en-GB"/>
        </w:rPr>
        <w:t>Environmental Impact Assessment</w:t>
      </w:r>
      <w:r>
        <w:rPr>
          <w:sz w:val="24"/>
          <w:szCs w:val="24"/>
          <w:lang w:val="en-GB"/>
        </w:rPr>
        <w:t xml:space="preserve"> Study performed in 1998 by the CEPROMIN S.A. research institute, that was the basis for the issuance of the Rosia Montana mining license and that represents Annex E to the Rosia Montana mining license;</w:t>
      </w:r>
    </w:p>
    <w:p w:rsidR="000E3042" w:rsidRDefault="000E3042" w:rsidP="00645DBE">
      <w:pPr>
        <w:pStyle w:val="ListParagraph"/>
        <w:numPr>
          <w:ilvl w:val="0"/>
          <w:numId w:val="2"/>
        </w:numPr>
        <w:contextualSpacing w:val="0"/>
        <w:jc w:val="both"/>
        <w:rPr>
          <w:sz w:val="24"/>
          <w:szCs w:val="24"/>
          <w:lang w:val="en-GB"/>
        </w:rPr>
      </w:pPr>
      <w:r>
        <w:rPr>
          <w:sz w:val="24"/>
          <w:szCs w:val="24"/>
          <w:lang w:val="en-GB"/>
        </w:rPr>
        <w:t>Program to rebuild the Environment for the Rosia Montana mining region, Annex E to the Rosia Montana mining license.</w:t>
      </w:r>
    </w:p>
    <w:p w:rsidR="000E3042" w:rsidRPr="00F3108B" w:rsidRDefault="000E3042" w:rsidP="00F3108B">
      <w:pPr>
        <w:jc w:val="both"/>
        <w:rPr>
          <w:sz w:val="24"/>
          <w:szCs w:val="24"/>
          <w:lang w:val="en-GB"/>
        </w:rPr>
      </w:pPr>
      <w:r>
        <w:rPr>
          <w:sz w:val="24"/>
          <w:szCs w:val="24"/>
          <w:lang w:val="en-GB"/>
        </w:rPr>
        <w:t>In addition, we remind you that the following Appendices to the Rosia Montana mining license are publicly available at NAMR’s headquarters in light of article 6 of Law no. 544/2001 regarding free access to information of public interest:</w:t>
      </w:r>
    </w:p>
    <w:p w:rsidR="000E3042" w:rsidRPr="00F3108B" w:rsidRDefault="000E3042" w:rsidP="00F3108B">
      <w:pPr>
        <w:pStyle w:val="ListParagraph"/>
        <w:numPr>
          <w:ilvl w:val="0"/>
          <w:numId w:val="1"/>
        </w:numPr>
        <w:ind w:left="1418" w:hanging="284"/>
        <w:contextualSpacing w:val="0"/>
        <w:jc w:val="both"/>
        <w:rPr>
          <w:b/>
          <w:sz w:val="24"/>
          <w:szCs w:val="24"/>
          <w:lang w:val="en-GB"/>
        </w:rPr>
      </w:pPr>
      <w:r w:rsidRPr="00F3108B">
        <w:rPr>
          <w:b/>
          <w:sz w:val="24"/>
          <w:szCs w:val="24"/>
          <w:lang w:val="en-GB"/>
        </w:rPr>
        <w:t xml:space="preserve">Appendix B </w:t>
      </w:r>
      <w:r w:rsidRPr="00F3108B">
        <w:rPr>
          <w:sz w:val="24"/>
          <w:szCs w:val="24"/>
          <w:lang w:val="en-GB"/>
        </w:rPr>
        <w:t>– Description of the Roşia Montană region;</w:t>
      </w:r>
    </w:p>
    <w:p w:rsidR="000E3042" w:rsidRPr="00F3108B" w:rsidRDefault="000E3042" w:rsidP="00F3108B">
      <w:pPr>
        <w:pStyle w:val="ListParagraph"/>
        <w:numPr>
          <w:ilvl w:val="0"/>
          <w:numId w:val="1"/>
        </w:numPr>
        <w:ind w:left="1418" w:hanging="284"/>
        <w:contextualSpacing w:val="0"/>
        <w:jc w:val="both"/>
        <w:rPr>
          <w:b/>
          <w:sz w:val="24"/>
          <w:szCs w:val="24"/>
          <w:lang w:val="en-GB"/>
        </w:rPr>
      </w:pPr>
      <w:r w:rsidRPr="00F3108B">
        <w:rPr>
          <w:b/>
          <w:sz w:val="24"/>
          <w:szCs w:val="24"/>
          <w:lang w:val="en-GB"/>
        </w:rPr>
        <w:t>Appendix F</w:t>
      </w:r>
      <w:r w:rsidRPr="00F3108B">
        <w:rPr>
          <w:sz w:val="24"/>
          <w:szCs w:val="24"/>
          <w:lang w:val="en-GB"/>
        </w:rPr>
        <w:t xml:space="preserve"> – The list of the technical rooms, according to article 27 (2) Law no. 61/1998;</w:t>
      </w:r>
    </w:p>
    <w:p w:rsidR="000E3042" w:rsidRPr="00F3108B" w:rsidRDefault="000E3042" w:rsidP="00F3108B">
      <w:pPr>
        <w:pStyle w:val="ListParagraph"/>
        <w:numPr>
          <w:ilvl w:val="0"/>
          <w:numId w:val="1"/>
        </w:numPr>
        <w:ind w:left="1418" w:hanging="284"/>
        <w:contextualSpacing w:val="0"/>
        <w:jc w:val="both"/>
        <w:rPr>
          <w:sz w:val="24"/>
          <w:szCs w:val="24"/>
          <w:lang w:val="en-GB"/>
        </w:rPr>
      </w:pPr>
      <w:r w:rsidRPr="00F3108B">
        <w:rPr>
          <w:b/>
          <w:sz w:val="24"/>
          <w:szCs w:val="24"/>
          <w:lang w:val="en-GB"/>
        </w:rPr>
        <w:t xml:space="preserve">Appendix G </w:t>
      </w:r>
      <w:r w:rsidRPr="00F3108B">
        <w:rPr>
          <w:sz w:val="24"/>
          <w:szCs w:val="24"/>
          <w:lang w:val="en-GB"/>
        </w:rPr>
        <w:t>- The list of import-tax free assets according to article 36 (1) (c) of Law no. 61/1998 regarding mines;</w:t>
      </w:r>
    </w:p>
    <w:p w:rsidR="000E3042" w:rsidRPr="00F3108B" w:rsidRDefault="000E3042" w:rsidP="00F3108B">
      <w:pPr>
        <w:pStyle w:val="ListParagraph"/>
        <w:numPr>
          <w:ilvl w:val="0"/>
          <w:numId w:val="1"/>
        </w:numPr>
        <w:ind w:left="1418" w:hanging="284"/>
        <w:contextualSpacing w:val="0"/>
        <w:jc w:val="both"/>
        <w:rPr>
          <w:sz w:val="24"/>
          <w:szCs w:val="24"/>
          <w:lang w:val="en-GB"/>
        </w:rPr>
      </w:pPr>
      <w:r w:rsidRPr="00F3108B">
        <w:rPr>
          <w:b/>
          <w:sz w:val="24"/>
          <w:szCs w:val="24"/>
          <w:lang w:val="en-GB"/>
        </w:rPr>
        <w:t xml:space="preserve">Appendix H </w:t>
      </w:r>
      <w:r w:rsidRPr="00F3108B">
        <w:rPr>
          <w:sz w:val="24"/>
          <w:szCs w:val="24"/>
          <w:lang w:val="en-GB"/>
        </w:rPr>
        <w:t>– The list of import-tax free equipment, machines, installations and spare parts necessary for mining activities, according to article 36 (1) (b) of Law no. 61/1998 regarding mines;</w:t>
      </w:r>
    </w:p>
    <w:p w:rsidR="000E3042" w:rsidRPr="00F3108B" w:rsidRDefault="000E3042" w:rsidP="00F3108B">
      <w:pPr>
        <w:pStyle w:val="ListParagraph"/>
        <w:numPr>
          <w:ilvl w:val="0"/>
          <w:numId w:val="1"/>
        </w:numPr>
        <w:ind w:left="1418" w:hanging="284"/>
        <w:jc w:val="both"/>
        <w:rPr>
          <w:sz w:val="24"/>
          <w:szCs w:val="24"/>
          <w:lang w:val="en-GB"/>
        </w:rPr>
      </w:pPr>
      <w:r w:rsidRPr="00F3108B">
        <w:rPr>
          <w:b/>
          <w:sz w:val="24"/>
          <w:szCs w:val="24"/>
          <w:lang w:val="en-GB"/>
        </w:rPr>
        <w:t xml:space="preserve">Appendix I </w:t>
      </w:r>
      <w:r w:rsidRPr="00F3108B">
        <w:rPr>
          <w:sz w:val="24"/>
          <w:szCs w:val="24"/>
          <w:lang w:val="en-GB"/>
        </w:rPr>
        <w:t>– The list of equipment, installations, and new machines that are not manufactured in Romania, but are imported and are necessary to rebuild the environment affected by the mining activities, according to article 36 (1) (d) of Law no. 61/1998 regarding mines.</w:t>
      </w:r>
    </w:p>
    <w:p w:rsidR="000E3042" w:rsidRDefault="000E3042">
      <w:pPr>
        <w:rPr>
          <w:sz w:val="24"/>
          <w:szCs w:val="24"/>
          <w:lang w:val="en-GB"/>
        </w:rPr>
      </w:pPr>
      <w:r>
        <w:rPr>
          <w:sz w:val="24"/>
          <w:szCs w:val="24"/>
          <w:lang w:val="en-GB"/>
        </w:rPr>
        <w:t>We remain at your disposal for any further information.</w:t>
      </w:r>
    </w:p>
    <w:p w:rsidR="000E3042" w:rsidRDefault="000E3042">
      <w:pPr>
        <w:rPr>
          <w:sz w:val="24"/>
          <w:szCs w:val="24"/>
          <w:lang w:val="en-GB"/>
        </w:rPr>
      </w:pPr>
      <w:r>
        <w:rPr>
          <w:sz w:val="24"/>
          <w:szCs w:val="24"/>
          <w:lang w:val="en-GB"/>
        </w:rPr>
        <w:br/>
        <w:t>Sincerely,</w:t>
      </w:r>
    </w:p>
    <w:p w:rsidR="000E3042" w:rsidRDefault="000E3042">
      <w:pPr>
        <w:rPr>
          <w:sz w:val="24"/>
          <w:szCs w:val="24"/>
          <w:lang w:val="en-GB"/>
        </w:rPr>
      </w:pPr>
    </w:p>
    <w:p w:rsidR="000E3042" w:rsidRDefault="000E3042">
      <w:pPr>
        <w:rPr>
          <w:sz w:val="24"/>
          <w:szCs w:val="24"/>
          <w:lang w:val="en-GB"/>
        </w:rPr>
      </w:pPr>
      <w:r>
        <w:rPr>
          <w:sz w:val="24"/>
          <w:szCs w:val="24"/>
          <w:lang w:val="en-GB"/>
        </w:rPr>
        <w:t>Secretary of State</w:t>
      </w:r>
    </w:p>
    <w:p w:rsidR="000E3042" w:rsidRDefault="000E3042">
      <w:pPr>
        <w:rPr>
          <w:sz w:val="24"/>
          <w:szCs w:val="24"/>
          <w:lang w:val="en-GB"/>
        </w:rPr>
      </w:pPr>
      <w:r>
        <w:rPr>
          <w:sz w:val="24"/>
          <w:szCs w:val="24"/>
          <w:lang w:val="en-GB"/>
        </w:rPr>
        <w:t>Elena Dumitru</w:t>
      </w:r>
    </w:p>
    <w:p w:rsidR="000E3042" w:rsidRDefault="000E3042">
      <w:pPr>
        <w:rPr>
          <w:sz w:val="24"/>
          <w:szCs w:val="24"/>
          <w:lang w:val="en-GB"/>
        </w:rPr>
      </w:pPr>
      <w:r>
        <w:rPr>
          <w:sz w:val="24"/>
          <w:szCs w:val="24"/>
          <w:lang w:val="en-GB"/>
        </w:rPr>
        <w:t>[</w:t>
      </w:r>
      <w:r>
        <w:rPr>
          <w:i/>
          <w:sz w:val="24"/>
          <w:szCs w:val="24"/>
          <w:lang w:val="en-GB"/>
        </w:rPr>
        <w:t>illegible signature</w:t>
      </w:r>
      <w:r>
        <w:rPr>
          <w:sz w:val="24"/>
          <w:szCs w:val="24"/>
          <w:lang w:val="en-GB"/>
        </w:rPr>
        <w:t>]</w:t>
      </w:r>
    </w:p>
    <w:p w:rsidR="000E3042" w:rsidRDefault="000E3042">
      <w:pPr>
        <w:rPr>
          <w:i/>
          <w:sz w:val="24"/>
          <w:szCs w:val="24"/>
          <w:lang w:val="en-GB"/>
        </w:rPr>
      </w:pPr>
      <w:r>
        <w:rPr>
          <w:sz w:val="24"/>
          <w:szCs w:val="24"/>
          <w:lang w:val="en-GB"/>
        </w:rPr>
        <w:t>[</w:t>
      </w:r>
      <w:r>
        <w:rPr>
          <w:i/>
          <w:sz w:val="24"/>
          <w:szCs w:val="24"/>
          <w:lang w:val="en-GB"/>
        </w:rPr>
        <w:t>stamp]</w:t>
      </w:r>
    </w:p>
    <w:p w:rsidR="000E3042" w:rsidRDefault="000E3042">
      <w:pPr>
        <w:rPr>
          <w:i/>
          <w:sz w:val="24"/>
          <w:szCs w:val="24"/>
          <w:lang w:val="en-GB"/>
        </w:rPr>
      </w:pPr>
      <w:r>
        <w:rPr>
          <w:i/>
          <w:sz w:val="24"/>
          <w:szCs w:val="24"/>
          <w:lang w:val="en-GB"/>
        </w:rPr>
        <w:br w:type="page"/>
      </w:r>
    </w:p>
    <w:p w:rsidR="000E3042" w:rsidRPr="00F3108B" w:rsidRDefault="000E3042" w:rsidP="00645DBE">
      <w:pPr>
        <w:pStyle w:val="Header"/>
        <w:jc w:val="center"/>
        <w:rPr>
          <w:b/>
          <w:sz w:val="24"/>
          <w:szCs w:val="24"/>
        </w:rPr>
      </w:pPr>
      <w:r w:rsidRPr="00F3108B">
        <w:rPr>
          <w:b/>
          <w:sz w:val="24"/>
          <w:szCs w:val="24"/>
        </w:rPr>
        <w:t>Government of Romania</w:t>
      </w:r>
    </w:p>
    <w:p w:rsidR="000E3042" w:rsidRPr="00F3108B" w:rsidRDefault="000E3042" w:rsidP="00645DBE">
      <w:pPr>
        <w:pStyle w:val="Header"/>
        <w:jc w:val="center"/>
        <w:rPr>
          <w:b/>
          <w:sz w:val="24"/>
          <w:szCs w:val="24"/>
        </w:rPr>
      </w:pPr>
      <w:r w:rsidRPr="00F3108B">
        <w:rPr>
          <w:b/>
          <w:sz w:val="24"/>
          <w:szCs w:val="24"/>
        </w:rPr>
        <w:t>Ministry of Environment and Climate Change</w:t>
      </w:r>
    </w:p>
    <w:p w:rsidR="000E3042" w:rsidRDefault="000E3042" w:rsidP="00645DBE">
      <w:pPr>
        <w:jc w:val="both"/>
        <w:rPr>
          <w:b/>
          <w:sz w:val="24"/>
          <w:szCs w:val="24"/>
          <w:lang w:val="en-GB"/>
        </w:rPr>
      </w:pPr>
    </w:p>
    <w:p w:rsidR="000E3042" w:rsidRDefault="000E3042" w:rsidP="00645DBE">
      <w:pPr>
        <w:jc w:val="both"/>
        <w:rPr>
          <w:b/>
          <w:sz w:val="24"/>
          <w:szCs w:val="24"/>
          <w:lang w:val="en-GB"/>
        </w:rPr>
      </w:pPr>
    </w:p>
    <w:p w:rsidR="000E3042" w:rsidRPr="00F3108B" w:rsidRDefault="000E3042" w:rsidP="00645DBE">
      <w:pPr>
        <w:jc w:val="both"/>
        <w:rPr>
          <w:b/>
          <w:sz w:val="24"/>
          <w:szCs w:val="24"/>
          <w:lang w:val="en-GB"/>
        </w:rPr>
      </w:pPr>
      <w:r w:rsidRPr="00F3108B">
        <w:rPr>
          <w:b/>
          <w:sz w:val="24"/>
          <w:szCs w:val="24"/>
          <w:lang w:val="en-GB"/>
        </w:rPr>
        <w:t>Secretary of State Office</w:t>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t>No. 21868/ED/17.05.2013</w:t>
      </w:r>
    </w:p>
    <w:p w:rsidR="000E3042" w:rsidRPr="00F3108B" w:rsidRDefault="000E3042" w:rsidP="00645DBE">
      <w:pPr>
        <w:jc w:val="both"/>
        <w:rPr>
          <w:sz w:val="24"/>
          <w:szCs w:val="24"/>
          <w:lang w:val="en-GB"/>
        </w:rPr>
      </w:pPr>
      <w:r w:rsidRPr="00645DBE">
        <w:rPr>
          <w:b/>
          <w:sz w:val="24"/>
          <w:szCs w:val="24"/>
          <w:lang w:val="en-GB"/>
        </w:rPr>
        <w:t>To:</w:t>
      </w:r>
      <w:r w:rsidRPr="00F3108B">
        <w:rPr>
          <w:sz w:val="24"/>
          <w:szCs w:val="24"/>
          <w:lang w:val="en-GB"/>
        </w:rPr>
        <w:t xml:space="preserve"> </w:t>
      </w:r>
      <w:r w:rsidRPr="00F3108B">
        <w:rPr>
          <w:sz w:val="24"/>
          <w:szCs w:val="24"/>
          <w:lang w:val="en-GB"/>
        </w:rPr>
        <w:tab/>
      </w:r>
      <w:r w:rsidRPr="00F3108B">
        <w:rPr>
          <w:sz w:val="24"/>
          <w:szCs w:val="24"/>
          <w:lang w:val="en-GB"/>
        </w:rPr>
        <w:tab/>
      </w:r>
      <w:r>
        <w:rPr>
          <w:sz w:val="24"/>
          <w:szCs w:val="24"/>
          <w:lang w:val="en-GB"/>
        </w:rPr>
        <w:t>Centre for Legal Resources</w:t>
      </w:r>
    </w:p>
    <w:p w:rsidR="000E3042" w:rsidRPr="00F3108B" w:rsidRDefault="000E3042" w:rsidP="00645DBE">
      <w:pPr>
        <w:jc w:val="both"/>
        <w:rPr>
          <w:sz w:val="24"/>
          <w:szCs w:val="24"/>
          <w:lang w:val="en-GB"/>
        </w:rPr>
      </w:pPr>
      <w:r w:rsidRPr="00645DBE">
        <w:rPr>
          <w:b/>
          <w:sz w:val="24"/>
          <w:szCs w:val="24"/>
          <w:lang w:val="en-GB"/>
        </w:rPr>
        <w:t>Care of</w:t>
      </w:r>
      <w:r w:rsidRPr="00645DBE">
        <w:rPr>
          <w:b/>
          <w:sz w:val="24"/>
          <w:szCs w:val="24"/>
          <w:lang w:val="en-GB"/>
        </w:rPr>
        <w:tab/>
      </w:r>
      <w:r w:rsidRPr="00F3108B">
        <w:rPr>
          <w:sz w:val="24"/>
          <w:szCs w:val="24"/>
          <w:lang w:val="en-GB"/>
        </w:rPr>
        <w:tab/>
      </w:r>
      <w:r>
        <w:rPr>
          <w:sz w:val="24"/>
          <w:szCs w:val="24"/>
          <w:lang w:val="en-GB"/>
        </w:rPr>
        <w:t>Mrs. Catalina Radulescu</w:t>
      </w:r>
    </w:p>
    <w:p w:rsidR="000E3042" w:rsidRPr="00F3108B" w:rsidRDefault="000E3042" w:rsidP="00645DBE">
      <w:pPr>
        <w:ind w:left="1440" w:hanging="1440"/>
        <w:jc w:val="both"/>
        <w:rPr>
          <w:sz w:val="24"/>
          <w:szCs w:val="24"/>
          <w:lang w:val="en-GB"/>
        </w:rPr>
      </w:pPr>
      <w:r w:rsidRPr="00645DBE">
        <w:rPr>
          <w:b/>
          <w:sz w:val="24"/>
          <w:szCs w:val="24"/>
          <w:lang w:val="en-GB"/>
        </w:rPr>
        <w:t>Ref.</w:t>
      </w:r>
      <w:r w:rsidRPr="00F3108B">
        <w:rPr>
          <w:sz w:val="24"/>
          <w:szCs w:val="24"/>
          <w:lang w:val="en-GB"/>
        </w:rPr>
        <w:t xml:space="preserve"> </w:t>
      </w:r>
      <w:r w:rsidRPr="00F3108B">
        <w:rPr>
          <w:sz w:val="24"/>
          <w:szCs w:val="24"/>
          <w:lang w:val="en-GB"/>
        </w:rPr>
        <w:tab/>
        <w:t>Information request regarding the Rosia Montana mining exploitation, case ACCC/C/2012/69 Aarhus Compliance Committee</w:t>
      </w:r>
    </w:p>
    <w:p w:rsidR="000E3042" w:rsidRPr="00F3108B" w:rsidRDefault="000E3042" w:rsidP="00645DBE">
      <w:pPr>
        <w:jc w:val="both"/>
        <w:rPr>
          <w:sz w:val="24"/>
          <w:szCs w:val="24"/>
          <w:lang w:val="en-GB"/>
        </w:rPr>
      </w:pPr>
    </w:p>
    <w:p w:rsidR="000E3042" w:rsidRPr="00F3108B" w:rsidRDefault="000E3042" w:rsidP="00645DBE">
      <w:pPr>
        <w:jc w:val="both"/>
        <w:rPr>
          <w:sz w:val="24"/>
          <w:szCs w:val="24"/>
          <w:lang w:val="en-GB"/>
        </w:rPr>
      </w:pPr>
      <w:r w:rsidRPr="00F3108B">
        <w:rPr>
          <w:sz w:val="24"/>
          <w:szCs w:val="24"/>
          <w:lang w:val="en-GB"/>
        </w:rPr>
        <w:t>Dear Madam,</w:t>
      </w:r>
    </w:p>
    <w:p w:rsidR="000E3042" w:rsidRPr="00F3108B" w:rsidRDefault="000E3042" w:rsidP="00645DBE">
      <w:pPr>
        <w:jc w:val="both"/>
        <w:rPr>
          <w:sz w:val="24"/>
          <w:szCs w:val="24"/>
          <w:lang w:val="en-GB"/>
        </w:rPr>
      </w:pPr>
      <w:r w:rsidRPr="00F3108B">
        <w:rPr>
          <w:sz w:val="24"/>
          <w:szCs w:val="24"/>
          <w:lang w:val="en-GB"/>
        </w:rPr>
        <w:t xml:space="preserve">Concerning the above mentioned case pending before the Aarhus Compliance Committee we hereby inform you that, following our </w:t>
      </w:r>
      <w:r>
        <w:rPr>
          <w:sz w:val="24"/>
          <w:szCs w:val="24"/>
          <w:lang w:val="en-GB"/>
        </w:rPr>
        <w:t xml:space="preserve">request to NAMR, we have been provided and we are herewith transmitting you copies of the following documents: </w:t>
      </w:r>
    </w:p>
    <w:p w:rsidR="000E3042" w:rsidRDefault="000E3042" w:rsidP="00645DBE">
      <w:pPr>
        <w:pStyle w:val="ListParagraph"/>
        <w:numPr>
          <w:ilvl w:val="0"/>
          <w:numId w:val="2"/>
        </w:numPr>
        <w:contextualSpacing w:val="0"/>
        <w:jc w:val="both"/>
        <w:rPr>
          <w:sz w:val="24"/>
          <w:szCs w:val="24"/>
          <w:lang w:val="en-GB"/>
        </w:rPr>
      </w:pPr>
      <w:r>
        <w:rPr>
          <w:sz w:val="24"/>
          <w:szCs w:val="24"/>
          <w:lang w:val="en-GB"/>
        </w:rPr>
        <w:t>Order of the President of the National Agency for Mineral Resources (NAMR) no. 202/2003 for the approval of the List of Information that represent secret of service within NAMR and for the declassification of documents that were taken out from the initial list, as well as all further acts aimed at amending this order, including NAMR Order no. 74/2007 for the amendment of Order no. 202/2003;</w:t>
      </w:r>
    </w:p>
    <w:p w:rsidR="000E3042" w:rsidRDefault="000E3042" w:rsidP="00645DBE">
      <w:pPr>
        <w:pStyle w:val="ListParagraph"/>
        <w:numPr>
          <w:ilvl w:val="0"/>
          <w:numId w:val="2"/>
        </w:numPr>
        <w:contextualSpacing w:val="0"/>
        <w:jc w:val="both"/>
        <w:rPr>
          <w:sz w:val="24"/>
          <w:szCs w:val="24"/>
          <w:lang w:val="en-GB"/>
        </w:rPr>
      </w:pPr>
      <w:r>
        <w:rPr>
          <w:sz w:val="24"/>
          <w:szCs w:val="24"/>
          <w:lang w:val="en-GB"/>
        </w:rPr>
        <w:t xml:space="preserve">The </w:t>
      </w:r>
      <w:r w:rsidRPr="00F3108B">
        <w:rPr>
          <w:sz w:val="24"/>
          <w:szCs w:val="24"/>
          <w:lang w:val="en-GB"/>
        </w:rPr>
        <w:t>Environmental Impact Assessment</w:t>
      </w:r>
      <w:r>
        <w:rPr>
          <w:sz w:val="24"/>
          <w:szCs w:val="24"/>
          <w:lang w:val="en-GB"/>
        </w:rPr>
        <w:t xml:space="preserve"> Study performed in 1998 by the CEPROMIN S.A. research institute, that was the basis for the issuance of the Rosia Montana mining license and that represents Annex E to the Rosia Montana mining license;</w:t>
      </w:r>
    </w:p>
    <w:p w:rsidR="000E3042" w:rsidRDefault="000E3042" w:rsidP="00645DBE">
      <w:pPr>
        <w:pStyle w:val="ListParagraph"/>
        <w:numPr>
          <w:ilvl w:val="0"/>
          <w:numId w:val="2"/>
        </w:numPr>
        <w:contextualSpacing w:val="0"/>
        <w:jc w:val="both"/>
        <w:rPr>
          <w:sz w:val="24"/>
          <w:szCs w:val="24"/>
          <w:lang w:val="en-GB"/>
        </w:rPr>
      </w:pPr>
      <w:r>
        <w:rPr>
          <w:sz w:val="24"/>
          <w:szCs w:val="24"/>
          <w:lang w:val="en-GB"/>
        </w:rPr>
        <w:t>Program to rebuild the Environment for the Rosia Montana mining region, Annex E to the Rosia Montana mining license.</w:t>
      </w:r>
    </w:p>
    <w:p w:rsidR="000E3042" w:rsidRPr="00F3108B" w:rsidRDefault="000E3042" w:rsidP="00645DBE">
      <w:pPr>
        <w:jc w:val="both"/>
        <w:rPr>
          <w:sz w:val="24"/>
          <w:szCs w:val="24"/>
          <w:lang w:val="en-GB"/>
        </w:rPr>
      </w:pPr>
      <w:r>
        <w:rPr>
          <w:sz w:val="24"/>
          <w:szCs w:val="24"/>
          <w:lang w:val="en-GB"/>
        </w:rPr>
        <w:t>In addition, we remind you that the following Appendices to the Rosia Montana mining license are publicly available at NAMR’s headquarters in light of article 6 of Law no. 544/2001 regarding free access to information of public interest:</w:t>
      </w:r>
    </w:p>
    <w:p w:rsidR="000E3042" w:rsidRPr="00F3108B" w:rsidRDefault="000E3042" w:rsidP="00645DBE">
      <w:pPr>
        <w:pStyle w:val="ListParagraph"/>
        <w:numPr>
          <w:ilvl w:val="0"/>
          <w:numId w:val="1"/>
        </w:numPr>
        <w:ind w:left="1418" w:hanging="284"/>
        <w:contextualSpacing w:val="0"/>
        <w:jc w:val="both"/>
        <w:rPr>
          <w:b/>
          <w:sz w:val="24"/>
          <w:szCs w:val="24"/>
          <w:lang w:val="en-GB"/>
        </w:rPr>
      </w:pPr>
      <w:r w:rsidRPr="00F3108B">
        <w:rPr>
          <w:b/>
          <w:sz w:val="24"/>
          <w:szCs w:val="24"/>
          <w:lang w:val="en-GB"/>
        </w:rPr>
        <w:t xml:space="preserve">Appendix B </w:t>
      </w:r>
      <w:r w:rsidRPr="00F3108B">
        <w:rPr>
          <w:sz w:val="24"/>
          <w:szCs w:val="24"/>
          <w:lang w:val="en-GB"/>
        </w:rPr>
        <w:t>– Description of the Roşia Montană region;</w:t>
      </w:r>
    </w:p>
    <w:p w:rsidR="000E3042" w:rsidRPr="00F3108B" w:rsidRDefault="000E3042" w:rsidP="00645DBE">
      <w:pPr>
        <w:pStyle w:val="ListParagraph"/>
        <w:numPr>
          <w:ilvl w:val="0"/>
          <w:numId w:val="1"/>
        </w:numPr>
        <w:ind w:left="1418" w:hanging="284"/>
        <w:contextualSpacing w:val="0"/>
        <w:jc w:val="both"/>
        <w:rPr>
          <w:b/>
          <w:sz w:val="24"/>
          <w:szCs w:val="24"/>
          <w:lang w:val="en-GB"/>
        </w:rPr>
      </w:pPr>
      <w:r w:rsidRPr="00F3108B">
        <w:rPr>
          <w:b/>
          <w:sz w:val="24"/>
          <w:szCs w:val="24"/>
          <w:lang w:val="en-GB"/>
        </w:rPr>
        <w:t>Appendix F</w:t>
      </w:r>
      <w:r w:rsidRPr="00F3108B">
        <w:rPr>
          <w:sz w:val="24"/>
          <w:szCs w:val="24"/>
          <w:lang w:val="en-GB"/>
        </w:rPr>
        <w:t xml:space="preserve"> – The list of the technical rooms, according to article 27 (2) Law no. 61/1998;</w:t>
      </w:r>
    </w:p>
    <w:p w:rsidR="000E3042" w:rsidRPr="00F3108B" w:rsidRDefault="000E3042" w:rsidP="00645DBE">
      <w:pPr>
        <w:pStyle w:val="ListParagraph"/>
        <w:numPr>
          <w:ilvl w:val="0"/>
          <w:numId w:val="1"/>
        </w:numPr>
        <w:ind w:left="1418" w:hanging="284"/>
        <w:contextualSpacing w:val="0"/>
        <w:jc w:val="both"/>
        <w:rPr>
          <w:sz w:val="24"/>
          <w:szCs w:val="24"/>
          <w:lang w:val="en-GB"/>
        </w:rPr>
      </w:pPr>
      <w:r w:rsidRPr="00F3108B">
        <w:rPr>
          <w:b/>
          <w:sz w:val="24"/>
          <w:szCs w:val="24"/>
          <w:lang w:val="en-GB"/>
        </w:rPr>
        <w:t xml:space="preserve">Appendix G </w:t>
      </w:r>
      <w:r w:rsidRPr="00F3108B">
        <w:rPr>
          <w:sz w:val="24"/>
          <w:szCs w:val="24"/>
          <w:lang w:val="en-GB"/>
        </w:rPr>
        <w:t>- The list of import-tax free assets according to article 36 (1) (c) of Law no. 61/1998 regarding mines;</w:t>
      </w:r>
    </w:p>
    <w:p w:rsidR="000E3042" w:rsidRPr="00F3108B" w:rsidRDefault="000E3042" w:rsidP="00645DBE">
      <w:pPr>
        <w:pStyle w:val="ListParagraph"/>
        <w:numPr>
          <w:ilvl w:val="0"/>
          <w:numId w:val="1"/>
        </w:numPr>
        <w:ind w:left="1418" w:hanging="284"/>
        <w:contextualSpacing w:val="0"/>
        <w:jc w:val="both"/>
        <w:rPr>
          <w:sz w:val="24"/>
          <w:szCs w:val="24"/>
          <w:lang w:val="en-GB"/>
        </w:rPr>
      </w:pPr>
      <w:r w:rsidRPr="00F3108B">
        <w:rPr>
          <w:b/>
          <w:sz w:val="24"/>
          <w:szCs w:val="24"/>
          <w:lang w:val="en-GB"/>
        </w:rPr>
        <w:t xml:space="preserve">Appendix H </w:t>
      </w:r>
      <w:r w:rsidRPr="00F3108B">
        <w:rPr>
          <w:sz w:val="24"/>
          <w:szCs w:val="24"/>
          <w:lang w:val="en-GB"/>
        </w:rPr>
        <w:t>– The list of import-tax free equipment, machines, installations and spare parts necessary for mining activities, according to article 36 (1) (b) of Law no. 61/1998 regarding mines;</w:t>
      </w:r>
    </w:p>
    <w:p w:rsidR="000E3042" w:rsidRPr="00F3108B" w:rsidRDefault="000E3042" w:rsidP="00645DBE">
      <w:pPr>
        <w:pStyle w:val="ListParagraph"/>
        <w:numPr>
          <w:ilvl w:val="0"/>
          <w:numId w:val="1"/>
        </w:numPr>
        <w:ind w:left="1418" w:hanging="284"/>
        <w:jc w:val="both"/>
        <w:rPr>
          <w:sz w:val="24"/>
          <w:szCs w:val="24"/>
          <w:lang w:val="en-GB"/>
        </w:rPr>
      </w:pPr>
      <w:r w:rsidRPr="00F3108B">
        <w:rPr>
          <w:b/>
          <w:sz w:val="24"/>
          <w:szCs w:val="24"/>
          <w:lang w:val="en-GB"/>
        </w:rPr>
        <w:t xml:space="preserve">Appendix I </w:t>
      </w:r>
      <w:r w:rsidRPr="00F3108B">
        <w:rPr>
          <w:sz w:val="24"/>
          <w:szCs w:val="24"/>
          <w:lang w:val="en-GB"/>
        </w:rPr>
        <w:t>– The list of equipment, installations, and new machines that are not manufactured in Romania, but are imported and are necessary to rebuild the environment affected by the mining activities, according to article 36 (1) (d) of Law no. 61/1998 regarding mines.</w:t>
      </w:r>
    </w:p>
    <w:p w:rsidR="000E3042" w:rsidRDefault="000E3042" w:rsidP="00645DBE">
      <w:pPr>
        <w:rPr>
          <w:sz w:val="24"/>
          <w:szCs w:val="24"/>
          <w:lang w:val="en-GB"/>
        </w:rPr>
      </w:pPr>
      <w:r>
        <w:rPr>
          <w:sz w:val="24"/>
          <w:szCs w:val="24"/>
          <w:lang w:val="en-GB"/>
        </w:rPr>
        <w:t>We remain at your disposal for any further information.</w:t>
      </w:r>
    </w:p>
    <w:p w:rsidR="000E3042" w:rsidRDefault="000E3042" w:rsidP="00645DBE">
      <w:pPr>
        <w:rPr>
          <w:sz w:val="24"/>
          <w:szCs w:val="24"/>
          <w:lang w:val="en-GB"/>
        </w:rPr>
      </w:pPr>
      <w:r>
        <w:rPr>
          <w:sz w:val="24"/>
          <w:szCs w:val="24"/>
          <w:lang w:val="en-GB"/>
        </w:rPr>
        <w:br/>
        <w:t>Sincerely,</w:t>
      </w:r>
    </w:p>
    <w:p w:rsidR="000E3042" w:rsidRDefault="000E3042" w:rsidP="00645DBE">
      <w:pPr>
        <w:rPr>
          <w:sz w:val="24"/>
          <w:szCs w:val="24"/>
          <w:lang w:val="en-GB"/>
        </w:rPr>
      </w:pPr>
    </w:p>
    <w:p w:rsidR="000E3042" w:rsidRDefault="000E3042" w:rsidP="00645DBE">
      <w:pPr>
        <w:rPr>
          <w:sz w:val="24"/>
          <w:szCs w:val="24"/>
          <w:lang w:val="en-GB"/>
        </w:rPr>
      </w:pPr>
      <w:r>
        <w:rPr>
          <w:sz w:val="24"/>
          <w:szCs w:val="24"/>
          <w:lang w:val="en-GB"/>
        </w:rPr>
        <w:t>Secretary of State</w:t>
      </w:r>
    </w:p>
    <w:p w:rsidR="000E3042" w:rsidRDefault="000E3042" w:rsidP="00645DBE">
      <w:pPr>
        <w:rPr>
          <w:sz w:val="24"/>
          <w:szCs w:val="24"/>
          <w:lang w:val="en-GB"/>
        </w:rPr>
      </w:pPr>
      <w:r>
        <w:rPr>
          <w:sz w:val="24"/>
          <w:szCs w:val="24"/>
          <w:lang w:val="en-GB"/>
        </w:rPr>
        <w:t>Elena Dumitru</w:t>
      </w:r>
    </w:p>
    <w:p w:rsidR="000E3042" w:rsidRDefault="000E3042" w:rsidP="00645DBE">
      <w:pPr>
        <w:rPr>
          <w:sz w:val="24"/>
          <w:szCs w:val="24"/>
          <w:lang w:val="en-GB"/>
        </w:rPr>
      </w:pPr>
      <w:r>
        <w:rPr>
          <w:sz w:val="24"/>
          <w:szCs w:val="24"/>
          <w:lang w:val="en-GB"/>
        </w:rPr>
        <w:t>[</w:t>
      </w:r>
      <w:r>
        <w:rPr>
          <w:i/>
          <w:sz w:val="24"/>
          <w:szCs w:val="24"/>
          <w:lang w:val="en-GB"/>
        </w:rPr>
        <w:t>illegible signature</w:t>
      </w:r>
      <w:r>
        <w:rPr>
          <w:sz w:val="24"/>
          <w:szCs w:val="24"/>
          <w:lang w:val="en-GB"/>
        </w:rPr>
        <w:t>]</w:t>
      </w:r>
    </w:p>
    <w:p w:rsidR="000E3042" w:rsidRPr="00645DBE" w:rsidRDefault="000E3042" w:rsidP="00645DBE">
      <w:pPr>
        <w:rPr>
          <w:i/>
          <w:lang w:val="en-GB"/>
        </w:rPr>
      </w:pPr>
      <w:r>
        <w:rPr>
          <w:sz w:val="24"/>
          <w:szCs w:val="24"/>
          <w:lang w:val="en-GB"/>
        </w:rPr>
        <w:t>[</w:t>
      </w:r>
      <w:r>
        <w:rPr>
          <w:i/>
          <w:sz w:val="24"/>
          <w:szCs w:val="24"/>
          <w:lang w:val="en-GB"/>
        </w:rPr>
        <w:t>stamp]</w:t>
      </w:r>
    </w:p>
    <w:p w:rsidR="000E3042" w:rsidRDefault="000E3042">
      <w:pPr>
        <w:rPr>
          <w:i/>
          <w:lang w:val="en-GB"/>
        </w:rPr>
      </w:pPr>
      <w:r>
        <w:rPr>
          <w:i/>
          <w:lang w:val="en-GB"/>
        </w:rPr>
        <w:br w:type="page"/>
      </w:r>
    </w:p>
    <w:p w:rsidR="000E3042" w:rsidRPr="00F3108B" w:rsidRDefault="000E3042" w:rsidP="00CF574E">
      <w:pPr>
        <w:pStyle w:val="Header"/>
        <w:jc w:val="center"/>
        <w:rPr>
          <w:b/>
          <w:sz w:val="24"/>
          <w:szCs w:val="24"/>
        </w:rPr>
      </w:pPr>
      <w:r w:rsidRPr="00F3108B">
        <w:rPr>
          <w:b/>
          <w:sz w:val="24"/>
          <w:szCs w:val="24"/>
        </w:rPr>
        <w:t>Government of Romania</w:t>
      </w:r>
    </w:p>
    <w:p w:rsidR="000E3042" w:rsidRPr="00F3108B" w:rsidRDefault="000E3042" w:rsidP="00CF574E">
      <w:pPr>
        <w:pStyle w:val="Header"/>
        <w:jc w:val="center"/>
        <w:rPr>
          <w:b/>
          <w:sz w:val="24"/>
          <w:szCs w:val="24"/>
        </w:rPr>
      </w:pPr>
      <w:r w:rsidRPr="00F3108B">
        <w:rPr>
          <w:b/>
          <w:sz w:val="24"/>
          <w:szCs w:val="24"/>
        </w:rPr>
        <w:t>Ministry of Environment and Climate Change</w:t>
      </w:r>
    </w:p>
    <w:p w:rsidR="000E3042" w:rsidRDefault="000E3042" w:rsidP="00CF574E">
      <w:pPr>
        <w:jc w:val="both"/>
        <w:rPr>
          <w:b/>
          <w:sz w:val="24"/>
          <w:szCs w:val="24"/>
          <w:lang w:val="en-GB"/>
        </w:rPr>
      </w:pPr>
    </w:p>
    <w:p w:rsidR="000E3042" w:rsidRDefault="000E3042" w:rsidP="00CF574E">
      <w:pPr>
        <w:jc w:val="both"/>
        <w:rPr>
          <w:b/>
          <w:sz w:val="24"/>
          <w:szCs w:val="24"/>
          <w:lang w:val="en-GB"/>
        </w:rPr>
      </w:pPr>
    </w:p>
    <w:p w:rsidR="000E3042" w:rsidRPr="00F3108B" w:rsidRDefault="000E3042" w:rsidP="00CF574E">
      <w:pPr>
        <w:jc w:val="both"/>
        <w:rPr>
          <w:b/>
          <w:sz w:val="24"/>
          <w:szCs w:val="24"/>
          <w:lang w:val="en-GB"/>
        </w:rPr>
      </w:pPr>
      <w:r w:rsidRPr="00F3108B">
        <w:rPr>
          <w:b/>
          <w:sz w:val="24"/>
          <w:szCs w:val="24"/>
          <w:lang w:val="en-GB"/>
        </w:rPr>
        <w:t>Secretary of State Office</w:t>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r>
      <w:r w:rsidRPr="00F3108B">
        <w:rPr>
          <w:b/>
          <w:sz w:val="24"/>
          <w:szCs w:val="24"/>
          <w:lang w:val="en-GB"/>
        </w:rPr>
        <w:tab/>
        <w:t>No. 21868/ED/17.05.2013</w:t>
      </w:r>
    </w:p>
    <w:p w:rsidR="000E3042" w:rsidRPr="00F3108B" w:rsidRDefault="000E3042" w:rsidP="00CF574E">
      <w:pPr>
        <w:jc w:val="both"/>
        <w:rPr>
          <w:sz w:val="24"/>
          <w:szCs w:val="24"/>
          <w:lang w:val="en-GB"/>
        </w:rPr>
      </w:pPr>
      <w:r w:rsidRPr="00645DBE">
        <w:rPr>
          <w:b/>
          <w:sz w:val="24"/>
          <w:szCs w:val="24"/>
          <w:lang w:val="en-GB"/>
        </w:rPr>
        <w:t>To:</w:t>
      </w:r>
      <w:r w:rsidRPr="00F3108B">
        <w:rPr>
          <w:sz w:val="24"/>
          <w:szCs w:val="24"/>
          <w:lang w:val="en-GB"/>
        </w:rPr>
        <w:t xml:space="preserve"> </w:t>
      </w:r>
      <w:r w:rsidRPr="00F3108B">
        <w:rPr>
          <w:sz w:val="24"/>
          <w:szCs w:val="24"/>
          <w:lang w:val="en-GB"/>
        </w:rPr>
        <w:tab/>
      </w:r>
      <w:r w:rsidRPr="00F3108B">
        <w:rPr>
          <w:sz w:val="24"/>
          <w:szCs w:val="24"/>
          <w:lang w:val="en-GB"/>
        </w:rPr>
        <w:tab/>
      </w:r>
      <w:r>
        <w:rPr>
          <w:sz w:val="24"/>
          <w:szCs w:val="24"/>
          <w:lang w:val="en-GB"/>
        </w:rPr>
        <w:t>Justice and Environment</w:t>
      </w:r>
    </w:p>
    <w:p w:rsidR="000E3042" w:rsidRPr="00F3108B" w:rsidRDefault="000E3042" w:rsidP="00CF574E">
      <w:pPr>
        <w:jc w:val="both"/>
        <w:rPr>
          <w:sz w:val="24"/>
          <w:szCs w:val="24"/>
          <w:lang w:val="en-GB"/>
        </w:rPr>
      </w:pPr>
      <w:r w:rsidRPr="00645DBE">
        <w:rPr>
          <w:b/>
          <w:sz w:val="24"/>
          <w:szCs w:val="24"/>
          <w:lang w:val="en-GB"/>
        </w:rPr>
        <w:t>Care of</w:t>
      </w:r>
      <w:r w:rsidRPr="00645DBE">
        <w:rPr>
          <w:b/>
          <w:sz w:val="24"/>
          <w:szCs w:val="24"/>
          <w:lang w:val="en-GB"/>
        </w:rPr>
        <w:tab/>
      </w:r>
      <w:r w:rsidRPr="00F3108B">
        <w:rPr>
          <w:sz w:val="24"/>
          <w:szCs w:val="24"/>
          <w:lang w:val="en-GB"/>
        </w:rPr>
        <w:tab/>
      </w:r>
      <w:r>
        <w:rPr>
          <w:sz w:val="24"/>
          <w:szCs w:val="24"/>
          <w:lang w:val="en-GB"/>
        </w:rPr>
        <w:t>Mr. Thomas Alge</w:t>
      </w:r>
    </w:p>
    <w:p w:rsidR="000E3042" w:rsidRPr="00F3108B" w:rsidRDefault="000E3042" w:rsidP="00CF574E">
      <w:pPr>
        <w:ind w:left="1440" w:hanging="1440"/>
        <w:jc w:val="both"/>
        <w:rPr>
          <w:sz w:val="24"/>
          <w:szCs w:val="24"/>
          <w:lang w:val="en-GB"/>
        </w:rPr>
      </w:pPr>
      <w:r w:rsidRPr="00645DBE">
        <w:rPr>
          <w:b/>
          <w:sz w:val="24"/>
          <w:szCs w:val="24"/>
          <w:lang w:val="en-GB"/>
        </w:rPr>
        <w:t>Ref.</w:t>
      </w:r>
      <w:r w:rsidRPr="00F3108B">
        <w:rPr>
          <w:sz w:val="24"/>
          <w:szCs w:val="24"/>
          <w:lang w:val="en-GB"/>
        </w:rPr>
        <w:t xml:space="preserve"> </w:t>
      </w:r>
      <w:r w:rsidRPr="00F3108B">
        <w:rPr>
          <w:sz w:val="24"/>
          <w:szCs w:val="24"/>
          <w:lang w:val="en-GB"/>
        </w:rPr>
        <w:tab/>
        <w:t>Information request regarding the Rosia Montana mining exploitation, case ACCC/C/2012/69 Aarhus Compliance Committee</w:t>
      </w:r>
    </w:p>
    <w:p w:rsidR="000E3042" w:rsidRPr="00F3108B" w:rsidRDefault="000E3042" w:rsidP="00CF574E">
      <w:pPr>
        <w:jc w:val="both"/>
        <w:rPr>
          <w:sz w:val="24"/>
          <w:szCs w:val="24"/>
          <w:lang w:val="en-GB"/>
        </w:rPr>
      </w:pPr>
    </w:p>
    <w:p w:rsidR="000E3042" w:rsidRPr="00F3108B" w:rsidRDefault="000E3042" w:rsidP="00CF574E">
      <w:pPr>
        <w:jc w:val="both"/>
        <w:rPr>
          <w:sz w:val="24"/>
          <w:szCs w:val="24"/>
          <w:lang w:val="en-GB"/>
        </w:rPr>
      </w:pPr>
      <w:r w:rsidRPr="00F3108B">
        <w:rPr>
          <w:sz w:val="24"/>
          <w:szCs w:val="24"/>
          <w:lang w:val="en-GB"/>
        </w:rPr>
        <w:t>Dear Madam,</w:t>
      </w:r>
    </w:p>
    <w:p w:rsidR="000E3042" w:rsidRPr="00F3108B" w:rsidRDefault="000E3042" w:rsidP="00CF574E">
      <w:pPr>
        <w:jc w:val="both"/>
        <w:rPr>
          <w:sz w:val="24"/>
          <w:szCs w:val="24"/>
          <w:lang w:val="en-GB"/>
        </w:rPr>
      </w:pPr>
      <w:r w:rsidRPr="00F3108B">
        <w:rPr>
          <w:sz w:val="24"/>
          <w:szCs w:val="24"/>
          <w:lang w:val="en-GB"/>
        </w:rPr>
        <w:t xml:space="preserve">Concerning the above mentioned case pending before the Aarhus Compliance Committee we hereby inform you that, following our </w:t>
      </w:r>
      <w:r>
        <w:rPr>
          <w:sz w:val="24"/>
          <w:szCs w:val="24"/>
          <w:lang w:val="en-GB"/>
        </w:rPr>
        <w:t xml:space="preserve">request to NAMR, we have been provided and we are herewith transmitting you copies of the following documents: </w:t>
      </w:r>
    </w:p>
    <w:p w:rsidR="000E3042" w:rsidRDefault="000E3042" w:rsidP="00CF574E">
      <w:pPr>
        <w:pStyle w:val="ListParagraph"/>
        <w:numPr>
          <w:ilvl w:val="0"/>
          <w:numId w:val="2"/>
        </w:numPr>
        <w:contextualSpacing w:val="0"/>
        <w:jc w:val="both"/>
        <w:rPr>
          <w:sz w:val="24"/>
          <w:szCs w:val="24"/>
          <w:lang w:val="en-GB"/>
        </w:rPr>
      </w:pPr>
      <w:r>
        <w:rPr>
          <w:sz w:val="24"/>
          <w:szCs w:val="24"/>
          <w:lang w:val="en-GB"/>
        </w:rPr>
        <w:t>Order of the President of the National Agency for Mineral Resources (NAMR) no. 202/2003 for the approval of the List of Information that represent secret of service within NAMR and for the declassification of documents that were taken out from the initial list, as well as all further acts aimed at amending this order, including NAMR Order no. 74/2007 for the amendment of Order no. 202/2003;</w:t>
      </w:r>
    </w:p>
    <w:p w:rsidR="000E3042" w:rsidRDefault="000E3042" w:rsidP="00CF574E">
      <w:pPr>
        <w:pStyle w:val="ListParagraph"/>
        <w:numPr>
          <w:ilvl w:val="0"/>
          <w:numId w:val="2"/>
        </w:numPr>
        <w:contextualSpacing w:val="0"/>
        <w:jc w:val="both"/>
        <w:rPr>
          <w:sz w:val="24"/>
          <w:szCs w:val="24"/>
          <w:lang w:val="en-GB"/>
        </w:rPr>
      </w:pPr>
      <w:r>
        <w:rPr>
          <w:sz w:val="24"/>
          <w:szCs w:val="24"/>
          <w:lang w:val="en-GB"/>
        </w:rPr>
        <w:t xml:space="preserve">The </w:t>
      </w:r>
      <w:r w:rsidRPr="00F3108B">
        <w:rPr>
          <w:sz w:val="24"/>
          <w:szCs w:val="24"/>
          <w:lang w:val="en-GB"/>
        </w:rPr>
        <w:t>Environmental Impact Assessment</w:t>
      </w:r>
      <w:r>
        <w:rPr>
          <w:sz w:val="24"/>
          <w:szCs w:val="24"/>
          <w:lang w:val="en-GB"/>
        </w:rPr>
        <w:t xml:space="preserve"> Study performed in 1998 by the CEPROMIN S.A. research institute, that was the basis for the issuance of the Rosia Montana mining license and that represents Annex E to the Rosia Montana mining license;</w:t>
      </w:r>
    </w:p>
    <w:p w:rsidR="000E3042" w:rsidRDefault="000E3042" w:rsidP="00CF574E">
      <w:pPr>
        <w:pStyle w:val="ListParagraph"/>
        <w:numPr>
          <w:ilvl w:val="0"/>
          <w:numId w:val="2"/>
        </w:numPr>
        <w:contextualSpacing w:val="0"/>
        <w:jc w:val="both"/>
        <w:rPr>
          <w:sz w:val="24"/>
          <w:szCs w:val="24"/>
          <w:lang w:val="en-GB"/>
        </w:rPr>
      </w:pPr>
      <w:r>
        <w:rPr>
          <w:sz w:val="24"/>
          <w:szCs w:val="24"/>
          <w:lang w:val="en-GB"/>
        </w:rPr>
        <w:t>Program to rebuild the Environment for the Rosia Montana mining region, Annex E to the Rosia Montana mining license.</w:t>
      </w:r>
    </w:p>
    <w:p w:rsidR="000E3042" w:rsidRPr="00F3108B" w:rsidRDefault="000E3042" w:rsidP="00CF574E">
      <w:pPr>
        <w:jc w:val="both"/>
        <w:rPr>
          <w:sz w:val="24"/>
          <w:szCs w:val="24"/>
          <w:lang w:val="en-GB"/>
        </w:rPr>
      </w:pPr>
      <w:r>
        <w:rPr>
          <w:sz w:val="24"/>
          <w:szCs w:val="24"/>
          <w:lang w:val="en-GB"/>
        </w:rPr>
        <w:t>In addition, we remind you that the following Appendices to the Rosia Montana mining license are publicly available at NAMR’s headquarters in light of article 6 of Law no. 544/2001 regarding free access to information of public interest:</w:t>
      </w:r>
    </w:p>
    <w:p w:rsidR="000E3042" w:rsidRPr="00F3108B" w:rsidRDefault="000E3042" w:rsidP="00CF574E">
      <w:pPr>
        <w:pStyle w:val="ListParagraph"/>
        <w:numPr>
          <w:ilvl w:val="0"/>
          <w:numId w:val="1"/>
        </w:numPr>
        <w:ind w:left="1418" w:hanging="284"/>
        <w:contextualSpacing w:val="0"/>
        <w:jc w:val="both"/>
        <w:rPr>
          <w:b/>
          <w:sz w:val="24"/>
          <w:szCs w:val="24"/>
          <w:lang w:val="en-GB"/>
        </w:rPr>
      </w:pPr>
      <w:r w:rsidRPr="00F3108B">
        <w:rPr>
          <w:b/>
          <w:sz w:val="24"/>
          <w:szCs w:val="24"/>
          <w:lang w:val="en-GB"/>
        </w:rPr>
        <w:t xml:space="preserve">Appendix B </w:t>
      </w:r>
      <w:r w:rsidRPr="00F3108B">
        <w:rPr>
          <w:sz w:val="24"/>
          <w:szCs w:val="24"/>
          <w:lang w:val="en-GB"/>
        </w:rPr>
        <w:t>– Description of the Roşia Montană region;</w:t>
      </w:r>
    </w:p>
    <w:p w:rsidR="000E3042" w:rsidRPr="00F3108B" w:rsidRDefault="000E3042" w:rsidP="00CF574E">
      <w:pPr>
        <w:pStyle w:val="ListParagraph"/>
        <w:numPr>
          <w:ilvl w:val="0"/>
          <w:numId w:val="1"/>
        </w:numPr>
        <w:ind w:left="1418" w:hanging="284"/>
        <w:contextualSpacing w:val="0"/>
        <w:jc w:val="both"/>
        <w:rPr>
          <w:b/>
          <w:sz w:val="24"/>
          <w:szCs w:val="24"/>
          <w:lang w:val="en-GB"/>
        </w:rPr>
      </w:pPr>
      <w:r w:rsidRPr="00F3108B">
        <w:rPr>
          <w:b/>
          <w:sz w:val="24"/>
          <w:szCs w:val="24"/>
          <w:lang w:val="en-GB"/>
        </w:rPr>
        <w:t>Appendix F</w:t>
      </w:r>
      <w:r w:rsidRPr="00F3108B">
        <w:rPr>
          <w:sz w:val="24"/>
          <w:szCs w:val="24"/>
          <w:lang w:val="en-GB"/>
        </w:rPr>
        <w:t xml:space="preserve"> – The list of the technical rooms, according to article 27 (2) Law no. 61/1998;</w:t>
      </w:r>
    </w:p>
    <w:p w:rsidR="000E3042" w:rsidRPr="00F3108B" w:rsidRDefault="000E3042" w:rsidP="00CF574E">
      <w:pPr>
        <w:pStyle w:val="ListParagraph"/>
        <w:numPr>
          <w:ilvl w:val="0"/>
          <w:numId w:val="1"/>
        </w:numPr>
        <w:ind w:left="1418" w:hanging="284"/>
        <w:contextualSpacing w:val="0"/>
        <w:jc w:val="both"/>
        <w:rPr>
          <w:sz w:val="24"/>
          <w:szCs w:val="24"/>
          <w:lang w:val="en-GB"/>
        </w:rPr>
      </w:pPr>
      <w:r w:rsidRPr="00F3108B">
        <w:rPr>
          <w:b/>
          <w:sz w:val="24"/>
          <w:szCs w:val="24"/>
          <w:lang w:val="en-GB"/>
        </w:rPr>
        <w:t xml:space="preserve">Appendix G </w:t>
      </w:r>
      <w:r w:rsidRPr="00F3108B">
        <w:rPr>
          <w:sz w:val="24"/>
          <w:szCs w:val="24"/>
          <w:lang w:val="en-GB"/>
        </w:rPr>
        <w:t>- The list of import-tax free assets according to article 36 (1) (c) of Law no. 61/1998 regarding mines;</w:t>
      </w:r>
    </w:p>
    <w:p w:rsidR="000E3042" w:rsidRPr="00F3108B" w:rsidRDefault="000E3042" w:rsidP="00CF574E">
      <w:pPr>
        <w:pStyle w:val="ListParagraph"/>
        <w:numPr>
          <w:ilvl w:val="0"/>
          <w:numId w:val="1"/>
        </w:numPr>
        <w:ind w:left="1418" w:hanging="284"/>
        <w:contextualSpacing w:val="0"/>
        <w:jc w:val="both"/>
        <w:rPr>
          <w:sz w:val="24"/>
          <w:szCs w:val="24"/>
          <w:lang w:val="en-GB"/>
        </w:rPr>
      </w:pPr>
      <w:r w:rsidRPr="00F3108B">
        <w:rPr>
          <w:b/>
          <w:sz w:val="24"/>
          <w:szCs w:val="24"/>
          <w:lang w:val="en-GB"/>
        </w:rPr>
        <w:t xml:space="preserve">Appendix H </w:t>
      </w:r>
      <w:r w:rsidRPr="00F3108B">
        <w:rPr>
          <w:sz w:val="24"/>
          <w:szCs w:val="24"/>
          <w:lang w:val="en-GB"/>
        </w:rPr>
        <w:t>– The list of import-tax free equipment, machines, installations and spare parts necessary for mining activities, according to article 36 (1) (b) of Law no. 61/1998 regarding mines;</w:t>
      </w:r>
    </w:p>
    <w:p w:rsidR="000E3042" w:rsidRPr="00F3108B" w:rsidRDefault="000E3042" w:rsidP="00CF574E">
      <w:pPr>
        <w:pStyle w:val="ListParagraph"/>
        <w:numPr>
          <w:ilvl w:val="0"/>
          <w:numId w:val="1"/>
        </w:numPr>
        <w:ind w:left="1418" w:hanging="284"/>
        <w:jc w:val="both"/>
        <w:rPr>
          <w:sz w:val="24"/>
          <w:szCs w:val="24"/>
          <w:lang w:val="en-GB"/>
        </w:rPr>
      </w:pPr>
      <w:r w:rsidRPr="00F3108B">
        <w:rPr>
          <w:b/>
          <w:sz w:val="24"/>
          <w:szCs w:val="24"/>
          <w:lang w:val="en-GB"/>
        </w:rPr>
        <w:t xml:space="preserve">Appendix I </w:t>
      </w:r>
      <w:r w:rsidRPr="00F3108B">
        <w:rPr>
          <w:sz w:val="24"/>
          <w:szCs w:val="24"/>
          <w:lang w:val="en-GB"/>
        </w:rPr>
        <w:t>– The list of equipment, installations, and new machines that are not manufactured in Romania, but are imported and are necessary to rebuild the environment affected by the mining activities, according to article 36 (1) (d) of Law no. 61/1998 regarding mines.</w:t>
      </w:r>
    </w:p>
    <w:p w:rsidR="000E3042" w:rsidRDefault="000E3042" w:rsidP="00CF574E">
      <w:pPr>
        <w:rPr>
          <w:sz w:val="24"/>
          <w:szCs w:val="24"/>
          <w:lang w:val="en-GB"/>
        </w:rPr>
      </w:pPr>
      <w:r>
        <w:rPr>
          <w:sz w:val="24"/>
          <w:szCs w:val="24"/>
          <w:lang w:val="en-GB"/>
        </w:rPr>
        <w:t>We remain at your disposal for any further information.</w:t>
      </w:r>
    </w:p>
    <w:p w:rsidR="000E3042" w:rsidRDefault="000E3042" w:rsidP="00CF574E">
      <w:pPr>
        <w:rPr>
          <w:sz w:val="24"/>
          <w:szCs w:val="24"/>
          <w:lang w:val="en-GB"/>
        </w:rPr>
      </w:pPr>
      <w:r>
        <w:rPr>
          <w:sz w:val="24"/>
          <w:szCs w:val="24"/>
          <w:lang w:val="en-GB"/>
        </w:rPr>
        <w:br/>
        <w:t>Sincerely,</w:t>
      </w:r>
    </w:p>
    <w:p w:rsidR="000E3042" w:rsidRDefault="000E3042" w:rsidP="00CF574E">
      <w:pPr>
        <w:rPr>
          <w:sz w:val="24"/>
          <w:szCs w:val="24"/>
          <w:lang w:val="en-GB"/>
        </w:rPr>
      </w:pPr>
    </w:p>
    <w:p w:rsidR="000E3042" w:rsidRDefault="000E3042" w:rsidP="00CF574E">
      <w:pPr>
        <w:rPr>
          <w:sz w:val="24"/>
          <w:szCs w:val="24"/>
          <w:lang w:val="en-GB"/>
        </w:rPr>
      </w:pPr>
      <w:r>
        <w:rPr>
          <w:sz w:val="24"/>
          <w:szCs w:val="24"/>
          <w:lang w:val="en-GB"/>
        </w:rPr>
        <w:t>Secretary of State</w:t>
      </w:r>
    </w:p>
    <w:p w:rsidR="000E3042" w:rsidRDefault="000E3042" w:rsidP="00CF574E">
      <w:pPr>
        <w:rPr>
          <w:sz w:val="24"/>
          <w:szCs w:val="24"/>
          <w:lang w:val="en-GB"/>
        </w:rPr>
      </w:pPr>
      <w:r>
        <w:rPr>
          <w:sz w:val="24"/>
          <w:szCs w:val="24"/>
          <w:lang w:val="en-GB"/>
        </w:rPr>
        <w:t>Elena Dumitru</w:t>
      </w:r>
    </w:p>
    <w:p w:rsidR="000E3042" w:rsidRDefault="000E3042" w:rsidP="00CF574E">
      <w:pPr>
        <w:rPr>
          <w:sz w:val="24"/>
          <w:szCs w:val="24"/>
          <w:lang w:val="en-GB"/>
        </w:rPr>
      </w:pPr>
      <w:r>
        <w:rPr>
          <w:sz w:val="24"/>
          <w:szCs w:val="24"/>
          <w:lang w:val="en-GB"/>
        </w:rPr>
        <w:t>[</w:t>
      </w:r>
      <w:r>
        <w:rPr>
          <w:i/>
          <w:sz w:val="24"/>
          <w:szCs w:val="24"/>
          <w:lang w:val="en-GB"/>
        </w:rPr>
        <w:t>illegible signature</w:t>
      </w:r>
      <w:r>
        <w:rPr>
          <w:sz w:val="24"/>
          <w:szCs w:val="24"/>
          <w:lang w:val="en-GB"/>
        </w:rPr>
        <w:t>]</w:t>
      </w:r>
    </w:p>
    <w:p w:rsidR="000E3042" w:rsidRPr="00645DBE" w:rsidRDefault="000E3042" w:rsidP="00CF574E">
      <w:pPr>
        <w:rPr>
          <w:i/>
          <w:lang w:val="en-GB"/>
        </w:rPr>
      </w:pPr>
      <w:r>
        <w:rPr>
          <w:sz w:val="24"/>
          <w:szCs w:val="24"/>
          <w:lang w:val="en-GB"/>
        </w:rPr>
        <w:t>[</w:t>
      </w:r>
      <w:r>
        <w:rPr>
          <w:i/>
          <w:sz w:val="24"/>
          <w:szCs w:val="24"/>
          <w:lang w:val="en-GB"/>
        </w:rPr>
        <w:t>stamp]</w:t>
      </w:r>
    </w:p>
    <w:p w:rsidR="000E3042" w:rsidRPr="00645DBE" w:rsidRDefault="000E3042">
      <w:pPr>
        <w:rPr>
          <w:i/>
          <w:lang w:val="en-GB"/>
        </w:rPr>
      </w:pPr>
    </w:p>
    <w:sectPr w:rsidR="000E3042" w:rsidRPr="00645DBE" w:rsidSect="00CF29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42" w:rsidRDefault="000E3042" w:rsidP="00F3108B">
      <w:pPr>
        <w:spacing w:after="0" w:line="240" w:lineRule="auto"/>
      </w:pPr>
      <w:r>
        <w:separator/>
      </w:r>
    </w:p>
  </w:endnote>
  <w:endnote w:type="continuationSeparator" w:id="0">
    <w:p w:rsidR="000E3042" w:rsidRDefault="000E3042" w:rsidP="00F3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2" w:rsidRDefault="000E3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2" w:rsidRDefault="000E3042">
    <w:pPr>
      <w:pStyle w:val="Footer"/>
      <w:jc w:val="center"/>
    </w:pPr>
    <w:fldSimple w:instr=" PAGE   \* MERGEFORMAT ">
      <w:r>
        <w:rPr>
          <w:noProof/>
        </w:rPr>
        <w:t>1</w:t>
      </w:r>
    </w:fldSimple>
  </w:p>
  <w:p w:rsidR="000E3042" w:rsidRDefault="000E30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2" w:rsidRDefault="000E3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42" w:rsidRDefault="000E3042" w:rsidP="00F3108B">
      <w:pPr>
        <w:spacing w:after="0" w:line="240" w:lineRule="auto"/>
      </w:pPr>
      <w:r>
        <w:separator/>
      </w:r>
    </w:p>
  </w:footnote>
  <w:footnote w:type="continuationSeparator" w:id="0">
    <w:p w:rsidR="000E3042" w:rsidRDefault="000E3042" w:rsidP="00F3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2" w:rsidRDefault="000E304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030" o:spid="_x0000_s2049"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Unofficial English Trans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2" w:rsidRDefault="000E304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031" o:spid="_x0000_s2050" type="#_x0000_t136" style="position:absolute;margin-left:0;margin-top:0;width:577.35pt;height:82.45pt;rotation:315;z-index:-251657728;mso-position-horizontal:center;mso-position-horizontal-relative:margin;mso-position-vertical:center;mso-position-vertical-relative:margin" o:allowincell="f" fillcolor="silver" stroked="f">
          <v:fill opacity=".5"/>
          <v:textpath style="font-family:&quot;Calibri&quot;;font-size:1pt" string="Unofficial English Transl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2" w:rsidRDefault="000E304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029" o:spid="_x0000_s2051" type="#_x0000_t136" style="position:absolute;margin-left:0;margin-top:0;width:577.35pt;height:82.45pt;rotation:315;z-index:-251659776;mso-position-horizontal:center;mso-position-horizontal-relative:margin;mso-position-vertical:center;mso-position-vertical-relative:margin" o:allowincell="f" fillcolor="silver" stroked="f">
          <v:fill opacity=".5"/>
          <v:textpath style="font-family:&quot;Calibri&quot;;font-size:1pt" string="Unofficial English Trans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588A"/>
    <w:multiLevelType w:val="hybridMultilevel"/>
    <w:tmpl w:val="241244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0D49D3"/>
    <w:multiLevelType w:val="hybridMultilevel"/>
    <w:tmpl w:val="C690064A"/>
    <w:lvl w:ilvl="0" w:tplc="0418001B">
      <w:start w:val="1"/>
      <w:numFmt w:val="lowerRoman"/>
      <w:lvlText w:val="%1."/>
      <w:lvlJc w:val="righ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08B"/>
    <w:rsid w:val="000E3042"/>
    <w:rsid w:val="001707C4"/>
    <w:rsid w:val="00645DBE"/>
    <w:rsid w:val="006C397D"/>
    <w:rsid w:val="00C6022D"/>
    <w:rsid w:val="00CF2959"/>
    <w:rsid w:val="00CF574E"/>
    <w:rsid w:val="00F310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8B"/>
    <w:pPr>
      <w:spacing w:after="200" w:line="276" w:lineRule="auto"/>
    </w:pPr>
    <w:rPr>
      <w:rFonts w:eastAsia="SimSun"/>
      <w:lang w:val="ro-R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108B"/>
    <w:pPr>
      <w:ind w:left="720"/>
      <w:contextualSpacing/>
    </w:pPr>
  </w:style>
  <w:style w:type="paragraph" w:styleId="Header">
    <w:name w:val="header"/>
    <w:basedOn w:val="Normal"/>
    <w:link w:val="HeaderChar"/>
    <w:uiPriority w:val="99"/>
    <w:semiHidden/>
    <w:rsid w:val="00F31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3108B"/>
    <w:rPr>
      <w:rFonts w:ascii="Calibri" w:eastAsia="SimSun" w:hAnsi="Calibri" w:cs="Times New Roman"/>
      <w:lang w:val="ro-RO" w:eastAsia="zh-CN"/>
    </w:rPr>
  </w:style>
  <w:style w:type="paragraph" w:styleId="Footer">
    <w:name w:val="footer"/>
    <w:basedOn w:val="Normal"/>
    <w:link w:val="FooterChar"/>
    <w:uiPriority w:val="99"/>
    <w:rsid w:val="00F310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108B"/>
    <w:rPr>
      <w:rFonts w:ascii="Calibri" w:eastAsia="SimSun" w:hAnsi="Calibri" w:cs="Times New Roman"/>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1058</Words>
  <Characters>6140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Romania</dc:title>
  <dc:subject/>
  <dc:creator>Dan</dc:creator>
  <cp:keywords/>
  <dc:description/>
  <cp:lastModifiedBy>Daniela Pineta</cp:lastModifiedBy>
  <cp:revision>2</cp:revision>
  <dcterms:created xsi:type="dcterms:W3CDTF">2013-05-20T13:33:00Z</dcterms:created>
  <dcterms:modified xsi:type="dcterms:W3CDTF">2013-05-20T13:33:00Z</dcterms:modified>
</cp:coreProperties>
</file>