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11D6" w14:textId="77777777" w:rsidR="00691FEB" w:rsidRDefault="00691FEB"/>
    <w:p w14:paraId="104102F3" w14:textId="77777777" w:rsidR="00691FEB" w:rsidRDefault="00691FEB"/>
    <w:p w14:paraId="1E0CAE92" w14:textId="3914E970" w:rsidR="00691FEB" w:rsidRPr="002B49A3" w:rsidRDefault="00691FEB" w:rsidP="00691FEB">
      <w:pPr>
        <w:pStyle w:val="NormalWeb"/>
        <w:jc w:val="both"/>
        <w:rPr>
          <w:lang w:val="en-GB"/>
        </w:rPr>
      </w:pPr>
      <w:r w:rsidRPr="002B139F">
        <w:rPr>
          <w:lang w:val="en-GB"/>
        </w:rPr>
        <w:t>This document repl</w:t>
      </w:r>
      <w:r>
        <w:rPr>
          <w:lang w:val="en-GB"/>
        </w:rPr>
        <w:t>a</w:t>
      </w:r>
      <w:r w:rsidRPr="002B139F">
        <w:rPr>
          <w:lang w:val="en-GB"/>
        </w:rPr>
        <w:t>ce</w:t>
      </w:r>
      <w:r>
        <w:rPr>
          <w:lang w:val="en-GB"/>
        </w:rPr>
        <w:t>s</w:t>
      </w:r>
      <w:r w:rsidRPr="002B139F">
        <w:rPr>
          <w:lang w:val="en-GB"/>
        </w:rPr>
        <w:t xml:space="preserve"> the o</w:t>
      </w:r>
      <w:r>
        <w:rPr>
          <w:lang w:val="en-GB"/>
        </w:rPr>
        <w:t xml:space="preserve">fficial document </w:t>
      </w:r>
      <w:r w:rsidRPr="00EC1ABB">
        <w:rPr>
          <w:lang w:val="en-US"/>
        </w:rPr>
        <w:t>ECE</w:t>
      </w:r>
      <w:r>
        <w:rPr>
          <w:lang w:val="en-US"/>
        </w:rPr>
        <w:t>/</w:t>
      </w:r>
      <w:r w:rsidRPr="00EC1ABB">
        <w:rPr>
          <w:lang w:val="en-US"/>
        </w:rPr>
        <w:t>TRANS</w:t>
      </w:r>
      <w:r>
        <w:rPr>
          <w:lang w:val="en-US"/>
        </w:rPr>
        <w:t>/</w:t>
      </w:r>
      <w:r w:rsidRPr="00EC1ABB">
        <w:rPr>
          <w:lang w:val="en-US"/>
        </w:rPr>
        <w:t>WP</w:t>
      </w:r>
      <w:r>
        <w:rPr>
          <w:lang w:val="en-US"/>
        </w:rPr>
        <w:t>.</w:t>
      </w:r>
      <w:r w:rsidRPr="00EC1ABB">
        <w:rPr>
          <w:lang w:val="en-US"/>
        </w:rPr>
        <w:t>29</w:t>
      </w:r>
      <w:r>
        <w:rPr>
          <w:lang w:val="en-US"/>
        </w:rPr>
        <w:t>/</w:t>
      </w:r>
      <w:r w:rsidRPr="00EC1ABB">
        <w:rPr>
          <w:lang w:val="en-US"/>
        </w:rPr>
        <w:t>GRE</w:t>
      </w:r>
      <w:r>
        <w:rPr>
          <w:lang w:val="en-US"/>
        </w:rPr>
        <w:t>/</w:t>
      </w:r>
      <w:r w:rsidRPr="00EC1ABB">
        <w:rPr>
          <w:lang w:val="en-US"/>
        </w:rPr>
        <w:t>202</w:t>
      </w:r>
      <w:r>
        <w:rPr>
          <w:lang w:val="en-US"/>
        </w:rPr>
        <w:t>4/5</w:t>
      </w:r>
      <w:r w:rsidR="00450622">
        <w:rPr>
          <w:lang w:val="en-US"/>
        </w:rPr>
        <w:t xml:space="preserve"> by extending the amendment proposed to paragraph 6.1.9.1. (</w:t>
      </w:r>
      <w:r w:rsidR="00450622" w:rsidRPr="00450622">
        <w:rPr>
          <w:lang w:val="en-US"/>
        </w:rPr>
        <w:t>Main beam headlamp</w:t>
      </w:r>
      <w:r w:rsidR="00450622">
        <w:rPr>
          <w:lang w:val="en-US"/>
        </w:rPr>
        <w:t>) also to paragraph 6.22.9.5. (AFS).</w:t>
      </w:r>
    </w:p>
    <w:p w14:paraId="602C3916" w14:textId="77777777" w:rsidR="00691FEB" w:rsidRDefault="00691FEB"/>
    <w:p w14:paraId="07F3B0EC" w14:textId="77777777" w:rsidR="00691FEB" w:rsidRDefault="00691FEB"/>
    <w:p w14:paraId="60ACCDB5" w14:textId="13037E9F" w:rsidR="009265AA" w:rsidRPr="00CB28A9" w:rsidRDefault="009265AA" w:rsidP="00CB28A9">
      <w:pPr>
        <w:pStyle w:val="HChG"/>
      </w:pPr>
      <w:r>
        <w:tab/>
      </w:r>
      <w:r w:rsidRPr="00525E6C">
        <w:t>I.</w:t>
      </w:r>
      <w:r w:rsidRPr="00525E6C">
        <w:tab/>
        <w:t>Proposal</w:t>
      </w:r>
    </w:p>
    <w:p w14:paraId="5A4392CB" w14:textId="77777777" w:rsidR="004E2058" w:rsidRDefault="004E2058" w:rsidP="004E205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Paragraph 6.1.9.1.,</w:t>
      </w:r>
      <w:r>
        <w:rPr>
          <w:rFonts w:asciiTheme="majorBidi" w:hAnsiTheme="majorBidi" w:cstheme="majorBidi"/>
        </w:rPr>
        <w:t xml:space="preserve"> amend to read:</w:t>
      </w:r>
    </w:p>
    <w:p w14:paraId="2C069298" w14:textId="7E80434D" w:rsidR="00CD1236" w:rsidRDefault="004E2058" w:rsidP="00C15C7D">
      <w:pPr>
        <w:pStyle w:val="para0"/>
        <w:rPr>
          <w:lang w:val="en-US"/>
        </w:rPr>
      </w:pPr>
      <w:r>
        <w:rPr>
          <w:rFonts w:asciiTheme="majorBidi" w:hAnsiTheme="majorBidi" w:cstheme="majorBidi"/>
          <w:lang w:val="en-US"/>
        </w:rPr>
        <w:t>“</w:t>
      </w:r>
      <w:r w:rsidRPr="00D62371">
        <w:rPr>
          <w:rFonts w:asciiTheme="majorBidi" w:hAnsiTheme="majorBidi" w:cstheme="majorBidi"/>
          <w:lang w:val="en-US"/>
        </w:rPr>
        <w:t>6.1.9.1.</w:t>
      </w:r>
      <w:r w:rsidRPr="00D62371">
        <w:rPr>
          <w:rFonts w:asciiTheme="majorBidi" w:hAnsiTheme="majorBidi" w:cstheme="majorBidi"/>
          <w:lang w:val="en-US"/>
        </w:rPr>
        <w:tab/>
      </w:r>
      <w:bookmarkStart w:id="0" w:name="_Hlk104992242"/>
      <w:r w:rsidRPr="004E2058">
        <w:rPr>
          <w:lang w:val="en-US"/>
        </w:rPr>
        <w:t>The</w:t>
      </w:r>
      <w:r w:rsidRPr="00D62371">
        <w:rPr>
          <w:rFonts w:asciiTheme="majorBidi" w:hAnsiTheme="majorBidi" w:cstheme="majorBidi"/>
          <w:lang w:val="en-US"/>
        </w:rPr>
        <w:t xml:space="preserve"> </w:t>
      </w:r>
      <w:r w:rsidRPr="00D62371">
        <w:rPr>
          <w:rFonts w:asciiTheme="majorBidi" w:hAnsiTheme="majorBidi" w:cstheme="majorBidi"/>
          <w:b/>
          <w:bCs/>
          <w:lang w:val="en-US"/>
        </w:rPr>
        <w:t xml:space="preserve">reference value corresponding to an </w:t>
      </w:r>
      <w:r w:rsidRPr="00D62371">
        <w:rPr>
          <w:rFonts w:asciiTheme="majorBidi" w:hAnsiTheme="majorBidi" w:cstheme="majorBidi"/>
          <w:lang w:val="en-US"/>
        </w:rPr>
        <w:t>aggregate maximum intensity of the main</w:t>
      </w:r>
      <w:r w:rsidRPr="00D62371">
        <w:rPr>
          <w:rFonts w:asciiTheme="majorBidi" w:hAnsiTheme="majorBidi" w:cstheme="majorBidi"/>
          <w:lang w:val="en-US"/>
        </w:rPr>
        <w:noBreakHyphen/>
        <w:t xml:space="preserve">beam headlamps which can be switched ON simultaneously shall not exceed </w:t>
      </w:r>
      <w:r w:rsidRPr="00D62371">
        <w:rPr>
          <w:rFonts w:asciiTheme="majorBidi" w:hAnsiTheme="majorBidi" w:cstheme="majorBidi"/>
          <w:strike/>
          <w:lang w:val="en-US"/>
        </w:rPr>
        <w:t xml:space="preserve">430,000 cd, which corresponds to a </w:t>
      </w:r>
      <w:r w:rsidR="00CA12BD" w:rsidRPr="00D62371">
        <w:rPr>
          <w:rFonts w:asciiTheme="majorBidi" w:hAnsiTheme="majorBidi" w:cstheme="majorBidi"/>
          <w:strike/>
          <w:lang w:val="en-US"/>
        </w:rPr>
        <w:t xml:space="preserve">reference </w:t>
      </w:r>
      <w:r w:rsidRPr="00D62371">
        <w:rPr>
          <w:rFonts w:asciiTheme="majorBidi" w:hAnsiTheme="majorBidi" w:cstheme="majorBidi"/>
          <w:strike/>
          <w:lang w:val="en-US"/>
        </w:rPr>
        <w:t>value of</w:t>
      </w:r>
      <w:r w:rsidRPr="00D62371">
        <w:rPr>
          <w:rFonts w:asciiTheme="majorBidi" w:hAnsiTheme="majorBidi" w:cstheme="majorBidi"/>
          <w:lang w:val="en-US"/>
        </w:rPr>
        <w:t xml:space="preserve"> 100</w:t>
      </w:r>
      <w:r w:rsidRPr="004E2058">
        <w:rPr>
          <w:lang w:val="en-US"/>
        </w:rPr>
        <w:t>.</w:t>
      </w:r>
      <w:r>
        <w:rPr>
          <w:lang w:val="en-US"/>
        </w:rPr>
        <w:t>”</w:t>
      </w:r>
      <w:bookmarkEnd w:id="0"/>
    </w:p>
    <w:p w14:paraId="33EFA17B" w14:textId="77777777" w:rsidR="006706A5" w:rsidRDefault="006706A5" w:rsidP="00C15C7D">
      <w:pPr>
        <w:pStyle w:val="para0"/>
        <w:rPr>
          <w:lang w:val="en-US"/>
        </w:rPr>
      </w:pPr>
    </w:p>
    <w:p w14:paraId="585EB489" w14:textId="7D6683B8" w:rsidR="00B141DA" w:rsidRDefault="00B141DA" w:rsidP="00B141DA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Paragraph 6.22.9.5.,</w:t>
      </w:r>
      <w:r>
        <w:rPr>
          <w:rFonts w:asciiTheme="majorBidi" w:hAnsiTheme="majorBidi" w:cstheme="majorBidi"/>
        </w:rPr>
        <w:t xml:space="preserve"> amend to read:</w:t>
      </w:r>
    </w:p>
    <w:p w14:paraId="59B986CA" w14:textId="7D5ECC6C" w:rsidR="006706A5" w:rsidRPr="00B141DA" w:rsidRDefault="00B141DA" w:rsidP="00B141DA">
      <w:pPr>
        <w:pStyle w:val="para0"/>
        <w:rPr>
          <w:lang w:val="en-GB"/>
        </w:rPr>
      </w:pPr>
      <w:r w:rsidRPr="00B141DA">
        <w:rPr>
          <w:rFonts w:asciiTheme="majorBidi" w:hAnsiTheme="majorBidi" w:cstheme="majorBidi"/>
          <w:lang w:val="en-GB"/>
        </w:rPr>
        <w:t>“6.22.9.5.</w:t>
      </w:r>
      <w:r w:rsidRPr="00B141DA">
        <w:rPr>
          <w:rFonts w:asciiTheme="majorBidi" w:hAnsiTheme="majorBidi" w:cstheme="majorBidi"/>
          <w:lang w:val="en-GB"/>
        </w:rPr>
        <w:tab/>
      </w:r>
      <w:r w:rsidR="006706A5" w:rsidRPr="00B141DA">
        <w:rPr>
          <w:rFonts w:asciiTheme="majorBidi" w:hAnsiTheme="majorBidi" w:cstheme="majorBidi"/>
          <w:lang w:val="en-GB"/>
        </w:rPr>
        <w:t>The</w:t>
      </w:r>
      <w:r w:rsidR="006706A5" w:rsidRPr="00B141DA">
        <w:rPr>
          <w:lang w:val="en-GB"/>
        </w:rPr>
        <w:t xml:space="preserve"> </w:t>
      </w:r>
      <w:r w:rsidR="006706A5" w:rsidRPr="00B141DA">
        <w:rPr>
          <w:b/>
          <w:bCs/>
          <w:lang w:val="en-GB"/>
        </w:rPr>
        <w:t xml:space="preserve">reference value corresponding to an </w:t>
      </w:r>
      <w:r w:rsidR="006706A5" w:rsidRPr="00B141DA">
        <w:rPr>
          <w:lang w:val="en-GB"/>
        </w:rPr>
        <w:t xml:space="preserve">aggregate maximum intensity of the lighting units that can be energized simultaneously to provide the main-beam lighting or its modes, if any, shall not exceed </w:t>
      </w:r>
      <w:r w:rsidR="006706A5" w:rsidRPr="00B141DA">
        <w:rPr>
          <w:strike/>
          <w:lang w:val="en-GB"/>
        </w:rPr>
        <w:t>430,000 cd, which corresponds to a reference value of</w:t>
      </w:r>
      <w:r w:rsidR="006706A5" w:rsidRPr="00B141DA">
        <w:rPr>
          <w:lang w:val="en-GB"/>
        </w:rPr>
        <w:t xml:space="preserve"> 100.</w:t>
      </w:r>
    </w:p>
    <w:p w14:paraId="69953E55" w14:textId="6C1DB124" w:rsidR="006706A5" w:rsidRDefault="006706A5" w:rsidP="00B141DA">
      <w:pPr>
        <w:pStyle w:val="para0"/>
        <w:ind w:firstLine="0"/>
        <w:rPr>
          <w:lang w:val="en-GB"/>
        </w:rPr>
      </w:pPr>
      <w:r w:rsidRPr="00B141DA">
        <w:rPr>
          <w:lang w:val="en-GB"/>
        </w:rPr>
        <w:t>This maximum intensity shall be obtained by adding together the individual reference marks indicated on the several installation units that are simultaneously used to provide the main-beam.</w:t>
      </w:r>
      <w:r w:rsidR="00B141DA">
        <w:rPr>
          <w:lang w:val="en-GB"/>
        </w:rPr>
        <w:t>”</w:t>
      </w:r>
    </w:p>
    <w:p w14:paraId="49DAB579" w14:textId="77777777" w:rsidR="001B6B52" w:rsidRDefault="001B6B52" w:rsidP="00B141DA">
      <w:pPr>
        <w:pStyle w:val="para0"/>
        <w:ind w:firstLine="0"/>
        <w:rPr>
          <w:lang w:val="en-GB"/>
        </w:rPr>
      </w:pPr>
    </w:p>
    <w:p w14:paraId="575CEC35" w14:textId="77777777" w:rsidR="00691FEB" w:rsidRPr="00B141DA" w:rsidRDefault="00691FEB" w:rsidP="00B141DA">
      <w:pPr>
        <w:pStyle w:val="para0"/>
        <w:ind w:firstLine="0"/>
        <w:rPr>
          <w:lang w:val="en-GB"/>
        </w:rPr>
      </w:pPr>
    </w:p>
    <w:p w14:paraId="09B90E1E" w14:textId="77777777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487126DD" w14:textId="428EA81B" w:rsidR="00491995" w:rsidRDefault="00706A00" w:rsidP="00111B26">
      <w:pPr>
        <w:pStyle w:val="SingleTxtG"/>
        <w:rPr>
          <w:lang w:eastAsia="fr-FR"/>
        </w:rPr>
      </w:pPr>
      <w:r>
        <w:rPr>
          <w:lang w:eastAsia="fr-FR"/>
        </w:rPr>
        <w:t>1.</w:t>
      </w:r>
      <w:r>
        <w:rPr>
          <w:lang w:eastAsia="fr-FR"/>
        </w:rPr>
        <w:tab/>
      </w:r>
      <w:r w:rsidR="00A433EA" w:rsidRPr="00A433EA">
        <w:rPr>
          <w:lang w:eastAsia="fr-FR"/>
        </w:rPr>
        <w:t xml:space="preserve">It is defined in </w:t>
      </w:r>
      <w:r w:rsidR="009A49C6">
        <w:rPr>
          <w:lang w:eastAsia="fr-FR"/>
        </w:rPr>
        <w:t xml:space="preserve">UN Regulations Nos. 48 and 149 </w:t>
      </w:r>
      <w:r w:rsidR="00A433EA" w:rsidRPr="00A433EA">
        <w:rPr>
          <w:lang w:eastAsia="fr-FR"/>
        </w:rPr>
        <w:t xml:space="preserve">that rounding of </w:t>
      </w:r>
      <w:r w:rsidR="004B33D7">
        <w:rPr>
          <w:lang w:eastAsia="fr-FR"/>
        </w:rPr>
        <w:t xml:space="preserve">the </w:t>
      </w:r>
      <w:r w:rsidR="004B33D7" w:rsidRPr="007F738B">
        <w:rPr>
          <w:lang w:val="en-US"/>
        </w:rPr>
        <w:t>reference mark (I′</w:t>
      </w:r>
      <w:r w:rsidR="004B33D7" w:rsidRPr="007F738B">
        <w:rPr>
          <w:vertAlign w:val="subscript"/>
          <w:lang w:val="en-US"/>
        </w:rPr>
        <w:t>M</w:t>
      </w:r>
      <w:r w:rsidR="004B33D7" w:rsidRPr="007F738B">
        <w:rPr>
          <w:lang w:val="en-US"/>
        </w:rPr>
        <w:t xml:space="preserve">) </w:t>
      </w:r>
      <w:r w:rsidR="00A433EA" w:rsidRPr="00A433EA">
        <w:rPr>
          <w:lang w:eastAsia="fr-FR"/>
        </w:rPr>
        <w:t>shall be done to the nearest defined</w:t>
      </w:r>
      <w:r w:rsidR="00165D7B">
        <w:rPr>
          <w:lang w:eastAsia="fr-FR"/>
        </w:rPr>
        <w:t xml:space="preserve"> value</w:t>
      </w:r>
      <w:r w:rsidR="00A433EA" w:rsidRPr="00A433EA">
        <w:rPr>
          <w:lang w:eastAsia="fr-FR"/>
        </w:rPr>
        <w:t>. Due to uneven steps between the possible reference marks</w:t>
      </w:r>
      <w:r w:rsidR="000E1951">
        <w:rPr>
          <w:lang w:eastAsia="fr-FR"/>
        </w:rPr>
        <w:t>,</w:t>
      </w:r>
      <w:r w:rsidR="00A433EA" w:rsidRPr="00A433EA">
        <w:rPr>
          <w:lang w:eastAsia="fr-FR"/>
        </w:rPr>
        <w:t xml:space="preserve"> the rounding error can</w:t>
      </w:r>
      <w:r w:rsidR="000E1951">
        <w:rPr>
          <w:lang w:eastAsia="fr-FR"/>
        </w:rPr>
        <w:t xml:space="preserve"> </w:t>
      </w:r>
      <w:r w:rsidR="00A433EA" w:rsidRPr="00A433EA">
        <w:rPr>
          <w:lang w:eastAsia="fr-FR"/>
        </w:rPr>
        <w:t xml:space="preserve">be quite large </w:t>
      </w:r>
      <w:r w:rsidR="000E1951">
        <w:rPr>
          <w:lang w:eastAsia="fr-FR"/>
        </w:rPr>
        <w:t>under certain circumstances</w:t>
      </w:r>
      <w:r w:rsidR="000E1951" w:rsidRPr="00A433EA">
        <w:rPr>
          <w:lang w:eastAsia="fr-FR"/>
        </w:rPr>
        <w:t xml:space="preserve"> </w:t>
      </w:r>
      <w:r w:rsidR="00A433EA" w:rsidRPr="00A433EA">
        <w:rPr>
          <w:lang w:eastAsia="fr-FR"/>
        </w:rPr>
        <w:t>and</w:t>
      </w:r>
      <w:r w:rsidR="000E1951">
        <w:rPr>
          <w:lang w:eastAsia="fr-FR"/>
        </w:rPr>
        <w:t>,</w:t>
      </w:r>
      <w:r w:rsidR="00A433EA" w:rsidRPr="00A433EA">
        <w:rPr>
          <w:lang w:eastAsia="fr-FR"/>
        </w:rPr>
        <w:t xml:space="preserve"> when the maximum luminous intensities are summed </w:t>
      </w:r>
      <w:r w:rsidR="00284E9E">
        <w:rPr>
          <w:lang w:eastAsia="fr-FR"/>
        </w:rPr>
        <w:t xml:space="preserve">up, </w:t>
      </w:r>
      <w:r w:rsidR="00A433EA" w:rsidRPr="00A433EA">
        <w:rPr>
          <w:lang w:eastAsia="fr-FR"/>
        </w:rPr>
        <w:t xml:space="preserve">it is possible to have a </w:t>
      </w:r>
      <w:r w:rsidR="004B33D7">
        <w:rPr>
          <w:lang w:eastAsia="fr-FR"/>
        </w:rPr>
        <w:t>total</w:t>
      </w:r>
      <w:r w:rsidR="00A433EA" w:rsidRPr="00A433EA">
        <w:rPr>
          <w:lang w:eastAsia="fr-FR"/>
        </w:rPr>
        <w:t xml:space="preserve"> </w:t>
      </w:r>
      <w:r w:rsidR="00284E9E">
        <w:rPr>
          <w:lang w:eastAsia="fr-FR"/>
        </w:rPr>
        <w:t>luminous intensity that exceeds the allowed maximum of</w:t>
      </w:r>
      <w:r w:rsidR="00284E9E" w:rsidRPr="00A433EA">
        <w:rPr>
          <w:lang w:eastAsia="fr-FR"/>
        </w:rPr>
        <w:t xml:space="preserve"> </w:t>
      </w:r>
      <w:r w:rsidR="00A433EA" w:rsidRPr="00A433EA">
        <w:rPr>
          <w:lang w:eastAsia="fr-FR"/>
        </w:rPr>
        <w:t>430</w:t>
      </w:r>
      <w:r w:rsidR="004B33D7">
        <w:rPr>
          <w:lang w:eastAsia="fr-FR"/>
        </w:rPr>
        <w:t>,</w:t>
      </w:r>
      <w:r w:rsidR="00A433EA" w:rsidRPr="00A433EA">
        <w:rPr>
          <w:lang w:eastAsia="fr-FR"/>
        </w:rPr>
        <w:t>000 cd.</w:t>
      </w:r>
    </w:p>
    <w:p w14:paraId="05E1746F" w14:textId="7B91F5FD" w:rsidR="00AE554F" w:rsidRDefault="00AE554F" w:rsidP="00111B26">
      <w:pPr>
        <w:pStyle w:val="SingleTxtG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</w:r>
      <w:r w:rsidR="00A433EA" w:rsidRPr="00A433EA">
        <w:rPr>
          <w:lang w:eastAsia="fr-FR"/>
        </w:rPr>
        <w:t xml:space="preserve">To avoid reducing the allowed peak intensity that is relevant for the </w:t>
      </w:r>
      <w:r w:rsidR="005A768F" w:rsidRPr="00A433EA">
        <w:rPr>
          <w:lang w:eastAsia="fr-FR"/>
        </w:rPr>
        <w:t>range</w:t>
      </w:r>
      <w:r w:rsidR="00A433EA" w:rsidRPr="00A433EA">
        <w:rPr>
          <w:lang w:eastAsia="fr-FR"/>
        </w:rPr>
        <w:t xml:space="preserve"> of the driving</w:t>
      </w:r>
      <w:r w:rsidR="004B33D7">
        <w:rPr>
          <w:lang w:eastAsia="fr-FR"/>
        </w:rPr>
        <w:t>-</w:t>
      </w:r>
      <w:r w:rsidR="00A433EA" w:rsidRPr="00A433EA">
        <w:rPr>
          <w:lang w:eastAsia="fr-FR"/>
        </w:rPr>
        <w:t xml:space="preserve">beam, it is </w:t>
      </w:r>
      <w:r w:rsidR="005A768F">
        <w:rPr>
          <w:lang w:eastAsia="fr-FR"/>
        </w:rPr>
        <w:t>proposed</w:t>
      </w:r>
      <w:r w:rsidR="00A433EA" w:rsidRPr="00A433EA">
        <w:rPr>
          <w:lang w:eastAsia="fr-FR"/>
        </w:rPr>
        <w:t xml:space="preserve"> to remove the double requirement of a sum of reference marks and a sum of maximum luminous intensities</w:t>
      </w:r>
      <w:r>
        <w:rPr>
          <w:lang w:eastAsia="fr-FR"/>
        </w:rPr>
        <w:t>.</w:t>
      </w:r>
    </w:p>
    <w:p w14:paraId="3D57AFF5" w14:textId="35774375" w:rsidR="00E63B57" w:rsidRPr="004F092F" w:rsidRDefault="004F092F" w:rsidP="004F092F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62D4240D" w14:textId="77777777" w:rsidR="004B33D7" w:rsidRDefault="004B33D7" w:rsidP="00111B26">
      <w:pPr>
        <w:pStyle w:val="SingleTxtG"/>
        <w:rPr>
          <w:lang w:eastAsia="fr-FR"/>
        </w:rPr>
      </w:pPr>
    </w:p>
    <w:sectPr w:rsidR="004B33D7" w:rsidSect="006B14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E384" w14:textId="77777777" w:rsidR="006B1413" w:rsidRDefault="006B1413"/>
  </w:endnote>
  <w:endnote w:type="continuationSeparator" w:id="0">
    <w:p w14:paraId="7DC0B95A" w14:textId="77777777" w:rsidR="006B1413" w:rsidRDefault="006B1413"/>
  </w:endnote>
  <w:endnote w:type="continuationNotice" w:id="1">
    <w:p w14:paraId="6C424BB6" w14:textId="77777777" w:rsidR="006B1413" w:rsidRDefault="006B1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FF11" w14:textId="77777777" w:rsidR="00975A80" w:rsidRDefault="0097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5C48" w14:textId="77777777" w:rsidR="00975A80" w:rsidRDefault="0097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3E63" w14:textId="77777777" w:rsidR="006B1413" w:rsidRPr="000B175B" w:rsidRDefault="006B14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EB16DF" w14:textId="77777777" w:rsidR="006B1413" w:rsidRPr="00FC68B7" w:rsidRDefault="006B14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57C264" w14:textId="77777777" w:rsidR="006B1413" w:rsidRDefault="006B1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E4E0" w14:textId="77777777" w:rsidR="00975A80" w:rsidRDefault="00975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691FEB" w:rsidRPr="00290326" w14:paraId="0DF2F1C1" w14:textId="77777777" w:rsidTr="00CB4066">
      <w:trPr>
        <w:trHeight w:val="624"/>
      </w:trPr>
      <w:tc>
        <w:tcPr>
          <w:tcW w:w="4536" w:type="dxa"/>
        </w:tcPr>
        <w:p w14:paraId="24B93458" w14:textId="77777777" w:rsidR="00691FEB" w:rsidRPr="00290326" w:rsidRDefault="00691FEB" w:rsidP="00691FEB">
          <w:pPr>
            <w:suppressAutoHyphens w:val="0"/>
            <w:ind w:right="67"/>
            <w:rPr>
              <w:rFonts w:eastAsia="Calibri"/>
              <w:lang w:val="en-TT" w:eastAsia="ar-SA"/>
            </w:rPr>
          </w:pPr>
          <w:r w:rsidRPr="00290326">
            <w:rPr>
              <w:rFonts w:eastAsia="Calibri"/>
            </w:rPr>
            <w:t xml:space="preserve">Transmitted by the </w:t>
          </w:r>
          <w:r w:rsidRPr="00290326">
            <w:rPr>
              <w:rFonts w:eastAsia="Calibri"/>
              <w:lang w:eastAsia="ja-JP"/>
            </w:rPr>
            <w:t>experts from</w:t>
          </w:r>
          <w:r w:rsidRPr="00290326">
            <w:rPr>
              <w:rFonts w:eastAsia="Calibri"/>
            </w:rPr>
            <w:t xml:space="preserve"> The International Automotive Lighting and Light Signalling Expert Group (GTB) </w:t>
          </w:r>
        </w:p>
      </w:tc>
      <w:tc>
        <w:tcPr>
          <w:tcW w:w="5103" w:type="dxa"/>
        </w:tcPr>
        <w:p w14:paraId="7019EB42" w14:textId="4CD03D40" w:rsidR="00691FEB" w:rsidRPr="00217A72" w:rsidRDefault="00691FEB" w:rsidP="00691FEB">
          <w:pPr>
            <w:suppressAutoHyphens w:val="0"/>
            <w:ind w:left="1418"/>
            <w:jc w:val="right"/>
            <w:rPr>
              <w:rFonts w:eastAsia="Calibri"/>
              <w:b/>
              <w:bCs/>
              <w:color w:val="000000"/>
              <w:lang w:val="en-US" w:eastAsia="ar-SA"/>
            </w:rPr>
          </w:pPr>
          <w:r w:rsidRPr="00217A72">
            <w:rPr>
              <w:rFonts w:eastAsia="Calibri"/>
              <w:u w:val="single"/>
              <w:lang w:val="en-US" w:eastAsia="ar-SA"/>
            </w:rPr>
            <w:t>Informal document</w:t>
          </w:r>
          <w:r w:rsidRPr="00217A72">
            <w:rPr>
              <w:rFonts w:eastAsia="Calibri"/>
              <w:lang w:val="en-US" w:eastAsia="ar-SA"/>
            </w:rPr>
            <w:t xml:space="preserve"> </w:t>
          </w:r>
          <w:r w:rsidRPr="00217A72">
            <w:rPr>
              <w:rFonts w:eastAsia="Calibri"/>
              <w:b/>
              <w:bCs/>
              <w:lang w:val="en-US" w:eastAsia="ar-SA"/>
            </w:rPr>
            <w:t>GRE-</w:t>
          </w:r>
          <w:r>
            <w:rPr>
              <w:rFonts w:eastAsia="Calibri"/>
              <w:b/>
              <w:bCs/>
              <w:lang w:val="en-US" w:eastAsia="ar-SA"/>
            </w:rPr>
            <w:t>90</w:t>
          </w:r>
          <w:r w:rsidRPr="00217A72">
            <w:rPr>
              <w:rFonts w:eastAsia="Calibri"/>
              <w:b/>
              <w:bCs/>
              <w:lang w:val="en-US" w:eastAsia="ar-SA"/>
            </w:rPr>
            <w:t>-</w:t>
          </w:r>
          <w:r w:rsidR="00975A80">
            <w:rPr>
              <w:rFonts w:eastAsia="Calibri"/>
              <w:b/>
              <w:bCs/>
              <w:lang w:val="en-US" w:eastAsia="ar-SA"/>
            </w:rPr>
            <w:t>10</w:t>
          </w:r>
        </w:p>
        <w:p w14:paraId="2D633445" w14:textId="741A7830" w:rsidR="00691FEB" w:rsidRPr="00290326" w:rsidRDefault="00691FEB" w:rsidP="00691FEB">
          <w:pPr>
            <w:jc w:val="right"/>
          </w:pPr>
          <w:r w:rsidRPr="00217A72">
            <w:rPr>
              <w:rFonts w:eastAsia="Calibri"/>
              <w:lang w:val="en-US" w:eastAsia="ar-SA"/>
            </w:rPr>
            <w:t>(</w:t>
          </w:r>
          <w:r w:rsidR="00450622">
            <w:rPr>
              <w:rFonts w:eastAsia="Calibri"/>
              <w:lang w:val="en-US" w:eastAsia="ar-SA"/>
            </w:rPr>
            <w:t>90</w:t>
          </w:r>
          <w:r w:rsidRPr="00217A72">
            <w:rPr>
              <w:rFonts w:eastAsia="Calibri"/>
              <w:lang w:val="en-US" w:eastAsia="ar-SA"/>
            </w:rPr>
            <w:t xml:space="preserve">th GRE, </w:t>
          </w:r>
          <w:r>
            <w:rPr>
              <w:rFonts w:eastAsia="Calibri"/>
              <w:lang w:val="en-US"/>
            </w:rPr>
            <w:t>29</w:t>
          </w:r>
          <w:r w:rsidRPr="00290326">
            <w:t xml:space="preserve"> </w:t>
          </w:r>
          <w:r w:rsidR="00450622">
            <w:t>April / 3 May</w:t>
          </w:r>
          <w:r w:rsidRPr="00290326">
            <w:t xml:space="preserve"> 202</w:t>
          </w:r>
          <w:r w:rsidR="00450622">
            <w:t>4</w:t>
          </w:r>
        </w:p>
        <w:p w14:paraId="51D9071E" w14:textId="77777777" w:rsidR="00691FEB" w:rsidRPr="00290326" w:rsidRDefault="00691FEB" w:rsidP="00691FEB">
          <w:pPr>
            <w:spacing w:line="240" w:lineRule="auto"/>
            <w:contextualSpacing/>
            <w:jc w:val="right"/>
            <w:rPr>
              <w:rFonts w:eastAsia="Calibri"/>
              <w:lang w:val="en-TT" w:eastAsia="ar-SA"/>
            </w:rPr>
          </w:pPr>
          <w:r w:rsidRPr="00080281">
            <w:rPr>
              <w:bCs/>
            </w:rPr>
            <w:t>Item 6 (a) of</w:t>
          </w:r>
          <w:r w:rsidRPr="00290326">
            <w:rPr>
              <w:bCs/>
            </w:rPr>
            <w:t xml:space="preserve"> the agenda</w:t>
          </w:r>
          <w:r>
            <w:rPr>
              <w:bCs/>
            </w:rPr>
            <w:t>)</w:t>
          </w:r>
        </w:p>
      </w:tc>
    </w:tr>
  </w:tbl>
  <w:p w14:paraId="5E6157D7" w14:textId="77777777" w:rsidR="00C740F6" w:rsidRPr="00A6183A" w:rsidRDefault="00C740F6" w:rsidP="00691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1"/>
  </w:num>
  <w:num w:numId="2" w16cid:durableId="479347135">
    <w:abstractNumId w:val="18"/>
  </w:num>
  <w:num w:numId="3" w16cid:durableId="1674647666">
    <w:abstractNumId w:val="10"/>
  </w:num>
  <w:num w:numId="4" w16cid:durableId="384450639">
    <w:abstractNumId w:val="16"/>
  </w:num>
  <w:num w:numId="5" w16cid:durableId="1008947859">
    <w:abstractNumId w:val="17"/>
  </w:num>
  <w:num w:numId="6" w16cid:durableId="1864397896">
    <w:abstractNumId w:val="3"/>
  </w:num>
  <w:num w:numId="7" w16cid:durableId="805004135">
    <w:abstractNumId w:val="2"/>
  </w:num>
  <w:num w:numId="8" w16cid:durableId="74790847">
    <w:abstractNumId w:val="15"/>
  </w:num>
  <w:num w:numId="9" w16cid:durableId="1546214503">
    <w:abstractNumId w:val="8"/>
  </w:num>
  <w:num w:numId="10" w16cid:durableId="1105881446">
    <w:abstractNumId w:val="9"/>
  </w:num>
  <w:num w:numId="11" w16cid:durableId="1078406041">
    <w:abstractNumId w:val="7"/>
  </w:num>
  <w:num w:numId="12" w16cid:durableId="1696229310">
    <w:abstractNumId w:val="0"/>
  </w:num>
  <w:num w:numId="13" w16cid:durableId="1703045859">
    <w:abstractNumId w:val="20"/>
  </w:num>
  <w:num w:numId="14" w16cid:durableId="1574048366">
    <w:abstractNumId w:val="6"/>
  </w:num>
  <w:num w:numId="15" w16cid:durableId="1352604448">
    <w:abstractNumId w:val="12"/>
  </w:num>
  <w:num w:numId="16" w16cid:durableId="1100494220">
    <w:abstractNumId w:val="4"/>
  </w:num>
  <w:num w:numId="17" w16cid:durableId="883636123">
    <w:abstractNumId w:val="21"/>
  </w:num>
  <w:num w:numId="18" w16cid:durableId="391275985">
    <w:abstractNumId w:val="11"/>
  </w:num>
  <w:num w:numId="19" w16cid:durableId="1399790029">
    <w:abstractNumId w:val="19"/>
  </w:num>
  <w:num w:numId="20" w16cid:durableId="1924336526">
    <w:abstractNumId w:val="13"/>
  </w:num>
  <w:num w:numId="21" w16cid:durableId="24137658">
    <w:abstractNumId w:val="14"/>
  </w:num>
  <w:num w:numId="22" w16cid:durableId="102093770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36B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2F82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5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0B13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D7B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0BAA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6B52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2622"/>
    <w:rsid w:val="00203D9E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04AB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5B7B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753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4E9E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088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E7E48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1D3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57A5D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2CB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622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622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1995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3D7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058"/>
    <w:rsid w:val="004E2BAE"/>
    <w:rsid w:val="004E2DA8"/>
    <w:rsid w:val="004E3262"/>
    <w:rsid w:val="004E3411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92F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1E7E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68F"/>
    <w:rsid w:val="005A77A2"/>
    <w:rsid w:val="005B13E1"/>
    <w:rsid w:val="005B2FE4"/>
    <w:rsid w:val="005B3D60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54C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376D"/>
    <w:rsid w:val="005F46D0"/>
    <w:rsid w:val="005F4813"/>
    <w:rsid w:val="005F48DA"/>
    <w:rsid w:val="005F4B65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6A5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1FEB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0FF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413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6A00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3E41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01E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0D1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D46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638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473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0E2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644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5A80"/>
    <w:rsid w:val="00976F4D"/>
    <w:rsid w:val="009771A5"/>
    <w:rsid w:val="009773B5"/>
    <w:rsid w:val="0098097A"/>
    <w:rsid w:val="0098192A"/>
    <w:rsid w:val="00982D31"/>
    <w:rsid w:val="0098363C"/>
    <w:rsid w:val="00983DA8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9C6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A4E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2B8C"/>
    <w:rsid w:val="00A1317B"/>
    <w:rsid w:val="00A13218"/>
    <w:rsid w:val="00A137BA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54BC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3EA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5188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DA7"/>
    <w:rsid w:val="00AC17DC"/>
    <w:rsid w:val="00AC1DCA"/>
    <w:rsid w:val="00AC2023"/>
    <w:rsid w:val="00AC2638"/>
    <w:rsid w:val="00AC2961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54F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38B7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41DA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2EB6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5C58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1DC9"/>
    <w:rsid w:val="00BB2AE7"/>
    <w:rsid w:val="00BB3575"/>
    <w:rsid w:val="00BB4866"/>
    <w:rsid w:val="00BB5548"/>
    <w:rsid w:val="00BB55C1"/>
    <w:rsid w:val="00BB77EC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4AE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5C7D"/>
    <w:rsid w:val="00C15DB0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C74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4CF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2BD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4A6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36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97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1DC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371"/>
    <w:rsid w:val="00D62651"/>
    <w:rsid w:val="00D62895"/>
    <w:rsid w:val="00D62F33"/>
    <w:rsid w:val="00D63D6A"/>
    <w:rsid w:val="00D63E5F"/>
    <w:rsid w:val="00D63EAC"/>
    <w:rsid w:val="00D642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49D9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0B"/>
    <w:rsid w:val="00E6333B"/>
    <w:rsid w:val="00E634B7"/>
    <w:rsid w:val="00E63B57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1D1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572A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6EB"/>
    <w:rsid w:val="00EF18DA"/>
    <w:rsid w:val="00EF1D7F"/>
    <w:rsid w:val="00EF1FCC"/>
    <w:rsid w:val="00EF2489"/>
    <w:rsid w:val="00EF2B15"/>
    <w:rsid w:val="00EF30C9"/>
    <w:rsid w:val="00EF400E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CEF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3AA1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0F1DC-7692-463C-BED3-DD4FC8365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85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ECE/TRANS/WP.29/GRE/2024/5</vt:lpstr>
      <vt:lpstr>ECE/TRANS/WP.29/GRE/2022/10</vt:lpstr>
      <vt:lpstr>ECE/TRANS/WP.29/GRE/2020/9</vt:lpstr>
      <vt:lpstr>ECE/TRANS/WP.29/GRE/2018/49</vt:lpstr>
    </vt:vector>
  </TitlesOfParts>
  <Company>CSD</Company>
  <LinksUpToDate>false</LinksUpToDate>
  <CharactersWithSpaces>1617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ECE/TRANS/WP.29/GRE/2024/5</dc:title>
  <dc:subject>2402068</dc:subject>
  <dc:creator>AFTER JUNE</dc:creator>
  <cp:keywords/>
  <dc:description/>
  <cp:lastModifiedBy>Secretariat editorial modifications</cp:lastModifiedBy>
  <cp:revision>6</cp:revision>
  <cp:lastPrinted>2022-07-26T12:04:00Z</cp:lastPrinted>
  <dcterms:created xsi:type="dcterms:W3CDTF">2024-02-06T10:25:00Z</dcterms:created>
  <dcterms:modified xsi:type="dcterms:W3CDTF">2024-04-15T12:17:00Z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