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5B25D29" w14:textId="77777777" w:rsidTr="00C97039">
        <w:trPr>
          <w:trHeight w:hRule="exact" w:val="851"/>
        </w:trPr>
        <w:tc>
          <w:tcPr>
            <w:tcW w:w="1276" w:type="dxa"/>
            <w:tcBorders>
              <w:bottom w:val="single" w:sz="4" w:space="0" w:color="auto"/>
            </w:tcBorders>
          </w:tcPr>
          <w:p w14:paraId="38B87A32" w14:textId="77777777" w:rsidR="00F35BAF" w:rsidRPr="00DB58B5" w:rsidRDefault="00F35BAF" w:rsidP="00977113"/>
        </w:tc>
        <w:tc>
          <w:tcPr>
            <w:tcW w:w="2268" w:type="dxa"/>
            <w:tcBorders>
              <w:bottom w:val="single" w:sz="4" w:space="0" w:color="auto"/>
            </w:tcBorders>
            <w:vAlign w:val="bottom"/>
          </w:tcPr>
          <w:p w14:paraId="1834951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48BE1E" w14:textId="51789B33" w:rsidR="00F35BAF" w:rsidRPr="00DB58B5" w:rsidRDefault="00977113" w:rsidP="00977113">
            <w:pPr>
              <w:jc w:val="right"/>
            </w:pPr>
            <w:r w:rsidRPr="00977113">
              <w:rPr>
                <w:sz w:val="40"/>
              </w:rPr>
              <w:t>ECE</w:t>
            </w:r>
            <w:r>
              <w:t>/TRANS/WP.29/2024/23</w:t>
            </w:r>
          </w:p>
        </w:tc>
      </w:tr>
      <w:tr w:rsidR="00F35BAF" w:rsidRPr="00DB58B5" w14:paraId="4E000740" w14:textId="77777777" w:rsidTr="00C97039">
        <w:trPr>
          <w:trHeight w:hRule="exact" w:val="2835"/>
        </w:trPr>
        <w:tc>
          <w:tcPr>
            <w:tcW w:w="1276" w:type="dxa"/>
            <w:tcBorders>
              <w:top w:val="single" w:sz="4" w:space="0" w:color="auto"/>
              <w:bottom w:val="single" w:sz="12" w:space="0" w:color="auto"/>
            </w:tcBorders>
          </w:tcPr>
          <w:p w14:paraId="06ACED0D" w14:textId="77777777" w:rsidR="00F35BAF" w:rsidRPr="00DB58B5" w:rsidRDefault="00F35BAF" w:rsidP="00C97039">
            <w:pPr>
              <w:spacing w:before="120"/>
              <w:jc w:val="center"/>
            </w:pPr>
            <w:r>
              <w:rPr>
                <w:noProof/>
                <w:lang w:eastAsia="fr-CH"/>
              </w:rPr>
              <w:drawing>
                <wp:inline distT="0" distB="0" distL="0" distR="0" wp14:anchorId="363DF789" wp14:editId="024E08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0EC89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A3D54B" w14:textId="77777777" w:rsidR="00F35BAF" w:rsidRDefault="00977113" w:rsidP="00C97039">
            <w:pPr>
              <w:spacing w:before="240"/>
            </w:pPr>
            <w:r>
              <w:t>Distr. générale</w:t>
            </w:r>
          </w:p>
          <w:p w14:paraId="4F026346" w14:textId="77777777" w:rsidR="00977113" w:rsidRDefault="00977113" w:rsidP="00977113">
            <w:pPr>
              <w:spacing w:line="240" w:lineRule="exact"/>
            </w:pPr>
            <w:r>
              <w:t>20 décembre 2023</w:t>
            </w:r>
          </w:p>
          <w:p w14:paraId="43D360A0" w14:textId="77777777" w:rsidR="00977113" w:rsidRDefault="00977113" w:rsidP="00977113">
            <w:pPr>
              <w:spacing w:line="240" w:lineRule="exact"/>
            </w:pPr>
            <w:r>
              <w:t>Français</w:t>
            </w:r>
          </w:p>
          <w:p w14:paraId="59312908" w14:textId="5B483898" w:rsidR="00977113" w:rsidRPr="00DB58B5" w:rsidRDefault="00977113" w:rsidP="00977113">
            <w:pPr>
              <w:spacing w:line="240" w:lineRule="exact"/>
            </w:pPr>
            <w:r>
              <w:t>Original : anglais</w:t>
            </w:r>
          </w:p>
        </w:tc>
      </w:tr>
    </w:tbl>
    <w:p w14:paraId="7222F8F0" w14:textId="77777777" w:rsidR="007F20FA" w:rsidRPr="000312C0" w:rsidRDefault="007F20FA" w:rsidP="007F20FA">
      <w:pPr>
        <w:spacing w:before="120"/>
        <w:rPr>
          <w:b/>
          <w:sz w:val="28"/>
          <w:szCs w:val="28"/>
        </w:rPr>
      </w:pPr>
      <w:r w:rsidRPr="000312C0">
        <w:rPr>
          <w:b/>
          <w:sz w:val="28"/>
          <w:szCs w:val="28"/>
        </w:rPr>
        <w:t>Commission économique pour l’Europe</w:t>
      </w:r>
    </w:p>
    <w:p w14:paraId="42B51576" w14:textId="77777777" w:rsidR="007F20FA" w:rsidRDefault="007F20FA" w:rsidP="007F20FA">
      <w:pPr>
        <w:spacing w:before="120"/>
        <w:rPr>
          <w:sz w:val="28"/>
          <w:szCs w:val="28"/>
        </w:rPr>
      </w:pPr>
      <w:r w:rsidRPr="00685843">
        <w:rPr>
          <w:sz w:val="28"/>
          <w:szCs w:val="28"/>
        </w:rPr>
        <w:t>Comité des transports intérieurs</w:t>
      </w:r>
    </w:p>
    <w:p w14:paraId="6540EBFD" w14:textId="77777777" w:rsidR="00977113" w:rsidRDefault="0097711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3894064" w14:textId="77777777" w:rsidR="00977113" w:rsidRPr="00A50CB0" w:rsidRDefault="00977113" w:rsidP="00977113">
      <w:pPr>
        <w:spacing w:before="120"/>
        <w:ind w:right="1134"/>
        <w:rPr>
          <w:b/>
        </w:rPr>
      </w:pPr>
      <w:r>
        <w:rPr>
          <w:b/>
          <w:bCs/>
          <w:lang w:val="fr-FR"/>
        </w:rPr>
        <w:t>192</w:t>
      </w:r>
      <w:r w:rsidRPr="00136F6A">
        <w:rPr>
          <w:b/>
          <w:bCs/>
          <w:vertAlign w:val="superscript"/>
          <w:lang w:val="fr-FR"/>
        </w:rPr>
        <w:t>e</w:t>
      </w:r>
      <w:r>
        <w:rPr>
          <w:b/>
          <w:bCs/>
          <w:lang w:val="fr-FR"/>
        </w:rPr>
        <w:t> </w:t>
      </w:r>
      <w:r w:rsidRPr="00A50CB0">
        <w:rPr>
          <w:b/>
          <w:bCs/>
          <w:lang w:val="fr-FR"/>
        </w:rPr>
        <w:t>session</w:t>
      </w:r>
    </w:p>
    <w:p w14:paraId="63780947" w14:textId="77777777" w:rsidR="00977113" w:rsidRPr="00A50CB0" w:rsidRDefault="00977113" w:rsidP="00977113">
      <w:pPr>
        <w:ind w:right="1134"/>
      </w:pPr>
      <w:r w:rsidRPr="00A50CB0">
        <w:rPr>
          <w:lang w:val="fr-FR"/>
        </w:rPr>
        <w:t xml:space="preserve">Genève, </w:t>
      </w:r>
      <w:r>
        <w:rPr>
          <w:lang w:val="fr-FR"/>
        </w:rPr>
        <w:t>5-8 mars 2024</w:t>
      </w:r>
    </w:p>
    <w:p w14:paraId="0F08D78A" w14:textId="77777777" w:rsidR="00977113" w:rsidRPr="00A50CB0" w:rsidRDefault="00977113" w:rsidP="00977113">
      <w:pPr>
        <w:ind w:right="1134"/>
        <w:rPr>
          <w:bCs/>
        </w:rPr>
      </w:pPr>
      <w:r w:rsidRPr="00A50CB0">
        <w:rPr>
          <w:lang w:val="fr-FR"/>
        </w:rPr>
        <w:t>Point 4</w:t>
      </w:r>
      <w:r>
        <w:rPr>
          <w:lang w:val="fr-FR"/>
        </w:rPr>
        <w:t>.9.8</w:t>
      </w:r>
      <w:r w:rsidRPr="00A50CB0">
        <w:rPr>
          <w:lang w:val="fr-FR"/>
        </w:rPr>
        <w:t xml:space="preserve"> de l</w:t>
      </w:r>
      <w:r>
        <w:rPr>
          <w:lang w:val="fr-FR"/>
        </w:rPr>
        <w:t>’</w:t>
      </w:r>
      <w:r w:rsidRPr="00A50CB0">
        <w:rPr>
          <w:lang w:val="fr-FR"/>
        </w:rPr>
        <w:t>ordre du jour provisoire</w:t>
      </w:r>
    </w:p>
    <w:p w14:paraId="61418E71" w14:textId="1D0D5AF2" w:rsidR="00977113" w:rsidRPr="00260127" w:rsidRDefault="00977113" w:rsidP="00977113">
      <w:pPr>
        <w:ind w:right="1467"/>
        <w:rPr>
          <w:b/>
          <w:bCs/>
        </w:rPr>
      </w:pPr>
      <w:r>
        <w:rPr>
          <w:b/>
          <w:bCs/>
          <w:lang w:val="fr-FR"/>
        </w:rPr>
        <w:t>Accord de 1958 :</w:t>
      </w:r>
      <w:r>
        <w:rPr>
          <w:b/>
          <w:bCs/>
          <w:lang w:val="fr-FR"/>
        </w:rPr>
        <w:br/>
      </w:r>
      <w:r w:rsidRPr="00045268">
        <w:rPr>
          <w:b/>
          <w:bCs/>
          <w:lang w:val="fr-FR"/>
        </w:rPr>
        <w:t>Examen de projets d</w:t>
      </w:r>
      <w:r>
        <w:rPr>
          <w:b/>
          <w:bCs/>
          <w:lang w:val="fr-FR"/>
        </w:rPr>
        <w:t>’</w:t>
      </w:r>
      <w:r w:rsidRPr="00045268">
        <w:rPr>
          <w:b/>
          <w:bCs/>
          <w:lang w:val="fr-FR"/>
        </w:rPr>
        <w:t xml:space="preserve">amendements à </w:t>
      </w:r>
      <w:r w:rsidRPr="00260127">
        <w:rPr>
          <w:b/>
          <w:bCs/>
          <w:lang w:val="fr-FR"/>
        </w:rPr>
        <w:t xml:space="preserve">des Règlements ONU </w:t>
      </w:r>
      <w:r w:rsidRPr="00045268">
        <w:rPr>
          <w:b/>
          <w:bCs/>
          <w:lang w:val="fr-FR"/>
        </w:rPr>
        <w:t xml:space="preserve">existants, </w:t>
      </w:r>
      <w:r>
        <w:rPr>
          <w:b/>
          <w:bCs/>
          <w:lang w:val="fr-FR"/>
        </w:rPr>
        <w:br/>
      </w:r>
      <w:r w:rsidRPr="00045268">
        <w:rPr>
          <w:b/>
          <w:bCs/>
          <w:lang w:val="fr-FR"/>
        </w:rPr>
        <w:t xml:space="preserve">soumis par le GRE </w:t>
      </w:r>
    </w:p>
    <w:p w14:paraId="2B025F91" w14:textId="2466B59B" w:rsidR="00977113" w:rsidRPr="00F97023" w:rsidRDefault="00977113" w:rsidP="00977113">
      <w:pPr>
        <w:pStyle w:val="HChG"/>
      </w:pPr>
      <w:r w:rsidRPr="00F97023">
        <w:rPr>
          <w:lang w:val="fr-FR"/>
        </w:rPr>
        <w:tab/>
      </w:r>
      <w:r w:rsidRPr="00F97023">
        <w:rPr>
          <w:lang w:val="fr-FR"/>
        </w:rPr>
        <w:tab/>
        <w:t xml:space="preserve">Proposition de complément </w:t>
      </w:r>
      <w:r>
        <w:rPr>
          <w:lang w:val="fr-FR"/>
        </w:rPr>
        <w:t xml:space="preserve">2 </w:t>
      </w:r>
      <w:r w:rsidRPr="00F97023">
        <w:rPr>
          <w:lang w:val="fr-FR"/>
        </w:rPr>
        <w:t>à la série</w:t>
      </w:r>
      <w:r>
        <w:rPr>
          <w:lang w:val="fr-FR"/>
        </w:rPr>
        <w:t> </w:t>
      </w:r>
      <w:r w:rsidRPr="00F97023">
        <w:rPr>
          <w:lang w:val="fr-FR"/>
        </w:rPr>
        <w:t>01 d</w:t>
      </w:r>
      <w:r>
        <w:rPr>
          <w:lang w:val="fr-FR"/>
        </w:rPr>
        <w:t>’</w:t>
      </w:r>
      <w:r w:rsidRPr="00F97023">
        <w:rPr>
          <w:lang w:val="fr-FR"/>
        </w:rPr>
        <w:t>amendements</w:t>
      </w:r>
      <w:r>
        <w:rPr>
          <w:lang w:val="fr-FR"/>
        </w:rPr>
        <w:t xml:space="preserve"> </w:t>
      </w:r>
      <w:r>
        <w:rPr>
          <w:lang w:val="fr-FR"/>
        </w:rPr>
        <w:br/>
      </w:r>
      <w:r w:rsidRPr="00F97023">
        <w:rPr>
          <w:lang w:val="fr-FR"/>
        </w:rPr>
        <w:t>au Règlement ONU n</w:t>
      </w:r>
      <w:r w:rsidRPr="00260127">
        <w:rPr>
          <w:vertAlign w:val="superscript"/>
          <w:lang w:val="fr-FR"/>
        </w:rPr>
        <w:t>o</w:t>
      </w:r>
      <w:r w:rsidRPr="00260127">
        <w:rPr>
          <w:lang w:val="fr-FR"/>
        </w:rPr>
        <w:t> </w:t>
      </w:r>
      <w:r w:rsidRPr="00F97023">
        <w:rPr>
          <w:lang w:val="fr-FR"/>
        </w:rPr>
        <w:t>148</w:t>
      </w:r>
      <w:r>
        <w:rPr>
          <w:lang w:val="fr-FR"/>
        </w:rPr>
        <w:t xml:space="preserve"> (Dispositifs de signalisation lumineuse)</w:t>
      </w:r>
    </w:p>
    <w:p w14:paraId="15190157" w14:textId="1351BDEC" w:rsidR="00977113" w:rsidRPr="00F97023" w:rsidRDefault="00977113" w:rsidP="00977113">
      <w:pPr>
        <w:pStyle w:val="H1G"/>
      </w:pPr>
      <w:r w:rsidRPr="00F97023">
        <w:rPr>
          <w:lang w:val="fr-FR"/>
        </w:rPr>
        <w:tab/>
      </w:r>
      <w:r w:rsidRPr="00F97023">
        <w:rPr>
          <w:lang w:val="fr-FR"/>
        </w:rPr>
        <w:tab/>
        <w:t xml:space="preserve">Communication du </w:t>
      </w:r>
      <w:r>
        <w:rPr>
          <w:lang w:val="fr-FR"/>
        </w:rPr>
        <w:t>G</w:t>
      </w:r>
      <w:r w:rsidRPr="00F97023">
        <w:rPr>
          <w:lang w:val="fr-FR"/>
        </w:rPr>
        <w:t>roupe de travail de l</w:t>
      </w:r>
      <w:r>
        <w:rPr>
          <w:lang w:val="fr-FR"/>
        </w:rPr>
        <w:t>’</w:t>
      </w:r>
      <w:r w:rsidRPr="00F97023">
        <w:rPr>
          <w:lang w:val="fr-FR"/>
        </w:rPr>
        <w:t xml:space="preserve">éclairage </w:t>
      </w:r>
      <w:r>
        <w:rPr>
          <w:lang w:val="fr-FR"/>
        </w:rPr>
        <w:br/>
      </w:r>
      <w:r w:rsidRPr="00F97023">
        <w:rPr>
          <w:lang w:val="fr-FR"/>
        </w:rPr>
        <w:t xml:space="preserve">et </w:t>
      </w:r>
      <w:r>
        <w:rPr>
          <w:lang w:val="fr-FR"/>
        </w:rPr>
        <w:t>de</w:t>
      </w:r>
      <w:r w:rsidRPr="00F97023">
        <w:rPr>
          <w:lang w:val="fr-FR"/>
        </w:rPr>
        <w:t xml:space="preserve"> la</w:t>
      </w:r>
      <w:r>
        <w:rPr>
          <w:lang w:val="fr-FR"/>
        </w:rPr>
        <w:t xml:space="preserve"> </w:t>
      </w:r>
      <w:r w:rsidRPr="00F97023">
        <w:rPr>
          <w:lang w:val="fr-FR"/>
        </w:rPr>
        <w:t>signalisation lumineus</w:t>
      </w:r>
      <w:r>
        <w:rPr>
          <w:lang w:val="fr-FR"/>
        </w:rPr>
        <w:t>e</w:t>
      </w:r>
      <w:r w:rsidRPr="00260127">
        <w:rPr>
          <w:rStyle w:val="Appelnotedebasdep"/>
          <w:b w:val="0"/>
          <w:bCs/>
          <w:sz w:val="20"/>
          <w:vertAlign w:val="baseline"/>
        </w:rPr>
        <w:footnoteReference w:customMarkFollows="1" w:id="2"/>
        <w:t>*</w:t>
      </w:r>
    </w:p>
    <w:p w14:paraId="7B551AE7" w14:textId="32A52C30" w:rsidR="00977113" w:rsidRDefault="00977113" w:rsidP="00977113">
      <w:pPr>
        <w:pStyle w:val="SingleTxtG"/>
        <w:ind w:firstLine="567"/>
        <w:rPr>
          <w:lang w:val="fr-FR"/>
        </w:rPr>
      </w:pPr>
      <w:r>
        <w:rPr>
          <w:lang w:val="fr-FR"/>
        </w:rPr>
        <w:t xml:space="preserve">Le </w:t>
      </w:r>
      <w:r w:rsidRPr="00F97023">
        <w:rPr>
          <w:lang w:val="fr-FR"/>
        </w:rPr>
        <w:t xml:space="preserve">texte ci-après, </w:t>
      </w:r>
      <w:r>
        <w:rPr>
          <w:lang w:val="fr-FR"/>
        </w:rPr>
        <w:t>adopté</w:t>
      </w:r>
      <w:r w:rsidRPr="00F97023">
        <w:rPr>
          <w:lang w:val="fr-FR"/>
        </w:rPr>
        <w:t xml:space="preserve"> par le </w:t>
      </w:r>
      <w:r>
        <w:rPr>
          <w:rStyle w:val="preferred"/>
        </w:rPr>
        <w:t xml:space="preserve">Groupe de travail de l’éclairage et de la signalisation lumineuse (GRE) à sa quatre-vingt-neuvième session </w:t>
      </w:r>
      <w:r w:rsidRPr="00136F6A">
        <w:rPr>
          <w:lang w:val="fr-FR"/>
        </w:rPr>
        <w:t xml:space="preserve">(ECE/TRANS/WP.29/GRE/89, par. 9 </w:t>
      </w:r>
      <w:r>
        <w:rPr>
          <w:lang w:val="fr-FR"/>
        </w:rPr>
        <w:t>et</w:t>
      </w:r>
      <w:r w:rsidRPr="00136F6A">
        <w:rPr>
          <w:lang w:val="fr-FR"/>
        </w:rPr>
        <w:t xml:space="preserve"> 16)</w:t>
      </w:r>
      <w:r>
        <w:rPr>
          <w:lang w:val="fr-FR"/>
        </w:rPr>
        <w:t xml:space="preserve">, est fondé sur les documents </w:t>
      </w:r>
      <w:r w:rsidRPr="00045268">
        <w:rPr>
          <w:lang w:val="fr-FR"/>
        </w:rPr>
        <w:t xml:space="preserve">ECE/TRANS/WP.29/GRE/2023/14 </w:t>
      </w:r>
      <w:r>
        <w:rPr>
          <w:lang w:val="fr-FR"/>
        </w:rPr>
        <w:t xml:space="preserve">et </w:t>
      </w:r>
      <w:r w:rsidRPr="00045268">
        <w:rPr>
          <w:lang w:val="fr-FR"/>
        </w:rPr>
        <w:t>ECE/TRANS/WP.29/GRE/2023/20</w:t>
      </w:r>
      <w:r>
        <w:rPr>
          <w:lang w:val="fr-FR"/>
        </w:rPr>
        <w:t xml:space="preserve">. </w:t>
      </w:r>
      <w:r w:rsidRPr="00045268">
        <w:rPr>
          <w:lang w:val="fr-FR"/>
        </w:rPr>
        <w:t>Il est soumis au Forum mondial de l</w:t>
      </w:r>
      <w:r>
        <w:rPr>
          <w:lang w:val="fr-FR"/>
        </w:rPr>
        <w:t>’</w:t>
      </w:r>
      <w:r w:rsidRPr="00045268">
        <w:rPr>
          <w:lang w:val="fr-FR"/>
        </w:rPr>
        <w:t>harmonisation des Règlements concernant les véhicules (WP.29) et au Comité d</w:t>
      </w:r>
      <w:r>
        <w:rPr>
          <w:lang w:val="fr-FR"/>
        </w:rPr>
        <w:t>’</w:t>
      </w:r>
      <w:r w:rsidRPr="00045268">
        <w:rPr>
          <w:lang w:val="fr-FR"/>
        </w:rPr>
        <w:t>administration de l</w:t>
      </w:r>
      <w:r>
        <w:rPr>
          <w:lang w:val="fr-FR"/>
        </w:rPr>
        <w:t>’</w:t>
      </w:r>
      <w:r w:rsidRPr="00045268">
        <w:rPr>
          <w:lang w:val="fr-FR"/>
        </w:rPr>
        <w:t xml:space="preserve">Accord de 1958 (AC.1) pour examen à leurs sessions de </w:t>
      </w:r>
      <w:r>
        <w:rPr>
          <w:lang w:val="fr-FR"/>
        </w:rPr>
        <w:t>mars 2024</w:t>
      </w:r>
      <w:r w:rsidRPr="00045268">
        <w:rPr>
          <w:lang w:val="fr-FR"/>
        </w:rPr>
        <w:t>.</w:t>
      </w:r>
      <w:bookmarkStart w:id="0" w:name="_Hlk78276087"/>
      <w:bookmarkEnd w:id="0"/>
    </w:p>
    <w:p w14:paraId="0AF607E2" w14:textId="77777777" w:rsidR="00977113" w:rsidRDefault="00977113" w:rsidP="00977113">
      <w:pPr>
        <w:suppressAutoHyphens w:val="0"/>
        <w:kinsoku/>
        <w:overflowPunct/>
        <w:autoSpaceDE/>
        <w:autoSpaceDN/>
        <w:adjustRightInd/>
        <w:snapToGrid/>
        <w:spacing w:after="200" w:line="276" w:lineRule="auto"/>
        <w:rPr>
          <w:lang w:val="fr-FR"/>
        </w:rPr>
      </w:pPr>
      <w:r>
        <w:rPr>
          <w:lang w:val="fr-FR"/>
        </w:rPr>
        <w:br w:type="page"/>
      </w:r>
    </w:p>
    <w:p w14:paraId="5AD0781C" w14:textId="77777777" w:rsidR="00977113" w:rsidRPr="00F97023" w:rsidRDefault="00977113" w:rsidP="00977113">
      <w:pPr>
        <w:pStyle w:val="SingleTxtG"/>
      </w:pPr>
      <w:r w:rsidRPr="00F97023">
        <w:rPr>
          <w:i/>
          <w:iCs/>
          <w:lang w:val="fr-FR"/>
        </w:rPr>
        <w:lastRenderedPageBreak/>
        <w:t>Le paragraphe</w:t>
      </w:r>
      <w:r>
        <w:rPr>
          <w:i/>
          <w:iCs/>
          <w:lang w:val="fr-FR"/>
        </w:rPr>
        <w:t> </w:t>
      </w:r>
      <w:r w:rsidRPr="00F97023">
        <w:rPr>
          <w:i/>
          <w:iCs/>
          <w:lang w:val="fr-FR"/>
        </w:rPr>
        <w:t>3.3.1.2</w:t>
      </w:r>
      <w:r w:rsidRPr="00F97023">
        <w:rPr>
          <w:lang w:val="fr-FR"/>
        </w:rPr>
        <w:t xml:space="preserve"> devient le paragraphe 3.3.1.1.1</w:t>
      </w:r>
      <w:r>
        <w:rPr>
          <w:lang w:val="fr-FR"/>
        </w:rPr>
        <w:t>.</w:t>
      </w:r>
    </w:p>
    <w:p w14:paraId="0A9CB7CC" w14:textId="77777777" w:rsidR="00977113" w:rsidRPr="00F97023" w:rsidRDefault="00977113" w:rsidP="00977113">
      <w:pPr>
        <w:pStyle w:val="SingleTxtG"/>
      </w:pPr>
      <w:r w:rsidRPr="00F97023">
        <w:rPr>
          <w:i/>
          <w:iCs/>
        </w:rPr>
        <w:t>Le paragraphe</w:t>
      </w:r>
      <w:r>
        <w:rPr>
          <w:i/>
          <w:iCs/>
        </w:rPr>
        <w:t> </w:t>
      </w:r>
      <w:r w:rsidRPr="00F97023">
        <w:rPr>
          <w:i/>
          <w:iCs/>
        </w:rPr>
        <w:t>3.3.1.3</w:t>
      </w:r>
      <w:r w:rsidRPr="00F97023">
        <w:t xml:space="preserve"> devient le paragraphe 3.3.1.2</w:t>
      </w:r>
      <w:r>
        <w:t>.</w:t>
      </w:r>
    </w:p>
    <w:p w14:paraId="3943B69F" w14:textId="77777777" w:rsidR="00977113" w:rsidRPr="00BB7F52" w:rsidRDefault="00977113" w:rsidP="00977113">
      <w:pPr>
        <w:pStyle w:val="SingleTxtG"/>
      </w:pPr>
      <w:r w:rsidRPr="00F97023">
        <w:rPr>
          <w:i/>
          <w:iCs/>
          <w:lang w:val="fr-FR"/>
        </w:rPr>
        <w:t>Paragraphe</w:t>
      </w:r>
      <w:r>
        <w:rPr>
          <w:i/>
          <w:iCs/>
          <w:lang w:val="fr-FR"/>
        </w:rPr>
        <w:t> </w:t>
      </w:r>
      <w:r w:rsidRPr="00F97023">
        <w:rPr>
          <w:i/>
          <w:iCs/>
          <w:lang w:val="fr-FR"/>
        </w:rPr>
        <w:t>3.3.4.4,</w:t>
      </w:r>
      <w:r w:rsidRPr="00F97023">
        <w:rPr>
          <w:lang w:val="fr-FR"/>
        </w:rPr>
        <w:t xml:space="preserve"> </w:t>
      </w:r>
      <w:r>
        <w:rPr>
          <w:lang w:val="fr-FR"/>
        </w:rPr>
        <w:t>modification sans objet en français.</w:t>
      </w:r>
    </w:p>
    <w:p w14:paraId="75C1BD5D" w14:textId="77777777" w:rsidR="00977113" w:rsidRPr="00F97023" w:rsidRDefault="00977113" w:rsidP="00977113">
      <w:pPr>
        <w:pStyle w:val="SingleTxtG"/>
      </w:pPr>
      <w:r w:rsidRPr="00F97023">
        <w:rPr>
          <w:i/>
          <w:iCs/>
          <w:lang w:val="fr-FR"/>
        </w:rPr>
        <w:t>Tableau</w:t>
      </w:r>
      <w:r>
        <w:rPr>
          <w:i/>
          <w:iCs/>
          <w:lang w:val="fr-FR"/>
        </w:rPr>
        <w:t> </w:t>
      </w:r>
      <w:r w:rsidRPr="00F97023">
        <w:rPr>
          <w:i/>
          <w:iCs/>
          <w:lang w:val="fr-FR"/>
        </w:rPr>
        <w:t>8</w:t>
      </w:r>
      <w:r w:rsidRPr="00F97023">
        <w:rPr>
          <w:lang w:val="fr-FR"/>
        </w:rPr>
        <w:t>, lire</w:t>
      </w:r>
      <w:r>
        <w:rPr>
          <w:lang w:val="fr-FR"/>
        </w:rPr>
        <w:t> :</w:t>
      </w:r>
    </w:p>
    <w:p w14:paraId="248A7D31" w14:textId="77777777" w:rsidR="00977113" w:rsidRPr="00E53C7C" w:rsidRDefault="00977113" w:rsidP="00977113">
      <w:pPr>
        <w:pStyle w:val="H23G"/>
        <w:spacing w:before="0"/>
        <w:ind w:firstLine="0"/>
      </w:pPr>
      <w:r>
        <w:rPr>
          <w:b w:val="0"/>
          <w:bCs/>
          <w:lang w:val="fr-FR"/>
        </w:rPr>
        <w:tab/>
      </w:r>
      <w:r w:rsidRPr="00136F6A">
        <w:rPr>
          <w:b w:val="0"/>
          <w:bCs/>
          <w:lang w:val="fr-FR"/>
        </w:rPr>
        <w:t>«</w:t>
      </w:r>
      <w:r w:rsidRPr="00F97023">
        <w:rPr>
          <w:lang w:val="fr-FR"/>
        </w:rPr>
        <w:t> </w:t>
      </w:r>
      <w:r w:rsidRPr="00E53C7C">
        <w:rPr>
          <w:b w:val="0"/>
          <w:bCs/>
        </w:rPr>
        <w:t>Tableau</w:t>
      </w:r>
      <w:r>
        <w:rPr>
          <w:b w:val="0"/>
          <w:bCs/>
        </w:rPr>
        <w:t> </w:t>
      </w:r>
      <w:r w:rsidRPr="00E53C7C">
        <w:rPr>
          <w:b w:val="0"/>
          <w:bCs/>
        </w:rPr>
        <w:t>8</w:t>
      </w:r>
      <w:r>
        <w:br/>
      </w:r>
      <w:r w:rsidRPr="00E53C7C">
        <w:t>Intensité lumineuse des feux indicateurs de direction</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2"/>
        <w:gridCol w:w="1238"/>
        <w:gridCol w:w="996"/>
        <w:gridCol w:w="1137"/>
        <w:gridCol w:w="1277"/>
        <w:gridCol w:w="1408"/>
        <w:gridCol w:w="1276"/>
      </w:tblGrid>
      <w:tr w:rsidR="00977113" w:rsidRPr="00000B61" w14:paraId="18A0BBAC" w14:textId="77777777" w:rsidTr="00977113">
        <w:trPr>
          <w:tblHeader/>
        </w:trPr>
        <w:tc>
          <w:tcPr>
            <w:tcW w:w="1326" w:type="dxa"/>
            <w:vMerge w:val="restart"/>
            <w:shd w:val="clear" w:color="auto" w:fill="auto"/>
            <w:tcMar>
              <w:top w:w="15" w:type="dxa"/>
              <w:left w:w="15" w:type="dxa"/>
              <w:bottom w:w="0" w:type="dxa"/>
              <w:right w:w="15" w:type="dxa"/>
            </w:tcMar>
            <w:vAlign w:val="bottom"/>
          </w:tcPr>
          <w:p w14:paraId="6FF1838F" w14:textId="77777777" w:rsidR="00977113" w:rsidRPr="00000B61" w:rsidRDefault="00977113" w:rsidP="00977113">
            <w:pPr>
              <w:suppressAutoHyphens w:val="0"/>
              <w:spacing w:before="80" w:after="80" w:line="200" w:lineRule="exact"/>
              <w:ind w:left="57" w:right="57"/>
              <w:jc w:val="center"/>
              <w:rPr>
                <w:i/>
                <w:sz w:val="16"/>
              </w:rPr>
            </w:pPr>
            <w:r w:rsidRPr="00000B61">
              <w:rPr>
                <w:i/>
                <w:sz w:val="16"/>
                <w:lang w:val="fr-FR"/>
              </w:rPr>
              <w:t>Feux indicateurs de direction de la catégorie</w:t>
            </w:r>
          </w:p>
        </w:tc>
        <w:tc>
          <w:tcPr>
            <w:tcW w:w="1402" w:type="dxa"/>
            <w:vMerge w:val="restart"/>
            <w:shd w:val="clear" w:color="auto" w:fill="auto"/>
            <w:tcMar>
              <w:top w:w="15" w:type="dxa"/>
              <w:left w:w="15" w:type="dxa"/>
              <w:bottom w:w="0" w:type="dxa"/>
              <w:right w:w="15" w:type="dxa"/>
            </w:tcMar>
            <w:vAlign w:val="bottom"/>
          </w:tcPr>
          <w:p w14:paraId="1F50FF16" w14:textId="77777777" w:rsidR="00977113" w:rsidRPr="00AF268A" w:rsidRDefault="00977113" w:rsidP="00977113">
            <w:pPr>
              <w:suppressAutoHyphens w:val="0"/>
              <w:spacing w:before="80" w:after="80" w:line="200" w:lineRule="exact"/>
              <w:ind w:left="57" w:right="57"/>
              <w:jc w:val="center"/>
              <w:rPr>
                <w:i/>
                <w:w w:val="103"/>
                <w:kern w:val="14"/>
                <w:sz w:val="16"/>
              </w:rPr>
            </w:pPr>
            <w:r w:rsidRPr="00AF268A">
              <w:rPr>
                <w:i/>
                <w:w w:val="103"/>
                <w:kern w:val="14"/>
                <w:sz w:val="16"/>
                <w:lang w:val="fr-FR"/>
              </w:rPr>
              <w:t>Intensité lumineuse minimale en cd</w:t>
            </w:r>
            <w:r w:rsidRPr="00AF268A">
              <w:rPr>
                <w:i/>
                <w:w w:val="103"/>
                <w:kern w:val="14"/>
                <w:sz w:val="16"/>
                <w:lang w:val="fr-FR"/>
              </w:rPr>
              <w:br/>
              <w:t>(par. 4.8.3.1 a))</w:t>
            </w:r>
          </w:p>
        </w:tc>
        <w:tc>
          <w:tcPr>
            <w:tcW w:w="2414" w:type="dxa"/>
            <w:gridSpan w:val="2"/>
            <w:shd w:val="clear" w:color="auto" w:fill="auto"/>
            <w:tcMar>
              <w:top w:w="15" w:type="dxa"/>
              <w:left w:w="15" w:type="dxa"/>
              <w:bottom w:w="0" w:type="dxa"/>
              <w:right w:w="15" w:type="dxa"/>
            </w:tcMar>
            <w:vAlign w:val="bottom"/>
          </w:tcPr>
          <w:p w14:paraId="0156A578" w14:textId="3347BE70" w:rsidR="00977113" w:rsidRPr="004955F8" w:rsidRDefault="00977113" w:rsidP="00977113">
            <w:pPr>
              <w:suppressAutoHyphens w:val="0"/>
              <w:spacing w:before="80" w:after="80" w:line="200" w:lineRule="exact"/>
              <w:ind w:left="57" w:right="57"/>
              <w:jc w:val="center"/>
              <w:rPr>
                <w:i/>
                <w:w w:val="103"/>
                <w:kern w:val="14"/>
                <w:sz w:val="16"/>
              </w:rPr>
            </w:pPr>
            <w:r w:rsidRPr="004955F8">
              <w:rPr>
                <w:i/>
                <w:w w:val="103"/>
                <w:kern w:val="14"/>
                <w:sz w:val="16"/>
                <w:lang w:val="fr-FR"/>
              </w:rPr>
              <w:t>Intensité lumineuse maximale</w:t>
            </w:r>
            <w:r>
              <w:rPr>
                <w:i/>
                <w:w w:val="103"/>
                <w:kern w:val="14"/>
                <w:sz w:val="16"/>
                <w:lang w:val="fr-FR"/>
              </w:rPr>
              <w:t xml:space="preserve"> </w:t>
            </w:r>
            <w:r w:rsidRPr="004955F8">
              <w:rPr>
                <w:i/>
                <w:w w:val="103"/>
                <w:kern w:val="14"/>
                <w:sz w:val="16"/>
                <w:lang w:val="fr-FR"/>
              </w:rPr>
              <w:t>(en cd) lorsque le feu est utilisé (par. 4.8.3.1 b))</w:t>
            </w:r>
          </w:p>
        </w:tc>
        <w:tc>
          <w:tcPr>
            <w:tcW w:w="1449" w:type="dxa"/>
            <w:vMerge w:val="restart"/>
            <w:shd w:val="clear" w:color="auto" w:fill="auto"/>
            <w:tcMar>
              <w:top w:w="0" w:type="dxa"/>
              <w:left w:w="5" w:type="dxa"/>
              <w:bottom w:w="0" w:type="dxa"/>
              <w:right w:w="5" w:type="dxa"/>
            </w:tcMar>
            <w:vAlign w:val="bottom"/>
          </w:tcPr>
          <w:p w14:paraId="7416A217" w14:textId="77777777" w:rsidR="00977113" w:rsidRPr="00000B61" w:rsidRDefault="00977113" w:rsidP="00977113">
            <w:pPr>
              <w:suppressAutoHyphens w:val="0"/>
              <w:spacing w:before="80" w:after="80" w:line="200" w:lineRule="exact"/>
              <w:ind w:left="57" w:right="57"/>
              <w:jc w:val="center"/>
              <w:rPr>
                <w:i/>
                <w:spacing w:val="4"/>
                <w:w w:val="103"/>
                <w:kern w:val="14"/>
                <w:sz w:val="16"/>
              </w:rPr>
            </w:pPr>
            <w:r w:rsidRPr="00000B61">
              <w:rPr>
                <w:i/>
                <w:spacing w:val="4"/>
                <w:w w:val="103"/>
                <w:kern w:val="14"/>
                <w:sz w:val="16"/>
                <w:lang w:val="fr-FR"/>
              </w:rPr>
              <w:t>Répartition normalisée de la lumière</w:t>
            </w:r>
            <w:r w:rsidRPr="00000B61">
              <w:rPr>
                <w:i/>
                <w:spacing w:val="4"/>
                <w:w w:val="103"/>
                <w:kern w:val="14"/>
                <w:sz w:val="16"/>
                <w:lang w:val="fr-FR"/>
              </w:rPr>
              <w:br/>
              <w:t>(par. 4.8.3.1 c))</w:t>
            </w:r>
          </w:p>
        </w:tc>
        <w:tc>
          <w:tcPr>
            <w:tcW w:w="3046" w:type="dxa"/>
            <w:gridSpan w:val="2"/>
            <w:shd w:val="clear" w:color="auto" w:fill="auto"/>
            <w:tcMar>
              <w:top w:w="0" w:type="dxa"/>
              <w:left w:w="5" w:type="dxa"/>
              <w:bottom w:w="0" w:type="dxa"/>
              <w:right w:w="5" w:type="dxa"/>
            </w:tcMar>
            <w:vAlign w:val="bottom"/>
          </w:tcPr>
          <w:p w14:paraId="235540B9" w14:textId="77777777" w:rsidR="00977113" w:rsidRPr="00000B61" w:rsidRDefault="00977113" w:rsidP="00977113">
            <w:pPr>
              <w:suppressAutoHyphens w:val="0"/>
              <w:spacing w:before="80" w:after="80" w:line="200" w:lineRule="exact"/>
              <w:ind w:left="57" w:right="57"/>
              <w:jc w:val="center"/>
              <w:rPr>
                <w:i/>
                <w:spacing w:val="4"/>
                <w:w w:val="103"/>
                <w:kern w:val="14"/>
                <w:sz w:val="16"/>
              </w:rPr>
            </w:pPr>
            <w:r w:rsidRPr="00000B61">
              <w:rPr>
                <w:i/>
                <w:spacing w:val="4"/>
                <w:w w:val="103"/>
                <w:kern w:val="14"/>
                <w:sz w:val="16"/>
                <w:lang w:val="fr-FR"/>
              </w:rPr>
              <w:t>Angles de visibilité géométrique</w:t>
            </w:r>
            <w:r w:rsidRPr="00000B61">
              <w:rPr>
                <w:i/>
                <w:spacing w:val="4"/>
                <w:w w:val="103"/>
                <w:kern w:val="14"/>
                <w:sz w:val="16"/>
                <w:lang w:val="fr-FR"/>
              </w:rPr>
              <w:br/>
              <w:t>(par. 4.8.3.1 d))</w:t>
            </w:r>
          </w:p>
        </w:tc>
      </w:tr>
      <w:tr w:rsidR="00977113" w:rsidRPr="00000B61" w14:paraId="4281DE54" w14:textId="77777777" w:rsidTr="00977113">
        <w:trPr>
          <w:tblHeader/>
        </w:trPr>
        <w:tc>
          <w:tcPr>
            <w:tcW w:w="1326" w:type="dxa"/>
            <w:vMerge/>
            <w:shd w:val="clear" w:color="auto" w:fill="auto"/>
            <w:tcMar>
              <w:top w:w="15" w:type="dxa"/>
              <w:left w:w="15" w:type="dxa"/>
              <w:bottom w:w="0" w:type="dxa"/>
              <w:right w:w="15" w:type="dxa"/>
            </w:tcMar>
            <w:vAlign w:val="bottom"/>
          </w:tcPr>
          <w:p w14:paraId="694C6D61" w14:textId="77777777" w:rsidR="00977113" w:rsidRPr="00000B61" w:rsidRDefault="00977113" w:rsidP="00977113">
            <w:pPr>
              <w:suppressAutoHyphens w:val="0"/>
              <w:spacing w:before="80" w:after="80" w:line="200" w:lineRule="exact"/>
              <w:ind w:left="57" w:right="57"/>
              <w:jc w:val="center"/>
              <w:rPr>
                <w:sz w:val="18"/>
              </w:rPr>
            </w:pPr>
          </w:p>
        </w:tc>
        <w:tc>
          <w:tcPr>
            <w:tcW w:w="1402" w:type="dxa"/>
            <w:vMerge/>
            <w:shd w:val="clear" w:color="auto" w:fill="auto"/>
            <w:tcMar>
              <w:top w:w="15" w:type="dxa"/>
              <w:left w:w="15" w:type="dxa"/>
              <w:bottom w:w="0" w:type="dxa"/>
              <w:right w:w="15" w:type="dxa"/>
            </w:tcMar>
            <w:vAlign w:val="bottom"/>
          </w:tcPr>
          <w:p w14:paraId="340D0F69" w14:textId="77777777" w:rsidR="00977113" w:rsidRPr="00000B61" w:rsidRDefault="00977113" w:rsidP="00977113">
            <w:pPr>
              <w:suppressAutoHyphens w:val="0"/>
              <w:spacing w:before="80" w:after="80" w:line="200" w:lineRule="exact"/>
              <w:ind w:left="57" w:right="57"/>
              <w:jc w:val="center"/>
              <w:rPr>
                <w:i/>
                <w:spacing w:val="4"/>
                <w:w w:val="103"/>
                <w:kern w:val="14"/>
                <w:sz w:val="16"/>
              </w:rPr>
            </w:pPr>
          </w:p>
        </w:tc>
        <w:tc>
          <w:tcPr>
            <w:tcW w:w="1127" w:type="dxa"/>
            <w:shd w:val="clear" w:color="auto" w:fill="auto"/>
            <w:tcMar>
              <w:top w:w="15" w:type="dxa"/>
              <w:left w:w="15" w:type="dxa"/>
              <w:bottom w:w="0" w:type="dxa"/>
              <w:right w:w="15" w:type="dxa"/>
            </w:tcMar>
            <w:vAlign w:val="bottom"/>
          </w:tcPr>
          <w:p w14:paraId="7414FB92" w14:textId="77777777" w:rsidR="00977113" w:rsidRPr="00000B61" w:rsidRDefault="00977113" w:rsidP="00977113">
            <w:pPr>
              <w:suppressAutoHyphens w:val="0"/>
              <w:spacing w:before="80" w:after="80" w:line="200" w:lineRule="exact"/>
              <w:ind w:left="57" w:right="57"/>
              <w:jc w:val="center"/>
              <w:rPr>
                <w:i/>
                <w:spacing w:val="4"/>
                <w:w w:val="103"/>
                <w:kern w:val="14"/>
                <w:sz w:val="16"/>
              </w:rPr>
            </w:pPr>
            <w:r w:rsidRPr="00000B61">
              <w:rPr>
                <w:i/>
                <w:spacing w:val="4"/>
                <w:w w:val="103"/>
                <w:kern w:val="14"/>
                <w:sz w:val="16"/>
                <w:lang w:val="fr-FR"/>
              </w:rPr>
              <w:t>Comme feu simple</w:t>
            </w:r>
          </w:p>
        </w:tc>
        <w:tc>
          <w:tcPr>
            <w:tcW w:w="1287" w:type="dxa"/>
            <w:shd w:val="clear" w:color="auto" w:fill="auto"/>
            <w:tcMar>
              <w:top w:w="15" w:type="dxa"/>
              <w:left w:w="15" w:type="dxa"/>
              <w:bottom w:w="0" w:type="dxa"/>
              <w:right w:w="15" w:type="dxa"/>
            </w:tcMar>
            <w:vAlign w:val="bottom"/>
          </w:tcPr>
          <w:p w14:paraId="6403F45E" w14:textId="1C23AE12" w:rsidR="00977113" w:rsidRPr="00AE11A2" w:rsidRDefault="00977113" w:rsidP="00977113">
            <w:pPr>
              <w:suppressAutoHyphens w:val="0"/>
              <w:spacing w:before="80" w:after="80" w:line="200" w:lineRule="exact"/>
              <w:ind w:left="57" w:right="57"/>
              <w:jc w:val="center"/>
              <w:rPr>
                <w:i/>
                <w:w w:val="103"/>
                <w:kern w:val="14"/>
                <w:sz w:val="16"/>
              </w:rPr>
            </w:pPr>
            <w:r w:rsidRPr="00AE11A2">
              <w:rPr>
                <w:i/>
                <w:w w:val="103"/>
                <w:kern w:val="14"/>
                <w:sz w:val="16"/>
                <w:lang w:val="fr-FR"/>
              </w:rPr>
              <w:t xml:space="preserve">Comme feu portant la marque </w:t>
            </w:r>
            <w:r w:rsidRPr="00977113">
              <w:rPr>
                <w:i/>
                <w:iCs/>
                <w:sz w:val="18"/>
                <w:szCs w:val="18"/>
              </w:rPr>
              <w:t>“</w:t>
            </w:r>
            <w:r w:rsidRPr="00AE11A2">
              <w:rPr>
                <w:i/>
                <w:w w:val="103"/>
                <w:kern w:val="14"/>
                <w:sz w:val="16"/>
                <w:lang w:val="fr-FR"/>
              </w:rPr>
              <w:t>D</w:t>
            </w:r>
            <w:r w:rsidRPr="00977113">
              <w:rPr>
                <w:i/>
                <w:iCs/>
                <w:sz w:val="18"/>
                <w:szCs w:val="18"/>
              </w:rPr>
              <w:t>”</w:t>
            </w:r>
            <w:r w:rsidRPr="00AE11A2">
              <w:rPr>
                <w:i/>
                <w:w w:val="103"/>
                <w:kern w:val="14"/>
                <w:sz w:val="16"/>
                <w:lang w:val="fr-FR"/>
              </w:rPr>
              <w:t xml:space="preserve"> (par. 3.3.2.5.2)</w:t>
            </w:r>
          </w:p>
        </w:tc>
        <w:tc>
          <w:tcPr>
            <w:tcW w:w="1449" w:type="dxa"/>
            <w:vMerge/>
            <w:shd w:val="clear" w:color="auto" w:fill="auto"/>
            <w:tcMar>
              <w:top w:w="0" w:type="dxa"/>
              <w:left w:w="5" w:type="dxa"/>
              <w:bottom w:w="0" w:type="dxa"/>
              <w:right w:w="5" w:type="dxa"/>
            </w:tcMar>
            <w:vAlign w:val="bottom"/>
          </w:tcPr>
          <w:p w14:paraId="06C29C62" w14:textId="77777777" w:rsidR="00977113" w:rsidRPr="00000B61" w:rsidRDefault="00977113" w:rsidP="00977113">
            <w:pPr>
              <w:suppressAutoHyphens w:val="0"/>
              <w:spacing w:before="80" w:after="80" w:line="200" w:lineRule="exact"/>
              <w:ind w:left="57" w:right="57"/>
              <w:jc w:val="center"/>
              <w:rPr>
                <w:i/>
                <w:spacing w:val="4"/>
                <w:w w:val="103"/>
                <w:kern w:val="14"/>
                <w:sz w:val="16"/>
              </w:rPr>
            </w:pPr>
          </w:p>
        </w:tc>
        <w:tc>
          <w:tcPr>
            <w:tcW w:w="1598" w:type="dxa"/>
            <w:shd w:val="clear" w:color="auto" w:fill="auto"/>
            <w:tcMar>
              <w:top w:w="0" w:type="dxa"/>
              <w:left w:w="5" w:type="dxa"/>
              <w:bottom w:w="0" w:type="dxa"/>
              <w:right w:w="5" w:type="dxa"/>
            </w:tcMar>
            <w:vAlign w:val="bottom"/>
          </w:tcPr>
          <w:p w14:paraId="72F61418" w14:textId="77777777" w:rsidR="00977113" w:rsidRPr="00000B61" w:rsidRDefault="00977113" w:rsidP="00977113">
            <w:pPr>
              <w:suppressAutoHyphens w:val="0"/>
              <w:spacing w:before="80" w:after="80" w:line="200" w:lineRule="exact"/>
              <w:ind w:left="57" w:right="57"/>
              <w:jc w:val="center"/>
              <w:rPr>
                <w:i/>
                <w:spacing w:val="4"/>
                <w:w w:val="103"/>
                <w:kern w:val="14"/>
                <w:sz w:val="16"/>
              </w:rPr>
            </w:pPr>
            <w:r w:rsidRPr="00000B61">
              <w:rPr>
                <w:i/>
                <w:spacing w:val="4"/>
                <w:w w:val="103"/>
                <w:kern w:val="14"/>
                <w:sz w:val="16"/>
                <w:lang w:val="fr-FR"/>
              </w:rPr>
              <w:t>Définition</w:t>
            </w:r>
          </w:p>
        </w:tc>
        <w:tc>
          <w:tcPr>
            <w:tcW w:w="1448" w:type="dxa"/>
            <w:shd w:val="clear" w:color="auto" w:fill="auto"/>
            <w:vAlign w:val="bottom"/>
          </w:tcPr>
          <w:p w14:paraId="656DDB45" w14:textId="77777777" w:rsidR="00977113" w:rsidRPr="00000B61" w:rsidRDefault="00977113" w:rsidP="00977113">
            <w:pPr>
              <w:suppressAutoHyphens w:val="0"/>
              <w:spacing w:before="80" w:after="80" w:line="200" w:lineRule="exact"/>
              <w:ind w:left="57" w:right="57"/>
              <w:jc w:val="center"/>
              <w:rPr>
                <w:i/>
                <w:spacing w:val="4"/>
                <w:w w:val="103"/>
                <w:kern w:val="14"/>
                <w:sz w:val="16"/>
              </w:rPr>
            </w:pPr>
            <w:r w:rsidRPr="00000B61">
              <w:rPr>
                <w:i/>
                <w:spacing w:val="4"/>
                <w:w w:val="103"/>
                <w:kern w:val="14"/>
                <w:sz w:val="16"/>
                <w:lang w:val="fr-FR"/>
              </w:rPr>
              <w:t>Intensité lumineuse minimale en cd</w:t>
            </w:r>
          </w:p>
        </w:tc>
      </w:tr>
      <w:tr w:rsidR="00977113" w:rsidRPr="00000B61" w14:paraId="3BCE55FD" w14:textId="77777777" w:rsidTr="00977113">
        <w:tc>
          <w:tcPr>
            <w:tcW w:w="1326" w:type="dxa"/>
            <w:shd w:val="clear" w:color="auto" w:fill="auto"/>
            <w:tcMar>
              <w:top w:w="0" w:type="dxa"/>
              <w:left w:w="5" w:type="dxa"/>
              <w:bottom w:w="0" w:type="dxa"/>
              <w:right w:w="5" w:type="dxa"/>
            </w:tcMar>
            <w:vAlign w:val="center"/>
          </w:tcPr>
          <w:p w14:paraId="0B3B0473"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w:t>
            </w:r>
          </w:p>
        </w:tc>
        <w:tc>
          <w:tcPr>
            <w:tcW w:w="1402" w:type="dxa"/>
            <w:shd w:val="clear" w:color="auto" w:fill="auto"/>
            <w:tcMar>
              <w:top w:w="0" w:type="dxa"/>
              <w:left w:w="5" w:type="dxa"/>
              <w:bottom w:w="0" w:type="dxa"/>
              <w:right w:w="5" w:type="dxa"/>
            </w:tcMar>
            <w:vAlign w:val="center"/>
          </w:tcPr>
          <w:p w14:paraId="722671A3"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1,75∙10</w:t>
            </w:r>
            <w:r w:rsidRPr="00000B61">
              <w:rPr>
                <w:sz w:val="18"/>
                <w:vertAlign w:val="superscript"/>
                <w:lang w:val="fr-FR"/>
              </w:rPr>
              <w:t>2</w:t>
            </w:r>
          </w:p>
        </w:tc>
        <w:tc>
          <w:tcPr>
            <w:tcW w:w="1127" w:type="dxa"/>
            <w:shd w:val="clear" w:color="auto" w:fill="auto"/>
            <w:tcMar>
              <w:top w:w="0" w:type="dxa"/>
              <w:left w:w="5" w:type="dxa"/>
              <w:bottom w:w="0" w:type="dxa"/>
              <w:right w:w="5" w:type="dxa"/>
            </w:tcMar>
            <w:vAlign w:val="center"/>
          </w:tcPr>
          <w:p w14:paraId="47E26D74"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1,20∙10</w:t>
            </w:r>
            <w:r w:rsidRPr="00000B61">
              <w:rPr>
                <w:sz w:val="18"/>
                <w:vertAlign w:val="superscript"/>
                <w:lang w:val="fr-FR"/>
              </w:rPr>
              <w:t>3</w:t>
            </w:r>
          </w:p>
        </w:tc>
        <w:tc>
          <w:tcPr>
            <w:tcW w:w="1287" w:type="dxa"/>
            <w:shd w:val="clear" w:color="auto" w:fill="auto"/>
            <w:tcMar>
              <w:top w:w="0" w:type="dxa"/>
              <w:left w:w="5" w:type="dxa"/>
              <w:bottom w:w="0" w:type="dxa"/>
              <w:right w:w="5" w:type="dxa"/>
            </w:tcMar>
            <w:vAlign w:val="center"/>
          </w:tcPr>
          <w:p w14:paraId="548DE311"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6,00∙10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624CDA8A"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3968D865"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A2-1</w:t>
            </w:r>
          </w:p>
        </w:tc>
        <w:tc>
          <w:tcPr>
            <w:tcW w:w="1448" w:type="dxa"/>
            <w:shd w:val="clear" w:color="auto" w:fill="auto"/>
            <w:tcMar>
              <w:top w:w="0" w:type="dxa"/>
              <w:left w:w="5" w:type="dxa"/>
              <w:bottom w:w="0" w:type="dxa"/>
              <w:right w:w="5" w:type="dxa"/>
            </w:tcMar>
            <w:vAlign w:val="center"/>
          </w:tcPr>
          <w:p w14:paraId="064262A0" w14:textId="77777777" w:rsidR="00977113" w:rsidRPr="00000B61" w:rsidRDefault="00977113" w:rsidP="00977113">
            <w:pPr>
              <w:suppressAutoHyphens w:val="0"/>
              <w:spacing w:before="40" w:after="40" w:line="220" w:lineRule="exact"/>
              <w:ind w:left="57" w:right="57"/>
              <w:jc w:val="center"/>
              <w:rPr>
                <w:sz w:val="18"/>
              </w:rPr>
            </w:pPr>
            <w:r w:rsidRPr="00000B61">
              <w:rPr>
                <w:sz w:val="18"/>
              </w:rPr>
              <w:t>3∙10</w:t>
            </w:r>
            <w:r w:rsidRPr="00000B61">
              <w:rPr>
                <w:sz w:val="18"/>
                <w:vertAlign w:val="superscript"/>
              </w:rPr>
              <w:t>-1</w:t>
            </w:r>
          </w:p>
        </w:tc>
      </w:tr>
      <w:tr w:rsidR="00977113" w:rsidRPr="00000B61" w14:paraId="2FCC585E" w14:textId="77777777" w:rsidTr="00977113">
        <w:tc>
          <w:tcPr>
            <w:tcW w:w="1326" w:type="dxa"/>
            <w:shd w:val="clear" w:color="auto" w:fill="auto"/>
            <w:tcMar>
              <w:top w:w="0" w:type="dxa"/>
              <w:left w:w="5" w:type="dxa"/>
              <w:bottom w:w="0" w:type="dxa"/>
              <w:right w:w="5" w:type="dxa"/>
            </w:tcMar>
            <w:vAlign w:val="center"/>
          </w:tcPr>
          <w:p w14:paraId="75C597C9" w14:textId="77777777" w:rsidR="00977113" w:rsidRPr="00000B61" w:rsidRDefault="00977113" w:rsidP="00977113">
            <w:pPr>
              <w:suppressAutoHyphens w:val="0"/>
              <w:spacing w:before="40" w:after="40" w:line="220" w:lineRule="exact"/>
              <w:ind w:left="57" w:right="57"/>
              <w:jc w:val="center"/>
              <w:rPr>
                <w:sz w:val="18"/>
              </w:rPr>
            </w:pPr>
            <w:r w:rsidRPr="00000B61">
              <w:rPr>
                <w:sz w:val="18"/>
              </w:rPr>
              <w:t>1a</w:t>
            </w:r>
          </w:p>
        </w:tc>
        <w:tc>
          <w:tcPr>
            <w:tcW w:w="1402" w:type="dxa"/>
            <w:shd w:val="clear" w:color="auto" w:fill="auto"/>
            <w:tcMar>
              <w:top w:w="0" w:type="dxa"/>
              <w:left w:w="5" w:type="dxa"/>
              <w:bottom w:w="0" w:type="dxa"/>
              <w:right w:w="5" w:type="dxa"/>
            </w:tcMar>
            <w:vAlign w:val="center"/>
          </w:tcPr>
          <w:p w14:paraId="385CE1CC"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2,50∙10</w:t>
            </w:r>
            <w:r w:rsidRPr="00000B61">
              <w:rPr>
                <w:sz w:val="18"/>
                <w:vertAlign w:val="superscript"/>
                <w:lang w:val="fr-FR"/>
              </w:rPr>
              <w:t>2</w:t>
            </w:r>
          </w:p>
        </w:tc>
        <w:tc>
          <w:tcPr>
            <w:tcW w:w="1127" w:type="dxa"/>
            <w:shd w:val="clear" w:color="auto" w:fill="auto"/>
            <w:tcMar>
              <w:top w:w="0" w:type="dxa"/>
              <w:left w:w="5" w:type="dxa"/>
              <w:bottom w:w="0" w:type="dxa"/>
              <w:right w:w="5" w:type="dxa"/>
            </w:tcMar>
            <w:vAlign w:val="center"/>
          </w:tcPr>
          <w:p w14:paraId="5E4F189D"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1,20∙10</w:t>
            </w:r>
            <w:r w:rsidRPr="00000B61">
              <w:rPr>
                <w:sz w:val="18"/>
                <w:vertAlign w:val="superscript"/>
                <w:lang w:val="fr-FR"/>
              </w:rPr>
              <w:t>3</w:t>
            </w:r>
          </w:p>
        </w:tc>
        <w:tc>
          <w:tcPr>
            <w:tcW w:w="1287" w:type="dxa"/>
            <w:shd w:val="clear" w:color="auto" w:fill="auto"/>
            <w:tcMar>
              <w:top w:w="0" w:type="dxa"/>
              <w:left w:w="5" w:type="dxa"/>
              <w:bottom w:w="0" w:type="dxa"/>
              <w:right w:w="5" w:type="dxa"/>
            </w:tcMar>
            <w:vAlign w:val="center"/>
          </w:tcPr>
          <w:p w14:paraId="1B702025"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6,00∙10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378DEE81"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5B039424"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A2-1</w:t>
            </w:r>
          </w:p>
        </w:tc>
        <w:tc>
          <w:tcPr>
            <w:tcW w:w="1448" w:type="dxa"/>
            <w:shd w:val="clear" w:color="auto" w:fill="auto"/>
            <w:tcMar>
              <w:top w:w="0" w:type="dxa"/>
              <w:left w:w="5" w:type="dxa"/>
              <w:bottom w:w="0" w:type="dxa"/>
              <w:right w:w="5" w:type="dxa"/>
            </w:tcMar>
            <w:vAlign w:val="center"/>
          </w:tcPr>
          <w:p w14:paraId="33571BA5"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3∙10</w:t>
            </w:r>
            <w:r w:rsidRPr="00000B61">
              <w:rPr>
                <w:sz w:val="18"/>
                <w:vertAlign w:val="superscript"/>
                <w:lang w:val="fr-FR"/>
              </w:rPr>
              <w:t>-1</w:t>
            </w:r>
          </w:p>
        </w:tc>
      </w:tr>
      <w:tr w:rsidR="00977113" w:rsidRPr="00000B61" w14:paraId="4FF205E1" w14:textId="77777777" w:rsidTr="00977113">
        <w:tc>
          <w:tcPr>
            <w:tcW w:w="1326" w:type="dxa"/>
            <w:shd w:val="clear" w:color="auto" w:fill="auto"/>
            <w:tcMar>
              <w:top w:w="0" w:type="dxa"/>
              <w:left w:w="5" w:type="dxa"/>
              <w:bottom w:w="0" w:type="dxa"/>
              <w:right w:w="5" w:type="dxa"/>
            </w:tcMar>
            <w:vAlign w:val="center"/>
          </w:tcPr>
          <w:p w14:paraId="4D66D64E"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1b</w:t>
            </w:r>
          </w:p>
        </w:tc>
        <w:tc>
          <w:tcPr>
            <w:tcW w:w="1402" w:type="dxa"/>
            <w:shd w:val="clear" w:color="auto" w:fill="auto"/>
            <w:tcMar>
              <w:top w:w="0" w:type="dxa"/>
              <w:left w:w="5" w:type="dxa"/>
              <w:bottom w:w="0" w:type="dxa"/>
              <w:right w:w="5" w:type="dxa"/>
            </w:tcMar>
            <w:vAlign w:val="center"/>
          </w:tcPr>
          <w:p w14:paraId="7D384519"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4,00∙10</w:t>
            </w:r>
            <w:r w:rsidRPr="00000B61">
              <w:rPr>
                <w:sz w:val="18"/>
                <w:vertAlign w:val="superscript"/>
                <w:lang w:val="fr-FR"/>
              </w:rPr>
              <w:t>2</w:t>
            </w:r>
          </w:p>
        </w:tc>
        <w:tc>
          <w:tcPr>
            <w:tcW w:w="1127" w:type="dxa"/>
            <w:shd w:val="clear" w:color="auto" w:fill="auto"/>
            <w:tcMar>
              <w:top w:w="0" w:type="dxa"/>
              <w:left w:w="5" w:type="dxa"/>
              <w:bottom w:w="0" w:type="dxa"/>
              <w:right w:w="5" w:type="dxa"/>
            </w:tcMar>
            <w:vAlign w:val="center"/>
          </w:tcPr>
          <w:p w14:paraId="72BFDD52"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1,20∙10</w:t>
            </w:r>
            <w:r w:rsidRPr="00000B61">
              <w:rPr>
                <w:sz w:val="18"/>
                <w:vertAlign w:val="superscript"/>
                <w:lang w:val="fr-FR"/>
              </w:rPr>
              <w:t>3</w:t>
            </w:r>
          </w:p>
        </w:tc>
        <w:tc>
          <w:tcPr>
            <w:tcW w:w="1287" w:type="dxa"/>
            <w:shd w:val="clear" w:color="auto" w:fill="auto"/>
            <w:tcMar>
              <w:top w:w="0" w:type="dxa"/>
              <w:left w:w="5" w:type="dxa"/>
              <w:bottom w:w="0" w:type="dxa"/>
              <w:right w:w="5" w:type="dxa"/>
            </w:tcMar>
            <w:vAlign w:val="center"/>
          </w:tcPr>
          <w:p w14:paraId="459A7BC3"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6,00∙10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528AD41C"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32F82212"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A2-1</w:t>
            </w:r>
          </w:p>
        </w:tc>
        <w:tc>
          <w:tcPr>
            <w:tcW w:w="1448" w:type="dxa"/>
            <w:shd w:val="clear" w:color="auto" w:fill="auto"/>
            <w:tcMar>
              <w:top w:w="0" w:type="dxa"/>
              <w:left w:w="5" w:type="dxa"/>
              <w:bottom w:w="0" w:type="dxa"/>
              <w:right w:w="5" w:type="dxa"/>
            </w:tcMar>
            <w:vAlign w:val="center"/>
          </w:tcPr>
          <w:p w14:paraId="743FD597"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7∙10</w:t>
            </w:r>
            <w:r w:rsidRPr="00000B61">
              <w:rPr>
                <w:sz w:val="18"/>
                <w:vertAlign w:val="superscript"/>
                <w:lang w:val="fr-FR"/>
              </w:rPr>
              <w:t>-1</w:t>
            </w:r>
          </w:p>
        </w:tc>
      </w:tr>
      <w:tr w:rsidR="00977113" w:rsidRPr="00000B61" w14:paraId="5FD2D964" w14:textId="77777777" w:rsidTr="00977113">
        <w:tc>
          <w:tcPr>
            <w:tcW w:w="1326" w:type="dxa"/>
            <w:shd w:val="clear" w:color="auto" w:fill="auto"/>
            <w:tcMar>
              <w:top w:w="0" w:type="dxa"/>
              <w:left w:w="5" w:type="dxa"/>
              <w:bottom w:w="0" w:type="dxa"/>
              <w:right w:w="5" w:type="dxa"/>
            </w:tcMar>
            <w:vAlign w:val="center"/>
          </w:tcPr>
          <w:p w14:paraId="12D864AE"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2a (intensité constante)</w:t>
            </w:r>
          </w:p>
        </w:tc>
        <w:tc>
          <w:tcPr>
            <w:tcW w:w="1402" w:type="dxa"/>
            <w:shd w:val="clear" w:color="auto" w:fill="auto"/>
            <w:tcMar>
              <w:top w:w="0" w:type="dxa"/>
              <w:left w:w="5" w:type="dxa"/>
              <w:bottom w:w="0" w:type="dxa"/>
              <w:right w:w="5" w:type="dxa"/>
            </w:tcMar>
            <w:vAlign w:val="center"/>
          </w:tcPr>
          <w:p w14:paraId="129B15D2"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5,0∙10</w:t>
            </w:r>
            <w:r w:rsidRPr="00000B61">
              <w:rPr>
                <w:sz w:val="18"/>
                <w:vertAlign w:val="superscript"/>
                <w:lang w:val="fr-FR"/>
              </w:rPr>
              <w:t>1</w:t>
            </w:r>
          </w:p>
        </w:tc>
        <w:tc>
          <w:tcPr>
            <w:tcW w:w="1127" w:type="dxa"/>
            <w:shd w:val="clear" w:color="auto" w:fill="auto"/>
            <w:tcMar>
              <w:top w:w="0" w:type="dxa"/>
              <w:left w:w="5" w:type="dxa"/>
              <w:bottom w:w="0" w:type="dxa"/>
              <w:right w:w="5" w:type="dxa"/>
            </w:tcMar>
            <w:vAlign w:val="center"/>
          </w:tcPr>
          <w:p w14:paraId="62A0CC04"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5,00∙10</w:t>
            </w:r>
            <w:r w:rsidRPr="00000B61">
              <w:rPr>
                <w:sz w:val="18"/>
                <w:vertAlign w:val="superscript"/>
                <w:lang w:val="fr-FR"/>
              </w:rPr>
              <w:t>2</w:t>
            </w:r>
          </w:p>
        </w:tc>
        <w:tc>
          <w:tcPr>
            <w:tcW w:w="1287" w:type="dxa"/>
            <w:shd w:val="clear" w:color="auto" w:fill="auto"/>
            <w:tcMar>
              <w:top w:w="0" w:type="dxa"/>
              <w:left w:w="5" w:type="dxa"/>
              <w:bottom w:w="0" w:type="dxa"/>
              <w:right w:w="5" w:type="dxa"/>
            </w:tcMar>
            <w:vAlign w:val="center"/>
          </w:tcPr>
          <w:p w14:paraId="4DBF8E2B"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2,50∙10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48BDE3DC"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37DB3967"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A2-1</w:t>
            </w:r>
          </w:p>
        </w:tc>
        <w:tc>
          <w:tcPr>
            <w:tcW w:w="1448" w:type="dxa"/>
            <w:shd w:val="clear" w:color="auto" w:fill="auto"/>
            <w:tcMar>
              <w:top w:w="0" w:type="dxa"/>
              <w:left w:w="5" w:type="dxa"/>
              <w:bottom w:w="0" w:type="dxa"/>
              <w:right w:w="5" w:type="dxa"/>
            </w:tcMar>
            <w:vAlign w:val="center"/>
          </w:tcPr>
          <w:p w14:paraId="7035ED05"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3∙10</w:t>
            </w:r>
            <w:r w:rsidRPr="00000B61">
              <w:rPr>
                <w:sz w:val="18"/>
                <w:vertAlign w:val="superscript"/>
                <w:lang w:val="fr-FR"/>
              </w:rPr>
              <w:t>-1</w:t>
            </w:r>
          </w:p>
        </w:tc>
      </w:tr>
      <w:tr w:rsidR="00977113" w:rsidRPr="00000B61" w14:paraId="13815271" w14:textId="77777777" w:rsidTr="00977113">
        <w:tc>
          <w:tcPr>
            <w:tcW w:w="1326" w:type="dxa"/>
            <w:shd w:val="clear" w:color="auto" w:fill="auto"/>
            <w:tcMar>
              <w:top w:w="0" w:type="dxa"/>
              <w:left w:w="5" w:type="dxa"/>
              <w:bottom w:w="0" w:type="dxa"/>
              <w:right w:w="5" w:type="dxa"/>
            </w:tcMar>
            <w:vAlign w:val="center"/>
          </w:tcPr>
          <w:p w14:paraId="36EAC5D8"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2b (intensité variable)</w:t>
            </w:r>
          </w:p>
        </w:tc>
        <w:tc>
          <w:tcPr>
            <w:tcW w:w="1402" w:type="dxa"/>
            <w:shd w:val="clear" w:color="auto" w:fill="auto"/>
            <w:tcMar>
              <w:top w:w="0" w:type="dxa"/>
              <w:left w:w="5" w:type="dxa"/>
              <w:bottom w:w="0" w:type="dxa"/>
              <w:right w:w="5" w:type="dxa"/>
            </w:tcMar>
            <w:vAlign w:val="center"/>
          </w:tcPr>
          <w:p w14:paraId="67B4B440"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5,0∙10</w:t>
            </w:r>
            <w:r w:rsidRPr="00000B61">
              <w:rPr>
                <w:sz w:val="18"/>
                <w:vertAlign w:val="superscript"/>
                <w:lang w:val="fr-FR"/>
              </w:rPr>
              <w:t>1</w:t>
            </w:r>
          </w:p>
        </w:tc>
        <w:tc>
          <w:tcPr>
            <w:tcW w:w="1127" w:type="dxa"/>
            <w:shd w:val="clear" w:color="auto" w:fill="auto"/>
            <w:tcMar>
              <w:top w:w="0" w:type="dxa"/>
              <w:left w:w="5" w:type="dxa"/>
              <w:bottom w:w="0" w:type="dxa"/>
              <w:right w:w="5" w:type="dxa"/>
            </w:tcMar>
            <w:vAlign w:val="center"/>
          </w:tcPr>
          <w:p w14:paraId="1A73F1B7"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1,00∙10</w:t>
            </w:r>
            <w:r w:rsidRPr="00000B61">
              <w:rPr>
                <w:sz w:val="18"/>
                <w:vertAlign w:val="superscript"/>
                <w:lang w:val="fr-FR"/>
              </w:rPr>
              <w:t>3</w:t>
            </w:r>
          </w:p>
        </w:tc>
        <w:tc>
          <w:tcPr>
            <w:tcW w:w="1287" w:type="dxa"/>
            <w:shd w:val="clear" w:color="auto" w:fill="auto"/>
            <w:tcMar>
              <w:top w:w="0" w:type="dxa"/>
              <w:left w:w="5" w:type="dxa"/>
              <w:bottom w:w="0" w:type="dxa"/>
              <w:right w:w="5" w:type="dxa"/>
            </w:tcMar>
            <w:vAlign w:val="center"/>
          </w:tcPr>
          <w:p w14:paraId="6D0CB39F"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5,00∙10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1B53D92B"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7ABF0A94" w14:textId="77777777" w:rsidR="00977113" w:rsidRPr="00000B61" w:rsidRDefault="00977113" w:rsidP="00977113">
            <w:pPr>
              <w:suppressAutoHyphens w:val="0"/>
              <w:spacing w:before="40" w:after="40" w:line="220" w:lineRule="exact"/>
              <w:ind w:left="57" w:right="57"/>
              <w:jc w:val="center"/>
              <w:rPr>
                <w:sz w:val="18"/>
              </w:rPr>
            </w:pPr>
            <w:r w:rsidRPr="00000B61">
              <w:rPr>
                <w:sz w:val="18"/>
              </w:rPr>
              <w:t>Tableau A2-1</w:t>
            </w:r>
          </w:p>
        </w:tc>
        <w:tc>
          <w:tcPr>
            <w:tcW w:w="1448" w:type="dxa"/>
            <w:shd w:val="clear" w:color="auto" w:fill="auto"/>
            <w:tcMar>
              <w:top w:w="0" w:type="dxa"/>
              <w:left w:w="5" w:type="dxa"/>
              <w:bottom w:w="0" w:type="dxa"/>
              <w:right w:w="5" w:type="dxa"/>
            </w:tcMar>
            <w:vAlign w:val="center"/>
          </w:tcPr>
          <w:p w14:paraId="0E05C64E"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3∙10</w:t>
            </w:r>
            <w:r w:rsidRPr="00000B61">
              <w:rPr>
                <w:sz w:val="18"/>
                <w:vertAlign w:val="superscript"/>
                <w:lang w:val="fr-FR"/>
              </w:rPr>
              <w:t>-1</w:t>
            </w:r>
            <w:r w:rsidRPr="00000B61">
              <w:rPr>
                <w:sz w:val="18"/>
                <w:lang w:val="fr-FR"/>
              </w:rPr>
              <w:t xml:space="preserve"> (jour)</w:t>
            </w:r>
          </w:p>
          <w:p w14:paraId="0E955F9A"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7∙10</w:t>
            </w:r>
            <w:r w:rsidRPr="00000B61">
              <w:rPr>
                <w:sz w:val="18"/>
                <w:vertAlign w:val="superscript"/>
                <w:lang w:val="fr-FR"/>
              </w:rPr>
              <w:t>-2</w:t>
            </w:r>
            <w:r w:rsidRPr="00000B61">
              <w:rPr>
                <w:sz w:val="18"/>
                <w:lang w:val="fr-FR"/>
              </w:rPr>
              <w:t xml:space="preserve"> (nuit)</w:t>
            </w:r>
          </w:p>
        </w:tc>
      </w:tr>
      <w:tr w:rsidR="00977113" w:rsidRPr="00000B61" w14:paraId="29F6BB26" w14:textId="77777777" w:rsidTr="00977113">
        <w:tc>
          <w:tcPr>
            <w:tcW w:w="1326" w:type="dxa"/>
            <w:shd w:val="clear" w:color="auto" w:fill="auto"/>
            <w:tcMar>
              <w:top w:w="0" w:type="dxa"/>
              <w:left w:w="5" w:type="dxa"/>
              <w:bottom w:w="0" w:type="dxa"/>
              <w:right w:w="5" w:type="dxa"/>
            </w:tcMar>
            <w:vAlign w:val="center"/>
          </w:tcPr>
          <w:p w14:paraId="63447511"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5</w:t>
            </w:r>
          </w:p>
        </w:tc>
        <w:tc>
          <w:tcPr>
            <w:tcW w:w="1402" w:type="dxa"/>
            <w:shd w:val="clear" w:color="auto" w:fill="auto"/>
            <w:tcMar>
              <w:top w:w="0" w:type="dxa"/>
              <w:left w:w="5" w:type="dxa"/>
              <w:bottom w:w="0" w:type="dxa"/>
              <w:right w:w="5" w:type="dxa"/>
            </w:tcMar>
            <w:vAlign w:val="center"/>
          </w:tcPr>
          <w:p w14:paraId="544BF9F9"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6,10</w:t>
            </w:r>
            <w:r w:rsidRPr="00000B61">
              <w:rPr>
                <w:sz w:val="18"/>
                <w:vertAlign w:val="superscript"/>
                <w:lang w:val="fr-FR"/>
              </w:rPr>
              <w:t>-1</w:t>
            </w:r>
          </w:p>
        </w:tc>
        <w:tc>
          <w:tcPr>
            <w:tcW w:w="1127" w:type="dxa"/>
            <w:shd w:val="clear" w:color="auto" w:fill="auto"/>
            <w:tcMar>
              <w:top w:w="0" w:type="dxa"/>
              <w:left w:w="5" w:type="dxa"/>
              <w:bottom w:w="0" w:type="dxa"/>
              <w:right w:w="5" w:type="dxa"/>
            </w:tcMar>
            <w:vAlign w:val="center"/>
          </w:tcPr>
          <w:p w14:paraId="01C19569"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2,80∙10</w:t>
            </w:r>
            <w:r w:rsidRPr="00000B61">
              <w:rPr>
                <w:sz w:val="18"/>
                <w:vertAlign w:val="superscript"/>
                <w:lang w:val="fr-FR"/>
              </w:rPr>
              <w:t>2</w:t>
            </w:r>
          </w:p>
        </w:tc>
        <w:tc>
          <w:tcPr>
            <w:tcW w:w="1287" w:type="dxa"/>
            <w:shd w:val="clear" w:color="auto" w:fill="auto"/>
            <w:tcMar>
              <w:top w:w="0" w:type="dxa"/>
              <w:left w:w="5" w:type="dxa"/>
              <w:bottom w:w="0" w:type="dxa"/>
              <w:right w:w="5" w:type="dxa"/>
            </w:tcMar>
            <w:vAlign w:val="center"/>
          </w:tcPr>
          <w:p w14:paraId="7A8D8959"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1,40∙10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22DB21FC"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A2-2</w:t>
            </w:r>
          </w:p>
        </w:tc>
        <w:tc>
          <w:tcPr>
            <w:tcW w:w="1598" w:type="dxa"/>
            <w:shd w:val="clear" w:color="auto" w:fill="auto"/>
            <w:tcMar>
              <w:top w:w="0" w:type="dxa"/>
              <w:left w:w="5" w:type="dxa"/>
              <w:bottom w:w="0" w:type="dxa"/>
              <w:right w:w="5" w:type="dxa"/>
            </w:tcMar>
            <w:vAlign w:val="center"/>
          </w:tcPr>
          <w:p w14:paraId="4BB37452"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A2-2</w:t>
            </w:r>
          </w:p>
        </w:tc>
        <w:tc>
          <w:tcPr>
            <w:tcW w:w="1448" w:type="dxa"/>
            <w:shd w:val="clear" w:color="auto" w:fill="auto"/>
            <w:tcMar>
              <w:top w:w="0" w:type="dxa"/>
              <w:left w:w="5" w:type="dxa"/>
              <w:bottom w:w="0" w:type="dxa"/>
              <w:right w:w="5" w:type="dxa"/>
            </w:tcMar>
            <w:vAlign w:val="center"/>
          </w:tcPr>
          <w:p w14:paraId="3E825B56"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6∙10</w:t>
            </w:r>
            <w:r w:rsidRPr="00000B61">
              <w:rPr>
                <w:sz w:val="18"/>
                <w:vertAlign w:val="superscript"/>
                <w:lang w:val="fr-FR"/>
              </w:rPr>
              <w:t>-1</w:t>
            </w:r>
          </w:p>
        </w:tc>
      </w:tr>
      <w:tr w:rsidR="00977113" w:rsidRPr="00000B61" w14:paraId="53233A3A" w14:textId="77777777" w:rsidTr="00977113">
        <w:tc>
          <w:tcPr>
            <w:tcW w:w="1326" w:type="dxa"/>
            <w:shd w:val="clear" w:color="auto" w:fill="auto"/>
            <w:tcMar>
              <w:top w:w="0" w:type="dxa"/>
              <w:left w:w="5" w:type="dxa"/>
              <w:bottom w:w="0" w:type="dxa"/>
              <w:right w:w="5" w:type="dxa"/>
            </w:tcMar>
            <w:vAlign w:val="center"/>
          </w:tcPr>
          <w:p w14:paraId="79767086"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w:t>
            </w:r>
          </w:p>
        </w:tc>
        <w:tc>
          <w:tcPr>
            <w:tcW w:w="1402" w:type="dxa"/>
            <w:shd w:val="clear" w:color="auto" w:fill="auto"/>
            <w:tcMar>
              <w:top w:w="0" w:type="dxa"/>
              <w:left w:w="5" w:type="dxa"/>
              <w:bottom w:w="0" w:type="dxa"/>
              <w:right w:w="5" w:type="dxa"/>
            </w:tcMar>
            <w:vAlign w:val="center"/>
          </w:tcPr>
          <w:p w14:paraId="4FC7CF12"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5,0∙10</w:t>
            </w:r>
            <w:r w:rsidRPr="00000B61">
              <w:rPr>
                <w:sz w:val="18"/>
                <w:vertAlign w:val="superscript"/>
                <w:lang w:val="fr-FR"/>
              </w:rPr>
              <w:t>1</w:t>
            </w:r>
          </w:p>
        </w:tc>
        <w:tc>
          <w:tcPr>
            <w:tcW w:w="1127" w:type="dxa"/>
            <w:shd w:val="clear" w:color="auto" w:fill="auto"/>
            <w:tcMar>
              <w:top w:w="0" w:type="dxa"/>
              <w:left w:w="5" w:type="dxa"/>
              <w:bottom w:w="0" w:type="dxa"/>
              <w:right w:w="5" w:type="dxa"/>
            </w:tcMar>
            <w:vAlign w:val="center"/>
          </w:tcPr>
          <w:p w14:paraId="3F5FD243"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2,80∙10</w:t>
            </w:r>
            <w:r w:rsidRPr="00000B61">
              <w:rPr>
                <w:sz w:val="18"/>
                <w:vertAlign w:val="superscript"/>
                <w:lang w:val="fr-FR"/>
              </w:rPr>
              <w:t>2</w:t>
            </w:r>
          </w:p>
        </w:tc>
        <w:tc>
          <w:tcPr>
            <w:tcW w:w="1287" w:type="dxa"/>
            <w:shd w:val="clear" w:color="auto" w:fill="auto"/>
            <w:tcMar>
              <w:top w:w="0" w:type="dxa"/>
              <w:left w:w="5" w:type="dxa"/>
              <w:bottom w:w="0" w:type="dxa"/>
              <w:right w:w="5" w:type="dxa"/>
            </w:tcMar>
            <w:vAlign w:val="center"/>
          </w:tcPr>
          <w:p w14:paraId="5A121D52"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1,40∙10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03FBA97C"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A3-IV</w:t>
            </w:r>
          </w:p>
        </w:tc>
        <w:tc>
          <w:tcPr>
            <w:tcW w:w="1598" w:type="dxa"/>
            <w:shd w:val="clear" w:color="auto" w:fill="auto"/>
            <w:tcMar>
              <w:top w:w="0" w:type="dxa"/>
              <w:left w:w="5" w:type="dxa"/>
              <w:bottom w:w="0" w:type="dxa"/>
              <w:right w:w="5" w:type="dxa"/>
            </w:tcMar>
            <w:vAlign w:val="center"/>
          </w:tcPr>
          <w:p w14:paraId="68A1B397" w14:textId="4700808F" w:rsidR="00977113" w:rsidRPr="00000B61" w:rsidRDefault="00977113" w:rsidP="00977113">
            <w:pPr>
              <w:suppressAutoHyphens w:val="0"/>
              <w:spacing w:before="40" w:after="40" w:line="220" w:lineRule="exact"/>
              <w:ind w:left="57" w:right="57"/>
              <w:jc w:val="center"/>
              <w:rPr>
                <w:sz w:val="18"/>
              </w:rPr>
            </w:pPr>
            <w:proofErr w:type="spellStart"/>
            <w:r w:rsidRPr="00000B61">
              <w:rPr>
                <w:sz w:val="18"/>
                <w:lang w:val="fr-FR"/>
              </w:rPr>
              <w:t>s.o</w:t>
            </w:r>
            <w:proofErr w:type="spellEnd"/>
            <w:r w:rsidR="005D567D">
              <w:rPr>
                <w:sz w:val="18"/>
                <w:lang w:val="fr-FR"/>
              </w:rPr>
              <w:t>.</w:t>
            </w:r>
          </w:p>
        </w:tc>
        <w:tc>
          <w:tcPr>
            <w:tcW w:w="1448" w:type="dxa"/>
            <w:shd w:val="clear" w:color="auto" w:fill="auto"/>
            <w:tcMar>
              <w:top w:w="0" w:type="dxa"/>
              <w:left w:w="5" w:type="dxa"/>
              <w:bottom w:w="0" w:type="dxa"/>
              <w:right w:w="5" w:type="dxa"/>
            </w:tcMar>
            <w:vAlign w:val="center"/>
          </w:tcPr>
          <w:p w14:paraId="1E7394E1" w14:textId="7950C71C" w:rsidR="00977113" w:rsidRPr="00000B61" w:rsidRDefault="00977113" w:rsidP="00977113">
            <w:pPr>
              <w:suppressAutoHyphens w:val="0"/>
              <w:spacing w:before="40" w:after="40" w:line="220" w:lineRule="exact"/>
              <w:ind w:left="57" w:right="57"/>
              <w:jc w:val="center"/>
              <w:rPr>
                <w:sz w:val="18"/>
              </w:rPr>
            </w:pPr>
            <w:proofErr w:type="spellStart"/>
            <w:r w:rsidRPr="00000B61">
              <w:rPr>
                <w:sz w:val="18"/>
                <w:lang w:val="fr-FR"/>
              </w:rPr>
              <w:t>s.o</w:t>
            </w:r>
            <w:proofErr w:type="spellEnd"/>
            <w:r w:rsidR="005D567D">
              <w:rPr>
                <w:sz w:val="18"/>
                <w:lang w:val="fr-FR"/>
              </w:rPr>
              <w:t>.</w:t>
            </w:r>
          </w:p>
        </w:tc>
      </w:tr>
      <w:tr w:rsidR="00977113" w:rsidRPr="00000B61" w14:paraId="7778D24B" w14:textId="77777777" w:rsidTr="00977113">
        <w:tc>
          <w:tcPr>
            <w:tcW w:w="1326" w:type="dxa"/>
            <w:shd w:val="clear" w:color="auto" w:fill="auto"/>
            <w:tcMar>
              <w:top w:w="0" w:type="dxa"/>
              <w:left w:w="5" w:type="dxa"/>
              <w:bottom w:w="0" w:type="dxa"/>
              <w:right w:w="5" w:type="dxa"/>
            </w:tcMar>
            <w:vAlign w:val="center"/>
          </w:tcPr>
          <w:p w14:paraId="097DAFA5"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11</w:t>
            </w:r>
          </w:p>
        </w:tc>
        <w:tc>
          <w:tcPr>
            <w:tcW w:w="1402" w:type="dxa"/>
            <w:shd w:val="clear" w:color="auto" w:fill="auto"/>
            <w:tcMar>
              <w:top w:w="0" w:type="dxa"/>
              <w:left w:w="5" w:type="dxa"/>
              <w:bottom w:w="0" w:type="dxa"/>
              <w:right w:w="5" w:type="dxa"/>
            </w:tcMar>
            <w:vAlign w:val="center"/>
          </w:tcPr>
          <w:p w14:paraId="35C807FC"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9,0∙10</w:t>
            </w:r>
            <w:r w:rsidRPr="00000B61">
              <w:rPr>
                <w:sz w:val="18"/>
                <w:vertAlign w:val="superscript"/>
                <w:lang w:val="fr-FR"/>
              </w:rPr>
              <w:t>1</w:t>
            </w:r>
          </w:p>
        </w:tc>
        <w:tc>
          <w:tcPr>
            <w:tcW w:w="1127" w:type="dxa"/>
            <w:shd w:val="clear" w:color="auto" w:fill="auto"/>
            <w:tcMar>
              <w:top w:w="0" w:type="dxa"/>
              <w:left w:w="5" w:type="dxa"/>
              <w:bottom w:w="0" w:type="dxa"/>
              <w:right w:w="5" w:type="dxa"/>
            </w:tcMar>
            <w:vAlign w:val="center"/>
          </w:tcPr>
          <w:p w14:paraId="55E72D7B"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1,20∙10</w:t>
            </w:r>
            <w:r w:rsidRPr="00000B61">
              <w:rPr>
                <w:sz w:val="18"/>
                <w:vertAlign w:val="superscript"/>
                <w:lang w:val="fr-FR"/>
              </w:rPr>
              <w:t>3</w:t>
            </w:r>
          </w:p>
        </w:tc>
        <w:tc>
          <w:tcPr>
            <w:tcW w:w="1287" w:type="dxa"/>
            <w:shd w:val="clear" w:color="auto" w:fill="auto"/>
            <w:tcMar>
              <w:top w:w="0" w:type="dxa"/>
              <w:left w:w="5" w:type="dxa"/>
              <w:bottom w:w="0" w:type="dxa"/>
              <w:right w:w="5" w:type="dxa"/>
            </w:tcMar>
            <w:vAlign w:val="center"/>
          </w:tcPr>
          <w:p w14:paraId="20C8A6D8"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6,00∙10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4CB57A2B"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691CAB52"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A2-1</w:t>
            </w:r>
          </w:p>
        </w:tc>
        <w:tc>
          <w:tcPr>
            <w:tcW w:w="1448" w:type="dxa"/>
            <w:shd w:val="clear" w:color="auto" w:fill="auto"/>
            <w:tcMar>
              <w:top w:w="0" w:type="dxa"/>
              <w:left w:w="5" w:type="dxa"/>
              <w:bottom w:w="0" w:type="dxa"/>
              <w:right w:w="5" w:type="dxa"/>
            </w:tcMar>
            <w:vAlign w:val="center"/>
          </w:tcPr>
          <w:p w14:paraId="0BE5519E"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3∙10</w:t>
            </w:r>
            <w:r w:rsidRPr="00000B61">
              <w:rPr>
                <w:sz w:val="18"/>
                <w:vertAlign w:val="superscript"/>
                <w:lang w:val="fr-FR"/>
              </w:rPr>
              <w:t>-1</w:t>
            </w:r>
          </w:p>
        </w:tc>
      </w:tr>
      <w:tr w:rsidR="00977113" w:rsidRPr="00000B61" w14:paraId="127D376F" w14:textId="77777777" w:rsidTr="00977113">
        <w:tc>
          <w:tcPr>
            <w:tcW w:w="1326" w:type="dxa"/>
            <w:shd w:val="clear" w:color="auto" w:fill="auto"/>
            <w:tcMar>
              <w:top w:w="0" w:type="dxa"/>
              <w:left w:w="5" w:type="dxa"/>
              <w:bottom w:w="0" w:type="dxa"/>
              <w:right w:w="5" w:type="dxa"/>
            </w:tcMar>
            <w:vAlign w:val="center"/>
          </w:tcPr>
          <w:p w14:paraId="7128746A"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11a</w:t>
            </w:r>
          </w:p>
        </w:tc>
        <w:tc>
          <w:tcPr>
            <w:tcW w:w="1402" w:type="dxa"/>
            <w:shd w:val="clear" w:color="auto" w:fill="auto"/>
            <w:tcMar>
              <w:top w:w="0" w:type="dxa"/>
              <w:left w:w="5" w:type="dxa"/>
              <w:bottom w:w="0" w:type="dxa"/>
              <w:right w:w="5" w:type="dxa"/>
            </w:tcMar>
            <w:vAlign w:val="center"/>
          </w:tcPr>
          <w:p w14:paraId="3806F960"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1,75∙10</w:t>
            </w:r>
            <w:r w:rsidRPr="00000B61">
              <w:rPr>
                <w:sz w:val="18"/>
                <w:vertAlign w:val="superscript"/>
                <w:lang w:val="fr-FR"/>
              </w:rPr>
              <w:t>2</w:t>
            </w:r>
          </w:p>
        </w:tc>
        <w:tc>
          <w:tcPr>
            <w:tcW w:w="1127" w:type="dxa"/>
            <w:shd w:val="clear" w:color="auto" w:fill="auto"/>
            <w:tcMar>
              <w:top w:w="0" w:type="dxa"/>
              <w:left w:w="5" w:type="dxa"/>
              <w:bottom w:w="0" w:type="dxa"/>
              <w:right w:w="5" w:type="dxa"/>
            </w:tcMar>
            <w:vAlign w:val="center"/>
          </w:tcPr>
          <w:p w14:paraId="7E999CE1" w14:textId="77777777" w:rsidR="00977113" w:rsidRPr="00045268" w:rsidRDefault="00977113" w:rsidP="00977113">
            <w:pPr>
              <w:suppressAutoHyphens w:val="0"/>
              <w:spacing w:before="40" w:after="40" w:line="220" w:lineRule="exact"/>
              <w:ind w:left="57" w:right="57"/>
              <w:jc w:val="center"/>
              <w:rPr>
                <w:sz w:val="18"/>
              </w:rPr>
            </w:pPr>
            <w:r w:rsidRPr="00045268">
              <w:rPr>
                <w:sz w:val="18"/>
                <w:lang w:val="fr-FR"/>
              </w:rPr>
              <w:t>1,20∙10</w:t>
            </w:r>
            <w:r w:rsidRPr="00136F6A">
              <w:rPr>
                <w:sz w:val="18"/>
                <w:vertAlign w:val="superscript"/>
                <w:lang w:val="fr-FR"/>
              </w:rPr>
              <w:t>3</w:t>
            </w:r>
          </w:p>
        </w:tc>
        <w:tc>
          <w:tcPr>
            <w:tcW w:w="1287" w:type="dxa"/>
            <w:shd w:val="clear" w:color="auto" w:fill="auto"/>
            <w:tcMar>
              <w:top w:w="0" w:type="dxa"/>
              <w:left w:w="5" w:type="dxa"/>
              <w:bottom w:w="0" w:type="dxa"/>
              <w:right w:w="5" w:type="dxa"/>
            </w:tcMar>
            <w:vAlign w:val="center"/>
          </w:tcPr>
          <w:p w14:paraId="66246F1A"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6,00∙10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1EC732F5"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5AFA93CE" w14:textId="77777777" w:rsidR="00977113" w:rsidRPr="00000B61" w:rsidRDefault="00977113" w:rsidP="00977113">
            <w:pPr>
              <w:suppressAutoHyphens w:val="0"/>
              <w:spacing w:before="40" w:after="40" w:line="220" w:lineRule="exact"/>
              <w:ind w:left="57" w:right="57"/>
              <w:jc w:val="center"/>
              <w:rPr>
                <w:sz w:val="18"/>
              </w:rPr>
            </w:pPr>
            <w:r w:rsidRPr="00000B61">
              <w:rPr>
                <w:sz w:val="18"/>
              </w:rPr>
              <w:t>Tableau A2-1</w:t>
            </w:r>
          </w:p>
        </w:tc>
        <w:tc>
          <w:tcPr>
            <w:tcW w:w="1448" w:type="dxa"/>
            <w:shd w:val="clear" w:color="auto" w:fill="auto"/>
            <w:tcMar>
              <w:top w:w="0" w:type="dxa"/>
              <w:left w:w="5" w:type="dxa"/>
              <w:bottom w:w="0" w:type="dxa"/>
              <w:right w:w="5" w:type="dxa"/>
            </w:tcMar>
            <w:vAlign w:val="center"/>
          </w:tcPr>
          <w:p w14:paraId="5A052585"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3∙10</w:t>
            </w:r>
            <w:r w:rsidRPr="00000B61">
              <w:rPr>
                <w:sz w:val="18"/>
                <w:vertAlign w:val="superscript"/>
                <w:lang w:val="fr-FR"/>
              </w:rPr>
              <w:t>-1</w:t>
            </w:r>
          </w:p>
        </w:tc>
      </w:tr>
      <w:tr w:rsidR="00977113" w:rsidRPr="00000B61" w14:paraId="2BDE1AFE" w14:textId="77777777" w:rsidTr="00977113">
        <w:tc>
          <w:tcPr>
            <w:tcW w:w="1326" w:type="dxa"/>
            <w:shd w:val="clear" w:color="auto" w:fill="auto"/>
            <w:tcMar>
              <w:top w:w="0" w:type="dxa"/>
              <w:left w:w="5" w:type="dxa"/>
              <w:bottom w:w="0" w:type="dxa"/>
              <w:right w:w="5" w:type="dxa"/>
            </w:tcMar>
            <w:vAlign w:val="center"/>
          </w:tcPr>
          <w:p w14:paraId="68C4682D"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11b</w:t>
            </w:r>
          </w:p>
        </w:tc>
        <w:tc>
          <w:tcPr>
            <w:tcW w:w="1402" w:type="dxa"/>
            <w:shd w:val="clear" w:color="auto" w:fill="auto"/>
            <w:tcMar>
              <w:top w:w="0" w:type="dxa"/>
              <w:left w:w="5" w:type="dxa"/>
              <w:bottom w:w="0" w:type="dxa"/>
              <w:right w:w="5" w:type="dxa"/>
            </w:tcMar>
            <w:vAlign w:val="center"/>
          </w:tcPr>
          <w:p w14:paraId="51DD71CB"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2,50∙10</w:t>
            </w:r>
            <w:r w:rsidRPr="00000B61">
              <w:rPr>
                <w:sz w:val="18"/>
                <w:vertAlign w:val="superscript"/>
                <w:lang w:val="fr-FR"/>
              </w:rPr>
              <w:t>2</w:t>
            </w:r>
          </w:p>
        </w:tc>
        <w:tc>
          <w:tcPr>
            <w:tcW w:w="1127" w:type="dxa"/>
            <w:shd w:val="clear" w:color="auto" w:fill="auto"/>
            <w:tcMar>
              <w:top w:w="0" w:type="dxa"/>
              <w:left w:w="5" w:type="dxa"/>
              <w:bottom w:w="0" w:type="dxa"/>
              <w:right w:w="5" w:type="dxa"/>
            </w:tcMar>
            <w:vAlign w:val="center"/>
          </w:tcPr>
          <w:p w14:paraId="376364B8" w14:textId="77777777" w:rsidR="00977113" w:rsidRPr="00045268" w:rsidRDefault="00977113" w:rsidP="00977113">
            <w:pPr>
              <w:suppressAutoHyphens w:val="0"/>
              <w:spacing w:before="40" w:after="40" w:line="220" w:lineRule="exact"/>
              <w:ind w:left="57" w:right="57"/>
              <w:jc w:val="center"/>
              <w:rPr>
                <w:sz w:val="18"/>
              </w:rPr>
            </w:pPr>
            <w:r w:rsidRPr="00045268">
              <w:rPr>
                <w:sz w:val="18"/>
                <w:lang w:val="fr-FR"/>
              </w:rPr>
              <w:t>1,20∙10</w:t>
            </w:r>
            <w:r w:rsidRPr="00136F6A">
              <w:rPr>
                <w:sz w:val="18"/>
                <w:vertAlign w:val="superscript"/>
                <w:lang w:val="fr-FR"/>
              </w:rPr>
              <w:t>3</w:t>
            </w:r>
          </w:p>
        </w:tc>
        <w:tc>
          <w:tcPr>
            <w:tcW w:w="1287" w:type="dxa"/>
            <w:shd w:val="clear" w:color="auto" w:fill="auto"/>
            <w:tcMar>
              <w:top w:w="0" w:type="dxa"/>
              <w:left w:w="5" w:type="dxa"/>
              <w:bottom w:w="0" w:type="dxa"/>
              <w:right w:w="5" w:type="dxa"/>
            </w:tcMar>
            <w:vAlign w:val="center"/>
          </w:tcPr>
          <w:p w14:paraId="7B1BB6DD"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6,00∙10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71433C2F"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3B68D9AD"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A2-1</w:t>
            </w:r>
          </w:p>
        </w:tc>
        <w:tc>
          <w:tcPr>
            <w:tcW w:w="1448" w:type="dxa"/>
            <w:shd w:val="clear" w:color="auto" w:fill="auto"/>
            <w:tcMar>
              <w:top w:w="0" w:type="dxa"/>
              <w:left w:w="5" w:type="dxa"/>
              <w:bottom w:w="0" w:type="dxa"/>
              <w:right w:w="5" w:type="dxa"/>
            </w:tcMar>
            <w:vAlign w:val="center"/>
          </w:tcPr>
          <w:p w14:paraId="40738C67"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3∙10</w:t>
            </w:r>
            <w:r w:rsidRPr="00000B61">
              <w:rPr>
                <w:sz w:val="18"/>
                <w:vertAlign w:val="superscript"/>
                <w:lang w:val="fr-FR"/>
              </w:rPr>
              <w:t>-1</w:t>
            </w:r>
          </w:p>
        </w:tc>
      </w:tr>
      <w:tr w:rsidR="00977113" w:rsidRPr="00000B61" w14:paraId="4F500EC8" w14:textId="77777777" w:rsidTr="00977113">
        <w:tc>
          <w:tcPr>
            <w:tcW w:w="1326" w:type="dxa"/>
            <w:shd w:val="clear" w:color="auto" w:fill="auto"/>
            <w:tcMar>
              <w:top w:w="0" w:type="dxa"/>
              <w:left w:w="5" w:type="dxa"/>
              <w:bottom w:w="0" w:type="dxa"/>
              <w:right w:w="5" w:type="dxa"/>
            </w:tcMar>
            <w:vAlign w:val="center"/>
          </w:tcPr>
          <w:p w14:paraId="02BE585F"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11c</w:t>
            </w:r>
          </w:p>
        </w:tc>
        <w:tc>
          <w:tcPr>
            <w:tcW w:w="1402" w:type="dxa"/>
            <w:shd w:val="clear" w:color="auto" w:fill="auto"/>
            <w:tcMar>
              <w:top w:w="0" w:type="dxa"/>
              <w:left w:w="5" w:type="dxa"/>
              <w:bottom w:w="0" w:type="dxa"/>
              <w:right w:w="5" w:type="dxa"/>
            </w:tcMar>
            <w:vAlign w:val="center"/>
          </w:tcPr>
          <w:p w14:paraId="5B50DCAC"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4,00∙10</w:t>
            </w:r>
            <w:r w:rsidRPr="00000B61">
              <w:rPr>
                <w:sz w:val="18"/>
                <w:vertAlign w:val="superscript"/>
                <w:lang w:val="fr-FR"/>
              </w:rPr>
              <w:t>2</w:t>
            </w:r>
          </w:p>
        </w:tc>
        <w:tc>
          <w:tcPr>
            <w:tcW w:w="1127" w:type="dxa"/>
            <w:shd w:val="clear" w:color="auto" w:fill="auto"/>
            <w:tcMar>
              <w:top w:w="0" w:type="dxa"/>
              <w:left w:w="5" w:type="dxa"/>
              <w:bottom w:w="0" w:type="dxa"/>
              <w:right w:w="5" w:type="dxa"/>
            </w:tcMar>
            <w:vAlign w:val="center"/>
          </w:tcPr>
          <w:p w14:paraId="482E9A1D" w14:textId="77777777" w:rsidR="00977113" w:rsidRPr="00045268" w:rsidRDefault="00977113" w:rsidP="00977113">
            <w:pPr>
              <w:suppressAutoHyphens w:val="0"/>
              <w:spacing w:before="40" w:after="40" w:line="220" w:lineRule="exact"/>
              <w:ind w:left="57" w:right="57"/>
              <w:jc w:val="center"/>
              <w:rPr>
                <w:sz w:val="18"/>
              </w:rPr>
            </w:pPr>
            <w:r w:rsidRPr="00045268">
              <w:rPr>
                <w:sz w:val="18"/>
                <w:lang w:val="fr-FR"/>
              </w:rPr>
              <w:t>1,20∙10</w:t>
            </w:r>
            <w:r w:rsidRPr="00136F6A">
              <w:rPr>
                <w:sz w:val="18"/>
                <w:vertAlign w:val="superscript"/>
                <w:lang w:val="fr-FR"/>
              </w:rPr>
              <w:t>3</w:t>
            </w:r>
          </w:p>
        </w:tc>
        <w:tc>
          <w:tcPr>
            <w:tcW w:w="1287" w:type="dxa"/>
            <w:shd w:val="clear" w:color="auto" w:fill="auto"/>
            <w:tcMar>
              <w:top w:w="0" w:type="dxa"/>
              <w:left w:w="5" w:type="dxa"/>
              <w:bottom w:w="0" w:type="dxa"/>
              <w:right w:w="5" w:type="dxa"/>
            </w:tcMar>
            <w:vAlign w:val="center"/>
          </w:tcPr>
          <w:p w14:paraId="3EDB1D08"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6,00∙10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76F59538"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466A72F7"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A2-1</w:t>
            </w:r>
          </w:p>
        </w:tc>
        <w:tc>
          <w:tcPr>
            <w:tcW w:w="1448" w:type="dxa"/>
            <w:shd w:val="clear" w:color="auto" w:fill="auto"/>
            <w:tcMar>
              <w:top w:w="0" w:type="dxa"/>
              <w:left w:w="5" w:type="dxa"/>
              <w:bottom w:w="0" w:type="dxa"/>
              <w:right w:w="5" w:type="dxa"/>
            </w:tcMar>
            <w:vAlign w:val="center"/>
          </w:tcPr>
          <w:p w14:paraId="7CC93DAD"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3∙10</w:t>
            </w:r>
            <w:r w:rsidRPr="00000B61">
              <w:rPr>
                <w:sz w:val="18"/>
                <w:vertAlign w:val="superscript"/>
                <w:lang w:val="fr-FR"/>
              </w:rPr>
              <w:t>-1</w:t>
            </w:r>
          </w:p>
        </w:tc>
      </w:tr>
      <w:tr w:rsidR="00977113" w:rsidRPr="00000B61" w14:paraId="7A74F90E" w14:textId="77777777" w:rsidTr="00977113">
        <w:tc>
          <w:tcPr>
            <w:tcW w:w="1326" w:type="dxa"/>
            <w:shd w:val="clear" w:color="auto" w:fill="auto"/>
            <w:tcMar>
              <w:top w:w="0" w:type="dxa"/>
              <w:left w:w="5" w:type="dxa"/>
              <w:bottom w:w="0" w:type="dxa"/>
              <w:right w:w="5" w:type="dxa"/>
            </w:tcMar>
            <w:vAlign w:val="center"/>
          </w:tcPr>
          <w:p w14:paraId="4D53EF17"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12</w:t>
            </w:r>
          </w:p>
        </w:tc>
        <w:tc>
          <w:tcPr>
            <w:tcW w:w="1402" w:type="dxa"/>
            <w:shd w:val="clear" w:color="auto" w:fill="auto"/>
            <w:tcMar>
              <w:top w:w="0" w:type="dxa"/>
              <w:left w:w="5" w:type="dxa"/>
              <w:bottom w:w="0" w:type="dxa"/>
              <w:right w:w="5" w:type="dxa"/>
            </w:tcMar>
            <w:vAlign w:val="center"/>
          </w:tcPr>
          <w:p w14:paraId="2808166E"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5,0∙10</w:t>
            </w:r>
            <w:r w:rsidRPr="00000B61">
              <w:rPr>
                <w:sz w:val="18"/>
                <w:vertAlign w:val="superscript"/>
                <w:lang w:val="fr-FR"/>
              </w:rPr>
              <w:t>1</w:t>
            </w:r>
          </w:p>
        </w:tc>
        <w:tc>
          <w:tcPr>
            <w:tcW w:w="1127" w:type="dxa"/>
            <w:shd w:val="clear" w:color="auto" w:fill="auto"/>
            <w:tcMar>
              <w:top w:w="0" w:type="dxa"/>
              <w:left w:w="5" w:type="dxa"/>
              <w:bottom w:w="0" w:type="dxa"/>
              <w:right w:w="5" w:type="dxa"/>
            </w:tcMar>
            <w:vAlign w:val="center"/>
          </w:tcPr>
          <w:p w14:paraId="595141F7"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5,00∙10</w:t>
            </w:r>
            <w:r w:rsidRPr="00000B61">
              <w:rPr>
                <w:sz w:val="18"/>
                <w:vertAlign w:val="superscript"/>
                <w:lang w:val="fr-FR"/>
              </w:rPr>
              <w:t>2</w:t>
            </w:r>
          </w:p>
        </w:tc>
        <w:tc>
          <w:tcPr>
            <w:tcW w:w="1287" w:type="dxa"/>
            <w:shd w:val="clear" w:color="auto" w:fill="auto"/>
            <w:tcMar>
              <w:top w:w="0" w:type="dxa"/>
              <w:left w:w="5" w:type="dxa"/>
              <w:bottom w:w="0" w:type="dxa"/>
              <w:right w:w="5" w:type="dxa"/>
            </w:tcMar>
            <w:vAlign w:val="center"/>
          </w:tcPr>
          <w:p w14:paraId="1D5C8FED"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2,50∙10</w:t>
            </w:r>
            <w:r w:rsidRPr="00000B61">
              <w:rPr>
                <w:sz w:val="18"/>
                <w:vertAlign w:val="superscript"/>
                <w:lang w:val="fr-FR"/>
              </w:rPr>
              <w:t>2</w:t>
            </w:r>
          </w:p>
        </w:tc>
        <w:tc>
          <w:tcPr>
            <w:tcW w:w="1449" w:type="dxa"/>
            <w:shd w:val="clear" w:color="auto" w:fill="auto"/>
            <w:tcMar>
              <w:top w:w="0" w:type="dxa"/>
              <w:left w:w="5" w:type="dxa"/>
              <w:bottom w:w="0" w:type="dxa"/>
              <w:right w:w="5" w:type="dxa"/>
            </w:tcMar>
            <w:vAlign w:val="center"/>
          </w:tcPr>
          <w:p w14:paraId="030A3FDB" w14:textId="77777777" w:rsidR="00977113" w:rsidRPr="00000B61" w:rsidRDefault="00977113" w:rsidP="00977113">
            <w:pPr>
              <w:suppressAutoHyphens w:val="0"/>
              <w:spacing w:before="40" w:after="40" w:line="220" w:lineRule="exact"/>
              <w:ind w:left="57" w:right="57"/>
              <w:jc w:val="center"/>
              <w:rPr>
                <w:sz w:val="18"/>
              </w:rPr>
            </w:pPr>
            <w:r w:rsidRPr="00000B61">
              <w:rPr>
                <w:sz w:val="18"/>
              </w:rPr>
              <w:t>Figure A3-I</w:t>
            </w:r>
          </w:p>
        </w:tc>
        <w:tc>
          <w:tcPr>
            <w:tcW w:w="1598" w:type="dxa"/>
            <w:shd w:val="clear" w:color="auto" w:fill="auto"/>
            <w:tcMar>
              <w:top w:w="0" w:type="dxa"/>
              <w:left w:w="5" w:type="dxa"/>
              <w:bottom w:w="0" w:type="dxa"/>
              <w:right w:w="5" w:type="dxa"/>
            </w:tcMar>
            <w:vAlign w:val="center"/>
          </w:tcPr>
          <w:p w14:paraId="3B407659"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Tableau A2-1</w:t>
            </w:r>
          </w:p>
        </w:tc>
        <w:tc>
          <w:tcPr>
            <w:tcW w:w="1448" w:type="dxa"/>
            <w:shd w:val="clear" w:color="auto" w:fill="auto"/>
            <w:tcMar>
              <w:top w:w="0" w:type="dxa"/>
              <w:left w:w="5" w:type="dxa"/>
              <w:bottom w:w="0" w:type="dxa"/>
              <w:right w:w="5" w:type="dxa"/>
            </w:tcMar>
            <w:vAlign w:val="center"/>
          </w:tcPr>
          <w:p w14:paraId="3308FA3E" w14:textId="77777777" w:rsidR="00977113" w:rsidRPr="00000B61" w:rsidRDefault="00977113" w:rsidP="00977113">
            <w:pPr>
              <w:suppressAutoHyphens w:val="0"/>
              <w:spacing w:before="40" w:after="40" w:line="220" w:lineRule="exact"/>
              <w:ind w:left="57" w:right="57"/>
              <w:jc w:val="center"/>
              <w:rPr>
                <w:sz w:val="18"/>
              </w:rPr>
            </w:pPr>
            <w:r w:rsidRPr="00000B61">
              <w:rPr>
                <w:sz w:val="18"/>
                <w:lang w:val="fr-FR"/>
              </w:rPr>
              <w:t>3∙10</w:t>
            </w:r>
            <w:r w:rsidRPr="00000B61">
              <w:rPr>
                <w:sz w:val="18"/>
                <w:vertAlign w:val="superscript"/>
                <w:lang w:val="fr-FR"/>
              </w:rPr>
              <w:t>-1</w:t>
            </w:r>
          </w:p>
        </w:tc>
      </w:tr>
    </w:tbl>
    <w:p w14:paraId="74839ACC" w14:textId="31B169E6" w:rsidR="00977113" w:rsidRPr="00F97023" w:rsidRDefault="005D567D" w:rsidP="005D567D">
      <w:pPr>
        <w:pStyle w:val="SingleTxtG"/>
        <w:spacing w:before="120"/>
        <w:ind w:right="0"/>
        <w:jc w:val="right"/>
      </w:pPr>
      <w:r>
        <w:rPr>
          <w:lang w:val="fr-FR"/>
        </w:rPr>
        <w:t>.</w:t>
      </w:r>
      <w:r w:rsidR="00977113">
        <w:rPr>
          <w:lang w:val="fr-FR"/>
        </w:rPr>
        <w:t> ».</w:t>
      </w:r>
    </w:p>
    <w:p w14:paraId="77D6891B" w14:textId="77777777" w:rsidR="00977113" w:rsidRPr="00F97023" w:rsidRDefault="00977113" w:rsidP="00977113">
      <w:pPr>
        <w:pStyle w:val="SingleTxtG"/>
      </w:pPr>
      <w:r w:rsidRPr="001509C8">
        <w:rPr>
          <w:i/>
          <w:iCs/>
          <w:lang w:val="fr-FR"/>
        </w:rPr>
        <w:t>Paragraphe 5.7.7</w:t>
      </w:r>
      <w:r w:rsidRPr="00F97023">
        <w:rPr>
          <w:lang w:val="fr-FR"/>
        </w:rPr>
        <w:t>, lire</w:t>
      </w:r>
      <w:r>
        <w:rPr>
          <w:lang w:val="fr-FR"/>
        </w:rPr>
        <w:t> :</w:t>
      </w:r>
    </w:p>
    <w:p w14:paraId="7C56BA87" w14:textId="77777777" w:rsidR="00977113" w:rsidRPr="00F97023" w:rsidRDefault="00977113" w:rsidP="00977113">
      <w:pPr>
        <w:pStyle w:val="SingleTxtG"/>
        <w:ind w:left="1701" w:hanging="567"/>
      </w:pPr>
      <w:r w:rsidRPr="00F97023">
        <w:rPr>
          <w:lang w:val="fr-FR"/>
        </w:rPr>
        <w:t>« 5.7.7</w:t>
      </w:r>
      <w:r>
        <w:rPr>
          <w:lang w:val="fr-FR"/>
        </w:rPr>
        <w:tab/>
      </w:r>
      <w:r>
        <w:rPr>
          <w:lang w:val="fr-FR"/>
        </w:rPr>
        <w:tab/>
      </w:r>
      <w:r>
        <w:rPr>
          <w:lang w:val="fr-FR"/>
        </w:rPr>
        <w:tab/>
      </w:r>
      <w:r w:rsidRPr="00F97023">
        <w:rPr>
          <w:lang w:val="fr-FR"/>
        </w:rPr>
        <w:t>Couleur</w:t>
      </w:r>
      <w:r>
        <w:rPr>
          <w:lang w:val="fr-FR"/>
        </w:rPr>
        <w:t> :</w:t>
      </w:r>
      <w:r w:rsidRPr="00F97023">
        <w:rPr>
          <w:lang w:val="fr-FR"/>
        </w:rPr>
        <w:t xml:space="preserve"> </w:t>
      </w:r>
    </w:p>
    <w:p w14:paraId="263ED8A3" w14:textId="77777777" w:rsidR="00977113" w:rsidRDefault="00977113" w:rsidP="00977113">
      <w:pPr>
        <w:pStyle w:val="SingleTxtG"/>
        <w:ind w:left="2268"/>
        <w:rPr>
          <w:lang w:val="fr-FR"/>
        </w:rPr>
      </w:pPr>
      <w:r w:rsidRPr="00F97023">
        <w:rPr>
          <w:lang w:val="fr-FR"/>
        </w:rPr>
        <w:t xml:space="preserve">La couleur de la lumière émise doit être jaune-auto. </w:t>
      </w:r>
      <w:r w:rsidRPr="00136F6A">
        <w:rPr>
          <w:lang w:val="fr-FR"/>
        </w:rPr>
        <w:t>Elle peut toutefois être rouge si les feux de position latéraux les plus en arrière sont groupés, combinés ou incorporés mutuellement aux feux de position arrière, aux feux de gabarit arrière, aux feux de brouillard arrière ou aux feux stop, ou encore s</w:t>
      </w:r>
      <w:r>
        <w:rPr>
          <w:lang w:val="fr-FR"/>
        </w:rPr>
        <w:t>’</w:t>
      </w:r>
      <w:r w:rsidRPr="00136F6A">
        <w:rPr>
          <w:lang w:val="fr-FR"/>
        </w:rPr>
        <w:t>ils sont groupés avec les catadioptres arrière ou si leurs surfaces respectives de sortie de la lumière se recoupent</w:t>
      </w:r>
      <w:r w:rsidRPr="00045268">
        <w:rPr>
          <w:lang w:val="fr-FR"/>
        </w:rPr>
        <w:t>.</w:t>
      </w:r>
      <w:r w:rsidRPr="00F97023">
        <w:rPr>
          <w:lang w:val="fr-FR"/>
        </w:rPr>
        <w:t> ».</w:t>
      </w:r>
    </w:p>
    <w:p w14:paraId="5409A7FA" w14:textId="77777777" w:rsidR="00977113" w:rsidRPr="0078370B" w:rsidRDefault="00977113" w:rsidP="00977113">
      <w:pPr>
        <w:spacing w:after="120"/>
        <w:ind w:left="1134" w:right="1134"/>
        <w:jc w:val="both"/>
        <w:rPr>
          <w:lang w:val="fr-FR"/>
        </w:rPr>
      </w:pPr>
      <w:r w:rsidRPr="0078370B">
        <w:rPr>
          <w:i/>
          <w:iCs/>
          <w:lang w:val="fr-FR"/>
        </w:rPr>
        <w:t>Annexe 8, paragraphe 1.2.2</w:t>
      </w:r>
      <w:r w:rsidRPr="0078370B">
        <w:rPr>
          <w:lang w:val="fr-FR"/>
        </w:rPr>
        <w:t>, lire :</w:t>
      </w:r>
    </w:p>
    <w:p w14:paraId="117DF598" w14:textId="77777777" w:rsidR="00977113" w:rsidRPr="0078370B" w:rsidRDefault="00977113" w:rsidP="00977113">
      <w:pPr>
        <w:spacing w:after="120"/>
        <w:ind w:left="2268" w:right="1134" w:hanging="1134"/>
        <w:jc w:val="both"/>
        <w:rPr>
          <w:lang w:val="fr-FR"/>
        </w:rPr>
      </w:pPr>
      <w:r w:rsidRPr="0078370B">
        <w:rPr>
          <w:lang w:val="fr-FR"/>
        </w:rPr>
        <w:t>« 1.2.2</w:t>
      </w:r>
      <w:r w:rsidRPr="0078370B">
        <w:rPr>
          <w:lang w:val="fr-FR"/>
        </w:rPr>
        <w:tab/>
        <w:t xml:space="preserve">Pour tous les autres feux, les intensités lumineuses mesurées après 1 minute et </w:t>
      </w:r>
    </w:p>
    <w:p w14:paraId="28437E8B" w14:textId="77777777" w:rsidR="00977113" w:rsidRPr="00136F6A" w:rsidRDefault="00977113" w:rsidP="00977113">
      <w:pPr>
        <w:kinsoku/>
        <w:overflowPunct/>
        <w:autoSpaceDE/>
        <w:autoSpaceDN/>
        <w:adjustRightInd/>
        <w:snapToGrid/>
        <w:spacing w:after="120"/>
        <w:ind w:left="2268" w:right="1134"/>
        <w:jc w:val="both"/>
        <w:outlineLvl w:val="2"/>
        <w:rPr>
          <w:rFonts w:eastAsiaTheme="minorEastAsia"/>
          <w:lang w:val="fr-FR"/>
        </w:rPr>
      </w:pPr>
      <w:r w:rsidRPr="0078370B">
        <w:rPr>
          <w:rFonts w:eastAsiaTheme="minorEastAsia"/>
          <w:lang w:val="fr-FR"/>
        </w:rPr>
        <w:t xml:space="preserve">- </w:t>
      </w:r>
      <w:r w:rsidRPr="00136F6A">
        <w:rPr>
          <w:rFonts w:eastAsiaTheme="minorEastAsia"/>
          <w:lang w:val="fr-FR"/>
        </w:rPr>
        <w:t>soit</w:t>
      </w:r>
      <w:r w:rsidRPr="0078370B">
        <w:rPr>
          <w:rFonts w:eastAsiaTheme="minorEastAsia"/>
          <w:lang w:val="fr-FR"/>
        </w:rPr>
        <w:t xml:space="preserve"> après 30 minutes de fonctionnement</w:t>
      </w:r>
      <w:r w:rsidRPr="00136F6A">
        <w:rPr>
          <w:rFonts w:eastAsiaTheme="minorEastAsia"/>
          <w:lang w:val="fr-FR"/>
        </w:rPr>
        <w:t xml:space="preserve">, </w:t>
      </w:r>
    </w:p>
    <w:p w14:paraId="405A686C" w14:textId="77777777" w:rsidR="00977113" w:rsidRPr="0078370B" w:rsidRDefault="00977113" w:rsidP="00977113">
      <w:pPr>
        <w:kinsoku/>
        <w:overflowPunct/>
        <w:autoSpaceDE/>
        <w:autoSpaceDN/>
        <w:adjustRightInd/>
        <w:snapToGrid/>
        <w:spacing w:after="120"/>
        <w:ind w:left="2268" w:right="1134"/>
        <w:jc w:val="both"/>
        <w:outlineLvl w:val="2"/>
        <w:rPr>
          <w:rFonts w:eastAsiaTheme="minorEastAsia"/>
          <w:lang w:val="fr-FR"/>
        </w:rPr>
      </w:pPr>
      <w:r w:rsidRPr="00136F6A">
        <w:rPr>
          <w:rFonts w:eastAsiaTheme="minorEastAsia"/>
          <w:lang w:val="fr-FR"/>
        </w:rPr>
        <w:t>- soit après que la stabilité photométrique a été atteinte</w:t>
      </w:r>
    </w:p>
    <w:p w14:paraId="6764CD7A" w14:textId="77777777" w:rsidR="00977113" w:rsidRPr="0078370B" w:rsidRDefault="00977113" w:rsidP="00977113">
      <w:pPr>
        <w:kinsoku/>
        <w:overflowPunct/>
        <w:autoSpaceDE/>
        <w:autoSpaceDN/>
        <w:adjustRightInd/>
        <w:snapToGrid/>
        <w:spacing w:after="120"/>
        <w:ind w:left="2268" w:right="1134"/>
        <w:jc w:val="both"/>
        <w:outlineLvl w:val="2"/>
        <w:rPr>
          <w:rFonts w:eastAsiaTheme="minorEastAsia"/>
          <w:lang w:val="fr-FR"/>
        </w:rPr>
      </w:pPr>
      <w:r w:rsidRPr="0078370B">
        <w:rPr>
          <w:rFonts w:eastAsiaTheme="minorEastAsia"/>
          <w:lang w:val="fr-FR"/>
        </w:rPr>
        <w:t>doivent être conformes aux prescriptions minimales et maximales.</w:t>
      </w:r>
    </w:p>
    <w:p w14:paraId="212B9DC9" w14:textId="77777777" w:rsidR="00977113" w:rsidRPr="0078370B" w:rsidRDefault="00977113" w:rsidP="00977113">
      <w:pPr>
        <w:suppressAutoHyphens w:val="0"/>
        <w:kinsoku/>
        <w:overflowPunct/>
        <w:autoSpaceDE/>
        <w:autoSpaceDN/>
        <w:adjustRightInd/>
        <w:snapToGrid/>
        <w:spacing w:after="120"/>
        <w:ind w:left="2268" w:right="1133"/>
        <w:jc w:val="both"/>
        <w:rPr>
          <w:rFonts w:eastAsia="Times New Roman"/>
          <w:snapToGrid w:val="0"/>
          <w:lang w:val="fr-FR"/>
        </w:rPr>
      </w:pPr>
      <w:r w:rsidRPr="0078370B">
        <w:rPr>
          <w:rFonts w:eastAsia="Times New Roman"/>
          <w:snapToGrid w:val="0"/>
          <w:lang w:val="fr-FR"/>
        </w:rPr>
        <w:t>Les feux indicateurs de direction doivent fonctionner en mode clignotant (f = 1,5 Hz, facteur de marche 50 %).</w:t>
      </w:r>
    </w:p>
    <w:p w14:paraId="2150E10B" w14:textId="77777777" w:rsidR="00977113" w:rsidRPr="0078370B" w:rsidRDefault="00977113" w:rsidP="00977113">
      <w:pPr>
        <w:suppressAutoHyphens w:val="0"/>
        <w:kinsoku/>
        <w:overflowPunct/>
        <w:autoSpaceDE/>
        <w:autoSpaceDN/>
        <w:adjustRightInd/>
        <w:snapToGrid/>
        <w:spacing w:after="120"/>
        <w:ind w:left="2268" w:right="1133"/>
        <w:jc w:val="both"/>
        <w:rPr>
          <w:rFonts w:eastAsia="Times New Roman"/>
          <w:snapToGrid w:val="0"/>
          <w:lang w:val="fr-FR"/>
        </w:rPr>
      </w:pPr>
      <w:r w:rsidRPr="0078370B">
        <w:rPr>
          <w:rFonts w:eastAsia="Times New Roman"/>
          <w:snapToGrid w:val="0"/>
          <w:lang w:val="fr-FR"/>
        </w:rPr>
        <w:t>La répartition de l</w:t>
      </w:r>
      <w:r>
        <w:rPr>
          <w:rFonts w:eastAsia="Times New Roman"/>
          <w:snapToGrid w:val="0"/>
          <w:lang w:val="fr-FR"/>
        </w:rPr>
        <w:t>’</w:t>
      </w:r>
      <w:r w:rsidRPr="0078370B">
        <w:rPr>
          <w:rFonts w:eastAsia="Times New Roman"/>
          <w:snapToGrid w:val="0"/>
          <w:lang w:val="fr-FR"/>
        </w:rPr>
        <w:t>intensité lumineuse après 1 minute de fonctionnement peut être calculée à partir de la répartition de l</w:t>
      </w:r>
      <w:r>
        <w:rPr>
          <w:rFonts w:eastAsia="Times New Roman"/>
          <w:snapToGrid w:val="0"/>
          <w:lang w:val="fr-FR"/>
        </w:rPr>
        <w:t>’</w:t>
      </w:r>
      <w:r w:rsidRPr="0078370B">
        <w:rPr>
          <w:rFonts w:eastAsia="Times New Roman"/>
          <w:snapToGrid w:val="0"/>
          <w:lang w:val="fr-FR"/>
        </w:rPr>
        <w:t xml:space="preserve">intensité lumineuse </w:t>
      </w:r>
      <w:r w:rsidRPr="00136F6A">
        <w:rPr>
          <w:rFonts w:eastAsia="Times New Roman"/>
          <w:snapToGrid w:val="0"/>
          <w:lang w:val="fr-FR"/>
        </w:rPr>
        <w:t>soit</w:t>
      </w:r>
      <w:r w:rsidRPr="0078370B">
        <w:rPr>
          <w:rFonts w:eastAsia="Times New Roman"/>
          <w:snapToGrid w:val="0"/>
          <w:lang w:val="fr-FR"/>
        </w:rPr>
        <w:t xml:space="preserve"> après 30 minutes de fonctionnement</w:t>
      </w:r>
      <w:r w:rsidRPr="00136F6A">
        <w:rPr>
          <w:rFonts w:eastAsia="Times New Roman"/>
          <w:snapToGrid w:val="0"/>
          <w:lang w:val="fr-FR"/>
        </w:rPr>
        <w:t>,</w:t>
      </w:r>
      <w:r w:rsidRPr="0078370B">
        <w:rPr>
          <w:rFonts w:eastAsia="Times New Roman"/>
          <w:snapToGrid w:val="0"/>
          <w:lang w:val="fr-FR"/>
        </w:rPr>
        <w:t xml:space="preserve"> </w:t>
      </w:r>
      <w:r w:rsidRPr="00136F6A">
        <w:rPr>
          <w:rFonts w:eastAsia="Times New Roman"/>
          <w:snapToGrid w:val="0"/>
          <w:lang w:val="fr-FR"/>
        </w:rPr>
        <w:t>soit après que la stabilité photométrique a été atteinte,</w:t>
      </w:r>
      <w:r w:rsidRPr="0078370B">
        <w:rPr>
          <w:rFonts w:eastAsia="Times New Roman"/>
          <w:snapToGrid w:val="0"/>
          <w:lang w:val="fr-FR"/>
        </w:rPr>
        <w:t xml:space="preserve"> en retenant à chaque point d</w:t>
      </w:r>
      <w:r>
        <w:rPr>
          <w:rFonts w:eastAsia="Times New Roman"/>
          <w:snapToGrid w:val="0"/>
          <w:lang w:val="fr-FR"/>
        </w:rPr>
        <w:t>’</w:t>
      </w:r>
      <w:r w:rsidRPr="0078370B">
        <w:rPr>
          <w:rFonts w:eastAsia="Times New Roman"/>
          <w:snapToGrid w:val="0"/>
          <w:lang w:val="fr-FR"/>
        </w:rPr>
        <w:t xml:space="preserve">essai le rapport des intensités lumineuses </w:t>
      </w:r>
      <w:r w:rsidRPr="0078370B">
        <w:rPr>
          <w:rFonts w:eastAsia="Times New Roman"/>
          <w:snapToGrid w:val="0"/>
          <w:lang w:val="fr-FR"/>
        </w:rPr>
        <w:lastRenderedPageBreak/>
        <w:t xml:space="preserve">mesurées en HV après 1 minute et </w:t>
      </w:r>
      <w:r w:rsidRPr="00136F6A">
        <w:rPr>
          <w:rFonts w:eastAsia="Times New Roman"/>
          <w:snapToGrid w:val="0"/>
          <w:lang w:val="fr-FR"/>
        </w:rPr>
        <w:t>soit</w:t>
      </w:r>
      <w:r w:rsidRPr="0078370B">
        <w:rPr>
          <w:rFonts w:eastAsia="Times New Roman"/>
          <w:snapToGrid w:val="0"/>
          <w:lang w:val="fr-FR"/>
        </w:rPr>
        <w:t xml:space="preserve"> après 30 minutes de fonctionnement</w:t>
      </w:r>
      <w:r w:rsidRPr="00136F6A">
        <w:rPr>
          <w:rFonts w:eastAsia="Times New Roman"/>
          <w:snapToGrid w:val="0"/>
          <w:lang w:val="fr-FR"/>
        </w:rPr>
        <w:t>,</w:t>
      </w:r>
      <w:r w:rsidRPr="0078370B">
        <w:rPr>
          <w:rFonts w:eastAsia="Times New Roman"/>
          <w:snapToGrid w:val="0"/>
          <w:lang w:val="fr-FR"/>
        </w:rPr>
        <w:t xml:space="preserve"> </w:t>
      </w:r>
      <w:r w:rsidRPr="00136F6A">
        <w:rPr>
          <w:rFonts w:eastAsia="Times New Roman"/>
          <w:snapToGrid w:val="0"/>
          <w:lang w:val="fr-FR"/>
        </w:rPr>
        <w:t>soit après que la stabilité photométrique a été atteinte</w:t>
      </w:r>
      <w:r w:rsidRPr="0078370B">
        <w:rPr>
          <w:rFonts w:eastAsia="Times New Roman"/>
          <w:snapToGrid w:val="0"/>
          <w:lang w:val="fr-FR"/>
        </w:rPr>
        <w:t>. ».</w:t>
      </w:r>
    </w:p>
    <w:p w14:paraId="32454302" w14:textId="7834CAE7" w:rsidR="00F9573C" w:rsidRPr="00977113" w:rsidRDefault="00977113" w:rsidP="00977113">
      <w:pPr>
        <w:pStyle w:val="SingleTxtG"/>
        <w:spacing w:before="240" w:after="0"/>
        <w:jc w:val="center"/>
        <w:rPr>
          <w:u w:val="single"/>
        </w:rPr>
      </w:pPr>
      <w:r>
        <w:rPr>
          <w:u w:val="single"/>
        </w:rPr>
        <w:tab/>
      </w:r>
      <w:r>
        <w:rPr>
          <w:u w:val="single"/>
        </w:rPr>
        <w:tab/>
      </w:r>
      <w:r>
        <w:rPr>
          <w:u w:val="single"/>
        </w:rPr>
        <w:tab/>
      </w:r>
      <w:r>
        <w:rPr>
          <w:u w:val="single"/>
        </w:rPr>
        <w:tab/>
      </w:r>
    </w:p>
    <w:sectPr w:rsidR="00F9573C" w:rsidRPr="00977113" w:rsidSect="009771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3DA3" w14:textId="77777777" w:rsidR="009D25CF" w:rsidRDefault="009D25CF" w:rsidP="00F95C08">
      <w:pPr>
        <w:spacing w:line="240" w:lineRule="auto"/>
      </w:pPr>
    </w:p>
  </w:endnote>
  <w:endnote w:type="continuationSeparator" w:id="0">
    <w:p w14:paraId="3ACB42E3" w14:textId="77777777" w:rsidR="009D25CF" w:rsidRPr="00AC3823" w:rsidRDefault="009D25CF" w:rsidP="00AC3823">
      <w:pPr>
        <w:pStyle w:val="Pieddepage"/>
      </w:pPr>
    </w:p>
  </w:endnote>
  <w:endnote w:type="continuationNotice" w:id="1">
    <w:p w14:paraId="63C663A6" w14:textId="77777777" w:rsidR="009D25CF" w:rsidRDefault="009D25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296" w14:textId="2C21151C" w:rsidR="00977113" w:rsidRPr="00977113" w:rsidRDefault="00977113" w:rsidP="00977113">
    <w:pPr>
      <w:pStyle w:val="Pieddepage"/>
      <w:tabs>
        <w:tab w:val="right" w:pos="9638"/>
      </w:tabs>
    </w:pPr>
    <w:r w:rsidRPr="00977113">
      <w:rPr>
        <w:b/>
        <w:sz w:val="18"/>
      </w:rPr>
      <w:fldChar w:fldCharType="begin"/>
    </w:r>
    <w:r w:rsidRPr="00977113">
      <w:rPr>
        <w:b/>
        <w:sz w:val="18"/>
      </w:rPr>
      <w:instrText xml:space="preserve"> PAGE  \* MERGEFORMAT </w:instrText>
    </w:r>
    <w:r w:rsidRPr="00977113">
      <w:rPr>
        <w:b/>
        <w:sz w:val="18"/>
      </w:rPr>
      <w:fldChar w:fldCharType="separate"/>
    </w:r>
    <w:r w:rsidRPr="00977113">
      <w:rPr>
        <w:b/>
        <w:noProof/>
        <w:sz w:val="18"/>
      </w:rPr>
      <w:t>2</w:t>
    </w:r>
    <w:r w:rsidRPr="00977113">
      <w:rPr>
        <w:b/>
        <w:sz w:val="18"/>
      </w:rPr>
      <w:fldChar w:fldCharType="end"/>
    </w:r>
    <w:r>
      <w:rPr>
        <w:b/>
        <w:sz w:val="18"/>
      </w:rPr>
      <w:tab/>
    </w:r>
    <w:r>
      <w:t>GE.23-25696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23F7" w14:textId="39979158" w:rsidR="00977113" w:rsidRPr="00977113" w:rsidRDefault="00977113" w:rsidP="00977113">
    <w:pPr>
      <w:pStyle w:val="Pieddepage"/>
      <w:tabs>
        <w:tab w:val="right" w:pos="9638"/>
      </w:tabs>
      <w:rPr>
        <w:b/>
        <w:sz w:val="18"/>
      </w:rPr>
    </w:pPr>
    <w:r>
      <w:t>GE.23-25696</w:t>
    </w:r>
    <w:r>
      <w:tab/>
    </w:r>
    <w:r w:rsidRPr="00977113">
      <w:rPr>
        <w:b/>
        <w:sz w:val="18"/>
      </w:rPr>
      <w:fldChar w:fldCharType="begin"/>
    </w:r>
    <w:r w:rsidRPr="00977113">
      <w:rPr>
        <w:b/>
        <w:sz w:val="18"/>
      </w:rPr>
      <w:instrText xml:space="preserve"> PAGE  \* MERGEFORMAT </w:instrText>
    </w:r>
    <w:r w:rsidRPr="00977113">
      <w:rPr>
        <w:b/>
        <w:sz w:val="18"/>
      </w:rPr>
      <w:fldChar w:fldCharType="separate"/>
    </w:r>
    <w:r w:rsidRPr="00977113">
      <w:rPr>
        <w:b/>
        <w:noProof/>
        <w:sz w:val="18"/>
      </w:rPr>
      <w:t>3</w:t>
    </w:r>
    <w:r w:rsidRPr="009771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83D5" w14:textId="6CD19407" w:rsidR="007F20FA" w:rsidRPr="00977113" w:rsidRDefault="00977113" w:rsidP="0097711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A7CD621" wp14:editId="6C0BDEA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23-25696  (F)</w:t>
    </w:r>
    <w:r>
      <w:rPr>
        <w:noProof/>
        <w:sz w:val="20"/>
      </w:rPr>
      <w:drawing>
        <wp:anchor distT="0" distB="0" distL="114300" distR="114300" simplePos="0" relativeHeight="251660288" behindDoc="0" locked="0" layoutInCell="1" allowOverlap="1" wp14:anchorId="0F2B7DDA" wp14:editId="010376B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090124    090124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403B" w14:textId="77777777" w:rsidR="009D25CF" w:rsidRPr="00AC3823" w:rsidRDefault="009D25CF" w:rsidP="00AC3823">
      <w:pPr>
        <w:pStyle w:val="Pieddepage"/>
        <w:tabs>
          <w:tab w:val="right" w:pos="2155"/>
        </w:tabs>
        <w:spacing w:after="80" w:line="240" w:lineRule="atLeast"/>
        <w:ind w:left="680"/>
        <w:rPr>
          <w:u w:val="single"/>
        </w:rPr>
      </w:pPr>
      <w:r>
        <w:rPr>
          <w:u w:val="single"/>
        </w:rPr>
        <w:tab/>
      </w:r>
    </w:p>
  </w:footnote>
  <w:footnote w:type="continuationSeparator" w:id="0">
    <w:p w14:paraId="6C87AC83" w14:textId="77777777" w:rsidR="009D25CF" w:rsidRPr="00AC3823" w:rsidRDefault="009D25CF" w:rsidP="00AC3823">
      <w:pPr>
        <w:pStyle w:val="Pieddepage"/>
        <w:tabs>
          <w:tab w:val="right" w:pos="2155"/>
        </w:tabs>
        <w:spacing w:after="80" w:line="240" w:lineRule="atLeast"/>
        <w:ind w:left="680"/>
        <w:rPr>
          <w:u w:val="single"/>
        </w:rPr>
      </w:pPr>
      <w:r>
        <w:rPr>
          <w:u w:val="single"/>
        </w:rPr>
        <w:tab/>
      </w:r>
    </w:p>
  </w:footnote>
  <w:footnote w:type="continuationNotice" w:id="1">
    <w:p w14:paraId="02B5A330" w14:textId="77777777" w:rsidR="009D25CF" w:rsidRPr="00AC3823" w:rsidRDefault="009D25CF">
      <w:pPr>
        <w:spacing w:line="240" w:lineRule="auto"/>
        <w:rPr>
          <w:sz w:val="2"/>
          <w:szCs w:val="2"/>
        </w:rPr>
      </w:pPr>
    </w:p>
  </w:footnote>
  <w:footnote w:id="2">
    <w:p w14:paraId="4F79427F" w14:textId="77777777" w:rsidR="00977113" w:rsidRPr="00260127" w:rsidRDefault="00977113" w:rsidP="00977113">
      <w:pPr>
        <w:pStyle w:val="Notedebasdepage"/>
        <w:rPr>
          <w:lang w:val="fr-FR"/>
        </w:rPr>
      </w:pPr>
      <w:r>
        <w:rPr>
          <w:rStyle w:val="Appelnotedebasdep"/>
        </w:rPr>
        <w:tab/>
      </w:r>
      <w:r w:rsidRPr="00260127">
        <w:rPr>
          <w:rStyle w:val="Appelnotedebasdep"/>
          <w:sz w:val="20"/>
          <w:vertAlign w:val="baseline"/>
        </w:rPr>
        <w:t>*</w:t>
      </w:r>
      <w:r>
        <w:rPr>
          <w:rStyle w:val="Appelnotedebasdep"/>
          <w:sz w:val="20"/>
          <w:vertAlign w:val="baseline"/>
        </w:rPr>
        <w:tab/>
      </w:r>
      <w:r w:rsidRPr="00260127">
        <w:rPr>
          <w:rStyle w:val="NotedebasdepageCar"/>
        </w:rPr>
        <w:t xml:space="preserve">Conformément au programme de travail du Comité des transports intérieurs pour </w:t>
      </w:r>
      <w:r>
        <w:rPr>
          <w:rStyle w:val="NotedebasdepageCar"/>
        </w:rPr>
        <w:t>2024</w:t>
      </w:r>
      <w:r w:rsidRPr="00260127">
        <w:rPr>
          <w:rStyle w:val="NotedebasdepageCar"/>
        </w:rPr>
        <w:t xml:space="preserve"> tel qu</w:t>
      </w:r>
      <w:r>
        <w:rPr>
          <w:rStyle w:val="NotedebasdepageCar"/>
        </w:rPr>
        <w:t>’</w:t>
      </w:r>
      <w:r w:rsidRPr="00260127">
        <w:rPr>
          <w:rStyle w:val="NotedebasdepageCar"/>
        </w:rPr>
        <w:t>il figure dans le projet de budget-programme pour 202</w:t>
      </w:r>
      <w:r>
        <w:rPr>
          <w:rStyle w:val="NotedebasdepageCar"/>
        </w:rPr>
        <w:t>4</w:t>
      </w:r>
      <w:r w:rsidRPr="00260127">
        <w:rPr>
          <w:rStyle w:val="NotedebasdepageCar"/>
        </w:rPr>
        <w:t xml:space="preserve"> (A/7</w:t>
      </w:r>
      <w:r>
        <w:rPr>
          <w:rStyle w:val="NotedebasdepageCar"/>
        </w:rPr>
        <w:t>8</w:t>
      </w:r>
      <w:r w:rsidRPr="00260127">
        <w:rPr>
          <w:rStyle w:val="NotedebasdepageCar"/>
        </w:rPr>
        <w:t>/6 (Sect.</w:t>
      </w:r>
      <w:r>
        <w:rPr>
          <w:rStyle w:val="NotedebasdepageCar"/>
        </w:rPr>
        <w:t> </w:t>
      </w:r>
      <w:r w:rsidRPr="00260127">
        <w:rPr>
          <w:rStyle w:val="NotedebasdepageCar"/>
        </w:rPr>
        <w:t>20</w:t>
      </w:r>
      <w:r>
        <w:rPr>
          <w:rStyle w:val="NotedebasdepageCar"/>
        </w:rPr>
        <w:t>)</w:t>
      </w:r>
      <w:r w:rsidRPr="00260127">
        <w:rPr>
          <w:rStyle w:val="NotedebasdepageCar"/>
        </w:rPr>
        <w:t>, tableau</w:t>
      </w:r>
      <w:r>
        <w:rPr>
          <w:rStyle w:val="NotedebasdepageCar"/>
        </w:rPr>
        <w:t> </w:t>
      </w:r>
      <w:r w:rsidRPr="00260127">
        <w:rPr>
          <w:rStyle w:val="NotedebasdepageCar"/>
        </w:rPr>
        <w:t>20.</w:t>
      </w:r>
      <w:r>
        <w:rPr>
          <w:rStyle w:val="NotedebasdepageCar"/>
        </w:rPr>
        <w:t>5</w:t>
      </w:r>
      <w:r w:rsidRPr="00260127">
        <w:rPr>
          <w:rStyle w:val="NotedebasdepageCar"/>
        </w:rPr>
        <w:t>), le Forum mondial a pour mission d</w:t>
      </w:r>
      <w:r>
        <w:rPr>
          <w:rStyle w:val="NotedebasdepageCar"/>
        </w:rPr>
        <w:t>’</w:t>
      </w:r>
      <w:r w:rsidRPr="00260127">
        <w:rPr>
          <w:rStyle w:val="NotedebasdepageCar"/>
        </w:rPr>
        <w:t>élaborer, d</w:t>
      </w:r>
      <w:r>
        <w:rPr>
          <w:rStyle w:val="NotedebasdepageCar"/>
        </w:rPr>
        <w:t>’</w:t>
      </w:r>
      <w:r w:rsidRPr="00260127">
        <w:rPr>
          <w:rStyle w:val="NotedebasdepageCar"/>
        </w:rPr>
        <w:t>harmoniser et de mettre à jour les Règlements ONU en vue d</w:t>
      </w:r>
      <w:r>
        <w:rPr>
          <w:rStyle w:val="NotedebasdepageCar"/>
        </w:rPr>
        <w:t>’</w:t>
      </w:r>
      <w:r w:rsidRPr="00260127">
        <w:rPr>
          <w:rStyle w:val="NotedebasdepageCa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9FEF" w14:textId="449A766F" w:rsidR="00977113" w:rsidRPr="00977113" w:rsidRDefault="00977113">
    <w:pPr>
      <w:pStyle w:val="En-tte"/>
    </w:pPr>
    <w:fldSimple w:instr=" TITLE  \* MERGEFORMAT ">
      <w:r>
        <w:t>ECE/TRANS/WP.29/2024/23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BA42" w14:textId="056A284B" w:rsidR="00977113" w:rsidRPr="00977113" w:rsidRDefault="00977113" w:rsidP="00977113">
    <w:pPr>
      <w:pStyle w:val="En-tte"/>
      <w:jc w:val="right"/>
    </w:pPr>
    <w:fldSimple w:instr=" TITLE  \* MERGEFORMAT ">
      <w:r>
        <w:t>ECE/TRANS/WP.29/2024/23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37808331">
    <w:abstractNumId w:val="12"/>
  </w:num>
  <w:num w:numId="2" w16cid:durableId="1198465319">
    <w:abstractNumId w:val="11"/>
  </w:num>
  <w:num w:numId="3" w16cid:durableId="1207336745">
    <w:abstractNumId w:val="10"/>
  </w:num>
  <w:num w:numId="4" w16cid:durableId="344869745">
    <w:abstractNumId w:val="8"/>
  </w:num>
  <w:num w:numId="5" w16cid:durableId="766538889">
    <w:abstractNumId w:val="3"/>
  </w:num>
  <w:num w:numId="6" w16cid:durableId="1590578313">
    <w:abstractNumId w:val="2"/>
  </w:num>
  <w:num w:numId="7" w16cid:durableId="1788701167">
    <w:abstractNumId w:val="1"/>
  </w:num>
  <w:num w:numId="8" w16cid:durableId="1708867072">
    <w:abstractNumId w:val="0"/>
  </w:num>
  <w:num w:numId="9" w16cid:durableId="1965500935">
    <w:abstractNumId w:val="9"/>
  </w:num>
  <w:num w:numId="10" w16cid:durableId="945036867">
    <w:abstractNumId w:val="7"/>
  </w:num>
  <w:num w:numId="11" w16cid:durableId="1670715162">
    <w:abstractNumId w:val="6"/>
  </w:num>
  <w:num w:numId="12" w16cid:durableId="116874998">
    <w:abstractNumId w:val="5"/>
  </w:num>
  <w:num w:numId="13" w16cid:durableId="1245185530">
    <w:abstractNumId w:val="4"/>
  </w:num>
  <w:num w:numId="14" w16cid:durableId="1296646389">
    <w:abstractNumId w:val="12"/>
  </w:num>
  <w:num w:numId="15" w16cid:durableId="1718236463">
    <w:abstractNumId w:val="11"/>
  </w:num>
  <w:num w:numId="16" w16cid:durableId="1160461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C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567D"/>
    <w:rsid w:val="0071601D"/>
    <w:rsid w:val="007A62E6"/>
    <w:rsid w:val="007F20FA"/>
    <w:rsid w:val="0080684C"/>
    <w:rsid w:val="00871C75"/>
    <w:rsid w:val="008776DC"/>
    <w:rsid w:val="008D5EF9"/>
    <w:rsid w:val="009446C0"/>
    <w:rsid w:val="009705C8"/>
    <w:rsid w:val="00977113"/>
    <w:rsid w:val="009C1CF4"/>
    <w:rsid w:val="009D25CF"/>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1DE2"/>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C7B91"/>
  <w15:docId w15:val="{9E839B7C-82DC-443E-A201-A56A15FB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77113"/>
    <w:rPr>
      <w:rFonts w:ascii="Times New Roman" w:eastAsiaTheme="minorHAnsi" w:hAnsi="Times New Roman" w:cs="Times New Roman"/>
      <w:sz w:val="20"/>
      <w:szCs w:val="20"/>
      <w:lang w:eastAsia="en-US"/>
    </w:rPr>
  </w:style>
  <w:style w:type="character" w:customStyle="1" w:styleId="HChGChar">
    <w:name w:val="_ H _Ch_G Char"/>
    <w:link w:val="HChG"/>
    <w:rsid w:val="00977113"/>
    <w:rPr>
      <w:rFonts w:ascii="Times New Roman" w:eastAsiaTheme="minorHAnsi" w:hAnsi="Times New Roman" w:cs="Times New Roman"/>
      <w:b/>
      <w:sz w:val="28"/>
      <w:szCs w:val="20"/>
      <w:lang w:eastAsia="en-US"/>
    </w:rPr>
  </w:style>
  <w:style w:type="character" w:customStyle="1" w:styleId="H1GChar">
    <w:name w:val="_ H_1_G Char"/>
    <w:link w:val="H1G"/>
    <w:rsid w:val="00977113"/>
    <w:rPr>
      <w:rFonts w:ascii="Times New Roman" w:eastAsiaTheme="minorHAnsi" w:hAnsi="Times New Roman" w:cs="Times New Roman"/>
      <w:b/>
      <w:sz w:val="24"/>
      <w:szCs w:val="20"/>
      <w:lang w:eastAsia="en-US"/>
    </w:rPr>
  </w:style>
  <w:style w:type="character" w:customStyle="1" w:styleId="preferred">
    <w:name w:val="preferred"/>
    <w:basedOn w:val="Policepardfaut"/>
    <w:rsid w:val="0097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491</Words>
  <Characters>3437</Characters>
  <Application>Microsoft Office Word</Application>
  <DocSecurity>0</DocSecurity>
  <Lines>286</Lines>
  <Paragraphs>157</Paragraphs>
  <ScaleCrop>false</ScaleCrop>
  <HeadingPairs>
    <vt:vector size="2" baseType="variant">
      <vt:variant>
        <vt:lpstr>Titre</vt:lpstr>
      </vt:variant>
      <vt:variant>
        <vt:i4>1</vt:i4>
      </vt:variant>
    </vt:vector>
  </HeadingPairs>
  <TitlesOfParts>
    <vt:vector size="1" baseType="lpstr">
      <vt:lpstr>ECE/TRANS/WP.29/2024/23</vt:lpstr>
    </vt:vector>
  </TitlesOfParts>
  <Company>DCM</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ECE/TRANS/WP.29/2024/23</dc:title>
  <dc:subject/>
  <dc:creator>Sandrine CLERE</dc:creator>
  <cp:keywords/>
  <cp:lastModifiedBy>Sandrine Clere</cp:lastModifiedBy>
  <cp:revision>2</cp:revision>
  <cp:lastPrinted>2014-05-14T10:59:00Z</cp:lastPrinted>
  <dcterms:created xsi:type="dcterms:W3CDTF">2024-01-09T15:14:00Z</dcterms:created>
  <dcterms:modified xsi:type="dcterms:W3CDTF">2024-01-09T15:14:00Z</dcterms:modified>
</cp:coreProperties>
</file>