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A8F2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7A3602" w14:textId="77777777" w:rsidR="002D5AAC" w:rsidRDefault="002D5AAC" w:rsidP="00A441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76D5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F4E2AD" w14:textId="773483E0" w:rsidR="002D5AAC" w:rsidRDefault="00A44152" w:rsidP="00A44152">
            <w:pPr>
              <w:jc w:val="right"/>
            </w:pPr>
            <w:r w:rsidRPr="00A44152">
              <w:rPr>
                <w:sz w:val="40"/>
              </w:rPr>
              <w:t>ECE</w:t>
            </w:r>
            <w:r>
              <w:t>/TRANS/WP.29/2024/9</w:t>
            </w:r>
          </w:p>
        </w:tc>
      </w:tr>
      <w:tr w:rsidR="002D5AAC" w14:paraId="4D81F0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69D2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A4029F" wp14:editId="710551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CEEF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401BB4" w14:textId="77777777" w:rsidR="002D5AAC" w:rsidRDefault="00A441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AF5BBD" w14:textId="77777777" w:rsidR="00A44152" w:rsidRDefault="00A44152" w:rsidP="00A441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2023</w:t>
            </w:r>
          </w:p>
          <w:p w14:paraId="1AB9B528" w14:textId="77777777" w:rsidR="00A44152" w:rsidRDefault="00A44152" w:rsidP="00A441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B95F17" w14:textId="5AE18C4F" w:rsidR="00A44152" w:rsidRPr="008D53B6" w:rsidRDefault="00A44152" w:rsidP="00A441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0128C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708D9E" w14:textId="77777777" w:rsidR="00A44152" w:rsidRPr="004266E2" w:rsidRDefault="00A44152" w:rsidP="00A44152">
      <w:pPr>
        <w:spacing w:before="120"/>
        <w:rPr>
          <w:sz w:val="28"/>
          <w:szCs w:val="28"/>
        </w:rPr>
      </w:pPr>
      <w:r w:rsidRPr="004266E2">
        <w:rPr>
          <w:sz w:val="28"/>
          <w:szCs w:val="28"/>
        </w:rPr>
        <w:t>Комитет по внутреннему транспорту</w:t>
      </w:r>
    </w:p>
    <w:p w14:paraId="70F5D7B0" w14:textId="77777777" w:rsidR="00A44152" w:rsidRPr="004266E2" w:rsidRDefault="00A44152" w:rsidP="00A44152">
      <w:pPr>
        <w:spacing w:before="120"/>
        <w:rPr>
          <w:b/>
          <w:sz w:val="24"/>
          <w:szCs w:val="24"/>
        </w:rPr>
      </w:pPr>
      <w:r w:rsidRPr="004266E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266E2">
        <w:rPr>
          <w:b/>
          <w:bCs/>
          <w:sz w:val="24"/>
          <w:szCs w:val="24"/>
        </w:rPr>
        <w:br/>
        <w:t>в области транспортных средств</w:t>
      </w:r>
    </w:p>
    <w:p w14:paraId="22606D5B" w14:textId="77777777" w:rsidR="00A44152" w:rsidRPr="004266E2" w:rsidRDefault="00A44152" w:rsidP="00A44152">
      <w:pPr>
        <w:spacing w:before="120"/>
        <w:rPr>
          <w:b/>
        </w:rPr>
      </w:pPr>
      <w:r w:rsidRPr="004266E2">
        <w:rPr>
          <w:b/>
        </w:rPr>
        <w:t>Сто девяносто вторая сессия</w:t>
      </w:r>
    </w:p>
    <w:p w14:paraId="684FFD9E" w14:textId="77777777" w:rsidR="00A44152" w:rsidRPr="004266E2" w:rsidRDefault="00A44152" w:rsidP="00A44152">
      <w:r w:rsidRPr="004266E2">
        <w:t>Женева, 5–8 марта 2024 года</w:t>
      </w:r>
    </w:p>
    <w:p w14:paraId="5FC19420" w14:textId="77777777" w:rsidR="00A44152" w:rsidRPr="004266E2" w:rsidRDefault="00A44152" w:rsidP="00A44152">
      <w:r w:rsidRPr="004266E2">
        <w:t>Пункт 4.7.6 предварительной повестки дня</w:t>
      </w:r>
    </w:p>
    <w:p w14:paraId="205C87E3" w14:textId="77777777" w:rsidR="00A44152" w:rsidRPr="004266E2" w:rsidRDefault="00A44152" w:rsidP="00A44152">
      <w:pPr>
        <w:rPr>
          <w:b/>
          <w:bCs/>
          <w:shd w:val="clear" w:color="auto" w:fill="FFFFFF"/>
        </w:rPr>
      </w:pPr>
      <w:r w:rsidRPr="004266E2">
        <w:rPr>
          <w:b/>
          <w:bCs/>
          <w:shd w:val="clear" w:color="auto" w:fill="FFFFFF"/>
        </w:rPr>
        <w:t>Соглашение 1958 года:</w:t>
      </w:r>
    </w:p>
    <w:p w14:paraId="18D5D766" w14:textId="77777777" w:rsidR="00A44152" w:rsidRPr="004266E2" w:rsidRDefault="00A44152" w:rsidP="00A44152">
      <w:pPr>
        <w:ind w:right="4818"/>
        <w:rPr>
          <w:b/>
          <w:bCs/>
        </w:rPr>
      </w:pPr>
      <w:r w:rsidRPr="004266E2">
        <w:rPr>
          <w:b/>
          <w:bCs/>
          <w:shd w:val="clear" w:color="auto" w:fill="FFFFFF"/>
        </w:rPr>
        <w:t>рассмотрение проектов поправок к существующим правилам ООН, представленных GRVA</w:t>
      </w:r>
    </w:p>
    <w:p w14:paraId="5EB525EA" w14:textId="77777777" w:rsidR="00A44152" w:rsidRPr="004266E2" w:rsidRDefault="00A44152" w:rsidP="00A44152">
      <w:pPr>
        <w:pStyle w:val="HChG"/>
        <w:rPr>
          <w:bCs/>
          <w:szCs w:val="28"/>
          <w:shd w:val="clear" w:color="auto" w:fill="FFFFFF"/>
        </w:rPr>
      </w:pPr>
      <w:r w:rsidRPr="004266E2">
        <w:rPr>
          <w:rFonts w:eastAsia="MS Mincho"/>
        </w:rPr>
        <w:tab/>
      </w:r>
      <w:r w:rsidRPr="004266E2">
        <w:rPr>
          <w:rFonts w:eastAsia="MS Mincho"/>
        </w:rPr>
        <w:tab/>
      </w:r>
      <w:r w:rsidRPr="004266E2">
        <w:rPr>
          <w:bCs/>
          <w:szCs w:val="28"/>
          <w:shd w:val="clear" w:color="auto" w:fill="FFFFFF"/>
        </w:rPr>
        <w:t>Предложение по дополнению 6 к первоначальному варианту Правил № 140 ООН (системы электронного контроля устойчивости (ЭКУ))</w:t>
      </w:r>
    </w:p>
    <w:p w14:paraId="667C753F" w14:textId="66AF1A97" w:rsidR="00A44152" w:rsidRPr="004266E2" w:rsidRDefault="00A44152" w:rsidP="00A4415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  <w:lang w:eastAsia="fr-FR"/>
        </w:rPr>
      </w:pPr>
      <w:r w:rsidRPr="004266E2">
        <w:rPr>
          <w:b/>
          <w:sz w:val="24"/>
          <w:lang w:eastAsia="fr-FR"/>
        </w:rPr>
        <w:tab/>
      </w:r>
      <w:r w:rsidRPr="004266E2">
        <w:rPr>
          <w:b/>
          <w:sz w:val="24"/>
          <w:lang w:eastAsia="fr-FR"/>
        </w:rPr>
        <w:tab/>
      </w:r>
      <w:r w:rsidRPr="004266E2">
        <w:rPr>
          <w:b/>
          <w:sz w:val="24"/>
          <w:szCs w:val="24"/>
          <w:shd w:val="clear" w:color="auto" w:fill="FFFFFF"/>
        </w:rPr>
        <w:t>Представлено Рабочей группой по автоматизированным/ автономным и подключенным транспортным средствам</w:t>
      </w:r>
      <w:r w:rsidRPr="00A44152">
        <w:rPr>
          <w:rStyle w:val="aa"/>
          <w:bCs/>
          <w:szCs w:val="18"/>
          <w:shd w:val="clear" w:color="auto" w:fill="FFFFFF"/>
          <w:vertAlign w:val="baseline"/>
        </w:rPr>
        <w:footnoteReference w:customMarkFollows="1" w:id="1"/>
        <w:t>*</w:t>
      </w:r>
    </w:p>
    <w:p w14:paraId="4FAAD9A9" w14:textId="77777777" w:rsidR="00A44152" w:rsidRPr="004266E2" w:rsidRDefault="00A44152" w:rsidP="00A44152">
      <w:pPr>
        <w:spacing w:after="120"/>
        <w:ind w:left="1134" w:right="1134" w:firstLine="567"/>
        <w:jc w:val="both"/>
      </w:pPr>
      <w:r w:rsidRPr="004266E2">
        <w:t xml:space="preserve"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 (см. документ ECE/TRANS/WP.29/GRVA/17, пункт 94), </w:t>
      </w:r>
      <w:r w:rsidRPr="004266E2">
        <w:rPr>
          <w:shd w:val="clear" w:color="auto" w:fill="FFFFFF"/>
        </w:rPr>
        <w:t xml:space="preserve">и в его основу положен документ </w:t>
      </w:r>
      <w:r w:rsidRPr="004266E2">
        <w:t>ECE/TRANS/WP.29/GRVA/2023/23.</w:t>
      </w:r>
      <w:r w:rsidRPr="004266E2">
        <w:rPr>
          <w:shd w:val="clear" w:color="auto" w:fill="FFFFFF"/>
        </w:rPr>
        <w:t xml:space="preserve">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686D182F" w14:textId="77777777" w:rsidR="00A44152" w:rsidRPr="004266E2" w:rsidRDefault="00A44152" w:rsidP="00A44152">
      <w:pPr>
        <w:pageBreakBefore/>
        <w:spacing w:after="120" w:line="240" w:lineRule="auto"/>
        <w:ind w:left="1134" w:right="1134"/>
      </w:pPr>
      <w:r w:rsidRPr="004266E2">
        <w:rPr>
          <w:i/>
          <w:iCs/>
        </w:rPr>
        <w:lastRenderedPageBreak/>
        <w:t>Пункт 9.9.4</w:t>
      </w:r>
      <w:r w:rsidRPr="004266E2">
        <w:t xml:space="preserve"> изменить следующим образом: </w:t>
      </w:r>
    </w:p>
    <w:p w14:paraId="3C45C394" w14:textId="77777777" w:rsidR="00A44152" w:rsidRPr="004266E2" w:rsidRDefault="00A44152" w:rsidP="00A44152">
      <w:pPr>
        <w:spacing w:after="120" w:line="240" w:lineRule="auto"/>
        <w:ind w:left="2268" w:right="1134" w:hanging="1134"/>
        <w:jc w:val="both"/>
      </w:pPr>
      <w:r w:rsidRPr="004266E2">
        <w:t>«9.9.4</w:t>
      </w:r>
      <w:r w:rsidRPr="004266E2">
        <w:tab/>
        <w:t>Амплитуда поворота рулевого колеса на конечном прогоне каждой серии должна составлять более 6,5</w:t>
      </w:r>
      <w:r w:rsidRPr="004266E2">
        <w:rPr>
          <w:lang w:val="fr-CH"/>
        </w:rPr>
        <w:t> </w:t>
      </w:r>
      <w:r w:rsidRPr="004266E2">
        <w:t>А или 270</w:t>
      </w:r>
      <w:r w:rsidRPr="004266E2">
        <w:rPr>
          <w:lang w:val="fr-CH"/>
        </w:rPr>
        <w:t> </w:t>
      </w:r>
      <w:r w:rsidRPr="004266E2">
        <w:t>градусов при условии, что расчетная амплитуда на уровне 6,5 А меньше или равна 300 градусам. Если любое увеличение на 0,5</w:t>
      </w:r>
      <w:r w:rsidRPr="004266E2">
        <w:rPr>
          <w:lang w:val="fr-CH"/>
        </w:rPr>
        <w:t> </w:t>
      </w:r>
      <w:r w:rsidRPr="004266E2">
        <w:t>А до достижения 6,5</w:t>
      </w:r>
      <w:r w:rsidRPr="004266E2">
        <w:rPr>
          <w:lang w:val="fr-CH"/>
        </w:rPr>
        <w:t> </w:t>
      </w:r>
      <w:r w:rsidRPr="004266E2">
        <w:t>А больше 300</w:t>
      </w:r>
      <w:r w:rsidRPr="004266E2">
        <w:rPr>
          <w:lang w:val="fr-CH"/>
        </w:rPr>
        <w:t> </w:t>
      </w:r>
      <w:r w:rsidRPr="004266E2">
        <w:t xml:space="preserve">градусов, то амплитуда поворота рулевого колеса на конечном прогоне должна составлять 300 градусов. </w:t>
      </w:r>
    </w:p>
    <w:p w14:paraId="5B6CCBF2" w14:textId="77777777" w:rsidR="00A44152" w:rsidRPr="004266E2" w:rsidRDefault="00A44152" w:rsidP="00A44152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266E2">
        <w:rPr>
          <w:rFonts w:ascii="Times New Roman" w:hAnsi="Times New Roman" w:cs="Times New Roman"/>
          <w:sz w:val="20"/>
          <w:szCs w:val="20"/>
          <w:lang w:val="ru-RU"/>
        </w:rPr>
        <w:t>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колеса, задаваемый конструкцией системы рулевого управления, то применительно к серии испытаний амплитуда угла поворота на конечном прогоне должна превышать 98 % максимального эксплуатационного угла поворота рулевого колеса.</w:t>
      </w:r>
    </w:p>
    <w:p w14:paraId="77D8F22E" w14:textId="77777777" w:rsidR="00A44152" w:rsidRPr="004266E2" w:rsidRDefault="00A44152" w:rsidP="00A44152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266E2">
        <w:rPr>
          <w:rFonts w:ascii="Times New Roman" w:hAnsi="Times New Roman" w:cs="Times New Roman"/>
          <w:sz w:val="20"/>
          <w:szCs w:val="20"/>
          <w:lang w:val="ru-RU"/>
        </w:rPr>
        <w:t>В случае перегрузки шины до достижения вышеуказанного расчетного угла амплитуда, при которой происходит эта перегрузка, может использоваться в качестве амплитуды поворота рулевого колеса на конечном прогоне, но только если она составляет не менее 6,5 A.</w:t>
      </w:r>
    </w:p>
    <w:p w14:paraId="58CFC4CC" w14:textId="2B137A53" w:rsidR="00A44152" w:rsidRPr="004266E2" w:rsidRDefault="00A44152" w:rsidP="00A44152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266E2">
        <w:rPr>
          <w:rFonts w:ascii="Times New Roman" w:hAnsi="Times New Roman" w:cs="Times New Roman"/>
          <w:sz w:val="20"/>
          <w:szCs w:val="20"/>
          <w:lang w:val="ru-RU"/>
        </w:rPr>
        <w:t>Перегрузка шины считается наступившей, когда все перечисленные ниже</w:t>
      </w:r>
      <w:r w:rsidRPr="00D560E7">
        <w:rPr>
          <w:lang w:val="en-US"/>
        </w:rPr>
        <w:t> </w:t>
      </w:r>
      <w:r w:rsidRPr="004266E2">
        <w:rPr>
          <w:rFonts w:ascii="Times New Roman" w:hAnsi="Times New Roman" w:cs="Times New Roman"/>
          <w:sz w:val="20"/>
          <w:szCs w:val="20"/>
          <w:lang w:val="ru-RU"/>
        </w:rPr>
        <w:t>параметры достигли своего пикового значения (т. е. эти параметры не</w:t>
      </w:r>
      <w:r w:rsidRPr="00D560E7">
        <w:rPr>
          <w:lang w:val="en-US"/>
        </w:rPr>
        <w:t> </w:t>
      </w:r>
      <w:r w:rsidRPr="004266E2">
        <w:rPr>
          <w:rFonts w:ascii="Times New Roman" w:hAnsi="Times New Roman" w:cs="Times New Roman"/>
          <w:sz w:val="20"/>
          <w:szCs w:val="20"/>
          <w:lang w:val="ru-RU"/>
        </w:rPr>
        <w:t>увеличились между двумя последовательными приращениями в</w:t>
      </w:r>
      <w:r w:rsidRPr="00D560E7">
        <w:rPr>
          <w:lang w:val="en-US"/>
        </w:rPr>
        <w:t> </w:t>
      </w:r>
      <w:r w:rsidRPr="004266E2">
        <w:rPr>
          <w:rFonts w:ascii="Times New Roman" w:hAnsi="Times New Roman" w:cs="Times New Roman"/>
          <w:sz w:val="20"/>
          <w:szCs w:val="20"/>
          <w:lang w:val="ru-RU"/>
        </w:rPr>
        <w:t>0,5</w:t>
      </w:r>
      <w:r w:rsidRPr="00D560E7">
        <w:rPr>
          <w:lang w:val="en-US"/>
        </w:rPr>
        <w:t> </w:t>
      </w:r>
      <w:r w:rsidRPr="004266E2">
        <w:rPr>
          <w:rFonts w:ascii="Times New Roman" w:hAnsi="Times New Roman" w:cs="Times New Roman"/>
          <w:sz w:val="20"/>
          <w:szCs w:val="20"/>
          <w:lang w:val="ru-RU"/>
        </w:rPr>
        <w:t>А):</w:t>
      </w:r>
    </w:p>
    <w:p w14:paraId="35BDAA24" w14:textId="77777777" w:rsidR="00A44152" w:rsidRPr="004266E2" w:rsidRDefault="00A44152" w:rsidP="00A44152">
      <w:pPr>
        <w:pStyle w:val="xmsolistparagraph"/>
        <w:suppressAutoHyphens/>
        <w:spacing w:after="120" w:line="240" w:lineRule="auto"/>
        <w:ind w:left="2268" w:right="1134"/>
        <w:jc w:val="both"/>
        <w:rPr>
          <w:lang w:val="ru-RU"/>
        </w:rPr>
      </w:pPr>
      <w:r w:rsidRPr="004266E2">
        <w:rPr>
          <w:lang w:val="ru-RU"/>
        </w:rPr>
        <w:t>a)</w:t>
      </w:r>
      <w:r w:rsidRPr="004266E2">
        <w:rPr>
          <w:lang w:val="ru-RU"/>
        </w:rPr>
        <w:tab/>
        <w:t>пиковое боковое ускорение (см. пункт 9.11.3);</w:t>
      </w:r>
    </w:p>
    <w:p w14:paraId="4834ED5C" w14:textId="77777777" w:rsidR="00A44152" w:rsidRPr="004266E2" w:rsidRDefault="00A44152" w:rsidP="00A44152">
      <w:pPr>
        <w:pStyle w:val="xmsolistparagraph"/>
        <w:suppressAutoHyphens/>
        <w:spacing w:after="120" w:line="240" w:lineRule="auto"/>
        <w:ind w:left="2268" w:right="1134"/>
        <w:jc w:val="both"/>
        <w:rPr>
          <w:lang w:val="ru-RU"/>
        </w:rPr>
      </w:pPr>
      <w:r w:rsidRPr="004266E2">
        <w:rPr>
          <w:lang w:val="ru-RU"/>
        </w:rPr>
        <w:t>b)</w:t>
      </w:r>
      <w:r w:rsidRPr="004266E2">
        <w:rPr>
          <w:lang w:val="ru-RU"/>
        </w:rPr>
        <w:tab/>
        <w:t>вторая пиковая скорость рысканья (см. пункт 9.11.8);</w:t>
      </w:r>
    </w:p>
    <w:p w14:paraId="3182CACC" w14:textId="77777777" w:rsidR="00A44152" w:rsidRPr="004266E2" w:rsidRDefault="00A44152" w:rsidP="00A44152">
      <w:pPr>
        <w:pStyle w:val="xmsolistparagraph"/>
        <w:suppressAutoHyphens/>
        <w:spacing w:after="120" w:line="240" w:lineRule="auto"/>
        <w:ind w:left="2835" w:right="1134" w:hanging="567"/>
        <w:jc w:val="both"/>
        <w:rPr>
          <w:lang w:val="ru-RU"/>
        </w:rPr>
      </w:pPr>
      <w:r w:rsidRPr="004266E2">
        <w:rPr>
          <w:lang w:val="ru-RU"/>
        </w:rPr>
        <w:t>c)</w:t>
      </w:r>
      <w:r w:rsidRPr="004266E2">
        <w:rPr>
          <w:lang w:val="ru-RU"/>
        </w:rPr>
        <w:tab/>
        <w:t>боковое смещение через 1,07 секунды после момента НПР (см. пункт 9.11.9).</w:t>
      </w:r>
    </w:p>
    <w:p w14:paraId="01AACEED" w14:textId="77777777" w:rsidR="00A44152" w:rsidRPr="004266E2" w:rsidRDefault="00A44152" w:rsidP="00A44152">
      <w:pPr>
        <w:pStyle w:val="xmsolistparagraph"/>
        <w:suppressAutoHyphens/>
        <w:spacing w:after="120"/>
        <w:ind w:left="2268" w:right="1134"/>
        <w:jc w:val="both"/>
        <w:rPr>
          <w:lang w:val="ru-RU"/>
        </w:rPr>
      </w:pPr>
      <w:r w:rsidRPr="004266E2">
        <w:rPr>
          <w:lang w:val="ru-RU"/>
        </w:rPr>
        <w:t>При этом не требуется, чтобы пиковые значения приходились на один и тот же испытательный прогон».</w:t>
      </w:r>
    </w:p>
    <w:p w14:paraId="773223ED" w14:textId="27F70BC7" w:rsidR="00E12C5F" w:rsidRPr="00A44152" w:rsidRDefault="00A44152" w:rsidP="00A44152">
      <w:pPr>
        <w:pStyle w:val="af3"/>
        <w:tabs>
          <w:tab w:val="left" w:pos="1701"/>
        </w:tabs>
        <w:suppressAutoHyphens w:val="0"/>
        <w:spacing w:after="120" w:line="240" w:lineRule="auto"/>
        <w:ind w:left="1134" w:right="1128"/>
        <w:contextualSpacing w:val="0"/>
        <w:jc w:val="center"/>
        <w:rPr>
          <w:u w:val="single"/>
          <w:lang w:val="ru-RU"/>
        </w:rPr>
      </w:pPr>
      <w:r w:rsidRPr="00A44152">
        <w:rPr>
          <w:u w:val="single"/>
          <w:lang w:val="ru-RU"/>
        </w:rPr>
        <w:tab/>
      </w:r>
      <w:r w:rsidRPr="00A44152">
        <w:rPr>
          <w:u w:val="single"/>
          <w:lang w:val="ru-RU"/>
        </w:rPr>
        <w:tab/>
      </w:r>
      <w:r w:rsidRPr="00A44152">
        <w:rPr>
          <w:u w:val="single"/>
          <w:lang w:val="ru-RU"/>
        </w:rPr>
        <w:tab/>
      </w:r>
      <w:r w:rsidRPr="00A44152">
        <w:rPr>
          <w:u w:val="single"/>
          <w:lang w:val="ru-RU"/>
        </w:rPr>
        <w:tab/>
      </w:r>
    </w:p>
    <w:sectPr w:rsidR="00E12C5F" w:rsidRPr="00A44152" w:rsidSect="00A441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D6E3" w14:textId="77777777" w:rsidR="00157093" w:rsidRPr="00A312BC" w:rsidRDefault="00157093" w:rsidP="00A312BC"/>
  </w:endnote>
  <w:endnote w:type="continuationSeparator" w:id="0">
    <w:p w14:paraId="5636AE78" w14:textId="77777777" w:rsidR="00157093" w:rsidRPr="00A312BC" w:rsidRDefault="001570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8E9" w14:textId="4B77BA36" w:rsidR="00A44152" w:rsidRPr="00A44152" w:rsidRDefault="00A44152">
    <w:pPr>
      <w:pStyle w:val="a8"/>
    </w:pPr>
    <w:r w:rsidRPr="00A44152">
      <w:rPr>
        <w:b/>
        <w:sz w:val="18"/>
      </w:rPr>
      <w:fldChar w:fldCharType="begin"/>
    </w:r>
    <w:r w:rsidRPr="00A44152">
      <w:rPr>
        <w:b/>
        <w:sz w:val="18"/>
      </w:rPr>
      <w:instrText xml:space="preserve"> PAGE  \* MERGEFORMAT </w:instrText>
    </w:r>
    <w:r w:rsidRPr="00A44152">
      <w:rPr>
        <w:b/>
        <w:sz w:val="18"/>
      </w:rPr>
      <w:fldChar w:fldCharType="separate"/>
    </w:r>
    <w:r w:rsidRPr="00A44152">
      <w:rPr>
        <w:b/>
        <w:noProof/>
        <w:sz w:val="18"/>
      </w:rPr>
      <w:t>2</w:t>
    </w:r>
    <w:r w:rsidRPr="00A44152">
      <w:rPr>
        <w:b/>
        <w:sz w:val="18"/>
      </w:rPr>
      <w:fldChar w:fldCharType="end"/>
    </w:r>
    <w:r>
      <w:rPr>
        <w:b/>
        <w:sz w:val="18"/>
      </w:rPr>
      <w:tab/>
    </w:r>
    <w:r>
      <w:t>GE.23-25934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9D61" w14:textId="00A42AC8" w:rsidR="00A44152" w:rsidRPr="00A44152" w:rsidRDefault="00A44152" w:rsidP="00A44152">
    <w:pPr>
      <w:pStyle w:val="a8"/>
      <w:tabs>
        <w:tab w:val="clear" w:pos="9639"/>
        <w:tab w:val="right" w:pos="9638"/>
      </w:tabs>
      <w:rPr>
        <w:b/>
        <w:sz w:val="18"/>
      </w:rPr>
    </w:pPr>
    <w:r>
      <w:t>GE.23-25934</w:t>
    </w:r>
    <w:r>
      <w:tab/>
    </w:r>
    <w:r w:rsidRPr="00A44152">
      <w:rPr>
        <w:b/>
        <w:sz w:val="18"/>
      </w:rPr>
      <w:fldChar w:fldCharType="begin"/>
    </w:r>
    <w:r w:rsidRPr="00A44152">
      <w:rPr>
        <w:b/>
        <w:sz w:val="18"/>
      </w:rPr>
      <w:instrText xml:space="preserve"> PAGE  \* MERGEFORMAT </w:instrText>
    </w:r>
    <w:r w:rsidRPr="00A44152">
      <w:rPr>
        <w:b/>
        <w:sz w:val="18"/>
      </w:rPr>
      <w:fldChar w:fldCharType="separate"/>
    </w:r>
    <w:r w:rsidRPr="00A44152">
      <w:rPr>
        <w:b/>
        <w:noProof/>
        <w:sz w:val="18"/>
      </w:rPr>
      <w:t>3</w:t>
    </w:r>
    <w:r w:rsidRPr="00A441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963A" w14:textId="5B72E15C" w:rsidR="00042B72" w:rsidRPr="00A44152" w:rsidRDefault="00A44152" w:rsidP="00A441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724519" wp14:editId="756BF8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23-25934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8A617E" wp14:editId="30CBDC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050124  050124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E2C9" w14:textId="77777777" w:rsidR="00157093" w:rsidRPr="001075E9" w:rsidRDefault="001570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41B315" w14:textId="77777777" w:rsidR="00157093" w:rsidRDefault="001570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533EA9" w14:textId="64AC7FCB" w:rsidR="00A44152" w:rsidRPr="00A44152" w:rsidRDefault="00A44152">
      <w:pPr>
        <w:pStyle w:val="ad"/>
        <w:rPr>
          <w:sz w:val="20"/>
          <w:lang w:val="en-US"/>
        </w:rPr>
      </w:pPr>
      <w:r>
        <w:tab/>
      </w:r>
      <w:r w:rsidRPr="00A44152">
        <w:rPr>
          <w:rStyle w:val="aa"/>
          <w:szCs w:val="18"/>
          <w:vertAlign w:val="baseline"/>
        </w:rPr>
        <w:t>*</w:t>
      </w:r>
      <w:r w:rsidRPr="00A44152">
        <w:rPr>
          <w:rStyle w:val="aa"/>
          <w:vertAlign w:val="baseline"/>
        </w:rPr>
        <w:tab/>
      </w:r>
      <w:r w:rsidRPr="00CC51F9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CC51F9">
        <w:rPr>
          <w:rFonts w:asciiTheme="majorBidi" w:hAnsiTheme="majorBidi" w:cstheme="majorBidi"/>
          <w:szCs w:val="18"/>
          <w:lang w:val="fr-CH"/>
        </w:rPr>
        <w:t> </w:t>
      </w:r>
      <w:r w:rsidRPr="00CC51F9">
        <w:rPr>
          <w:rFonts w:asciiTheme="majorBidi" w:hAnsiTheme="majorBidi" w:cstheme="majorBidi"/>
          <w:szCs w:val="18"/>
        </w:rP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C51F9">
        <w:rPr>
          <w:rFonts w:asciiTheme="majorBidi" w:hAnsiTheme="majorBidi" w:cstheme="majorBidi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3B7C" w14:textId="2726A708" w:rsidR="00A44152" w:rsidRPr="00A44152" w:rsidRDefault="00A44152">
    <w:pPr>
      <w:pStyle w:val="a5"/>
    </w:pPr>
    <w:fldSimple w:instr=" TITLE  \* MERGEFORMAT ">
      <w:r w:rsidR="000363DE">
        <w:t>ECE/TRANS/WP.29/2024/9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77B" w14:textId="5FD3440E" w:rsidR="00A44152" w:rsidRPr="00A44152" w:rsidRDefault="00A44152" w:rsidP="00A44152">
    <w:pPr>
      <w:pStyle w:val="a5"/>
      <w:jc w:val="right"/>
    </w:pPr>
    <w:fldSimple w:instr=" TITLE  \* MERGEFORMAT ">
      <w:r w:rsidR="000363DE">
        <w:t>ECE/TRANS/WP.29/2024/9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93"/>
    <w:rsid w:val="00033EE1"/>
    <w:rsid w:val="000363DE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09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15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14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7B70"/>
  <w15:docId w15:val="{20D48737-07FD-4C50-9128-24A97E5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44152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A44152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xmsonormal">
    <w:name w:val="x_msonormal"/>
    <w:basedOn w:val="a"/>
    <w:rsid w:val="00A44152"/>
    <w:pPr>
      <w:suppressAutoHyphens w:val="0"/>
      <w:spacing w:line="240" w:lineRule="auto"/>
    </w:pPr>
    <w:rPr>
      <w:rFonts w:ascii="Calibri" w:hAnsi="Calibri" w:cs="Calibri"/>
      <w:sz w:val="22"/>
      <w:lang w:val="fr-FR" w:eastAsia="fr-FR"/>
    </w:rPr>
  </w:style>
  <w:style w:type="paragraph" w:customStyle="1" w:styleId="xmsolistparagraph">
    <w:name w:val="x_msolistparagraph"/>
    <w:basedOn w:val="a"/>
    <w:rsid w:val="00A44152"/>
    <w:pPr>
      <w:suppressAutoHyphens w:val="0"/>
      <w:ind w:left="720"/>
    </w:pPr>
    <w:rPr>
      <w:rFonts w:cs="Times New Roman"/>
      <w:szCs w:val="20"/>
      <w:lang w:val="fr-FR" w:eastAsia="fr-FR"/>
    </w:rPr>
  </w:style>
  <w:style w:type="paragraph" w:customStyle="1" w:styleId="FootnoteText1">
    <w:name w:val="Footnote Text1"/>
    <w:basedOn w:val="a"/>
    <w:next w:val="ad"/>
    <w:link w:val="FootnoteTextChar"/>
    <w:uiPriority w:val="99"/>
    <w:semiHidden/>
    <w:unhideWhenUsed/>
    <w:rsid w:val="00A44152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a0"/>
    <w:link w:val="FootnoteText1"/>
    <w:uiPriority w:val="99"/>
    <w:semiHidden/>
    <w:qFormat/>
    <w:rsid w:val="00A44152"/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AB39F-CD52-4497-9F31-8131704BD162}"/>
</file>

<file path=customXml/itemProps2.xml><?xml version="1.0" encoding="utf-8"?>
<ds:datastoreItem xmlns:ds="http://schemas.openxmlformats.org/officeDocument/2006/customXml" ds:itemID="{173A9BEC-85E3-4009-9700-92375648C34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273</Words>
  <Characters>2433</Characters>
  <Application>Microsoft Office Word</Application>
  <DocSecurity>0</DocSecurity>
  <Lines>221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ECE/TRANS/WP.29/2024/9</vt:lpstr>
      <vt:lpstr>A/</vt:lpstr>
      <vt:lpstr>A/</vt:lpstr>
    </vt:vector>
  </TitlesOfParts>
  <Company>DCM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ECE/TRANS/WP.29/2024/9</dc:title>
  <dc:subject/>
  <dc:creator>Tatiana CHVETS</dc:creator>
  <cp:keywords/>
  <cp:lastModifiedBy>Tatiana Chvets</cp:lastModifiedBy>
  <cp:revision>3</cp:revision>
  <cp:lastPrinted>2024-01-05T08:16:00Z</cp:lastPrinted>
  <dcterms:created xsi:type="dcterms:W3CDTF">2024-01-05T08:16:00Z</dcterms:created>
  <dcterms:modified xsi:type="dcterms:W3CDTF">2024-01-05T08:16:00Z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