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0E2A80">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861DBF">
              <w:t>26</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F7A86" w:rsidP="00844BB6">
            <w:pPr>
              <w:spacing w:line="240" w:lineRule="exact"/>
            </w:pPr>
            <w:r>
              <w:t>1</w:t>
            </w:r>
            <w:r w:rsidR="00421EA0">
              <w:t>1</w:t>
            </w:r>
            <w:r w:rsidR="00F12D2F">
              <w:t xml:space="preserve"> </w:t>
            </w:r>
            <w:r w:rsidR="00EF438B">
              <w:t>July</w:t>
            </w:r>
            <w:r w:rsidR="007749BE">
              <w:t xml:space="preserve"> </w:t>
            </w:r>
            <w:r w:rsidR="00844BB6" w:rsidRPr="004C4906">
              <w:t>201</w:t>
            </w:r>
            <w:r w:rsidR="00EF438B">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0" w:name="_Hlk518466992"/>
      <w:bookmarkStart w:id="1" w:name="_GoBack"/>
      <w:r w:rsidRPr="00AE5D67">
        <w:rPr>
          <w:b/>
          <w:bCs/>
        </w:rPr>
        <w:t>W</w:t>
      </w:r>
      <w:bookmarkEnd w:id="1"/>
      <w:r w:rsidRPr="00AE5D67">
        <w:rPr>
          <w:b/>
          <w:bCs/>
        </w:rPr>
        <w:t>orking Party on Automated/Autonomous and Connected Vehicles</w:t>
      </w:r>
      <w:bookmarkEnd w:id="0"/>
      <w:r w:rsidR="006C5434" w:rsidRPr="006C5434">
        <w:rPr>
          <w:rStyle w:val="FootnoteReference"/>
          <w:sz w:val="20"/>
          <w:vertAlign w:val="baseline"/>
        </w:rPr>
        <w:footnoteReference w:customMarkFollows="1" w:id="2"/>
        <w:t>*</w:t>
      </w:r>
    </w:p>
    <w:p w:rsidR="008841F1" w:rsidRPr="004C4906" w:rsidRDefault="00A50B7D" w:rsidP="007C38CF">
      <w:pPr>
        <w:spacing w:before="120"/>
        <w:rPr>
          <w:b/>
        </w:rPr>
      </w:pPr>
      <w:r>
        <w:rPr>
          <w:b/>
        </w:rPr>
        <w:t>Fourth</w:t>
      </w:r>
      <w:r w:rsidR="002E64ED" w:rsidRPr="004C4906">
        <w:rPr>
          <w:b/>
        </w:rPr>
        <w:t xml:space="preserve"> session</w:t>
      </w:r>
    </w:p>
    <w:p w:rsidR="008841F1" w:rsidRPr="004C4906" w:rsidRDefault="008841F1" w:rsidP="008841F1">
      <w:r w:rsidRPr="004C4906">
        <w:t xml:space="preserve">Geneva, </w:t>
      </w:r>
      <w:r w:rsidR="00A50B7D">
        <w:t>24-27 September</w:t>
      </w:r>
      <w:r w:rsidR="005B4742">
        <w:t xml:space="preserve"> </w:t>
      </w:r>
      <w:r w:rsidRPr="004C4906">
        <w:t>201</w:t>
      </w:r>
      <w:r w:rsidR="00332E7C">
        <w:t>9</w:t>
      </w:r>
    </w:p>
    <w:p w:rsidR="008841F1" w:rsidRPr="004C4906" w:rsidRDefault="008841F1" w:rsidP="008841F1">
      <w:r w:rsidRPr="004C4906">
        <w:t>Item</w:t>
      </w:r>
      <w:r w:rsidR="00E61A65">
        <w:t xml:space="preserve"> </w:t>
      </w:r>
      <w:r w:rsidR="006A296C">
        <w:t>6</w:t>
      </w:r>
      <w:r w:rsidR="00421EA0">
        <w:t xml:space="preserve"> </w:t>
      </w:r>
      <w:r w:rsidR="006A296C">
        <w:t>(</w:t>
      </w:r>
      <w:r w:rsidR="00CB4730">
        <w:t>a</w:t>
      </w:r>
      <w:r w:rsidR="006A296C">
        <w:t>)</w:t>
      </w:r>
      <w:r w:rsidRPr="004C4906">
        <w:t xml:space="preserve"> of the provisional agenda</w:t>
      </w:r>
    </w:p>
    <w:p w:rsidR="009F1A57" w:rsidRPr="00E61A65" w:rsidRDefault="006A296C" w:rsidP="00135769">
      <w:pPr>
        <w:rPr>
          <w:b/>
        </w:rPr>
      </w:pPr>
      <w:r>
        <w:rPr>
          <w:b/>
        </w:rPr>
        <w:t>UN</w:t>
      </w:r>
      <w:r w:rsidR="00CB4730">
        <w:rPr>
          <w:b/>
        </w:rPr>
        <w:t xml:space="preserve"> Regulation No. 79</w:t>
      </w:r>
      <w:r w:rsidR="00332E7C">
        <w:rPr>
          <w:b/>
        </w:rPr>
        <w:t>:</w:t>
      </w:r>
      <w:r w:rsidR="00332E7C">
        <w:rPr>
          <w:b/>
        </w:rPr>
        <w:br/>
      </w:r>
      <w:r w:rsidR="00CB4730" w:rsidRPr="00CB4730">
        <w:rPr>
          <w:b/>
        </w:rPr>
        <w:t>Automatically Commanded Steering Function</w:t>
      </w:r>
    </w:p>
    <w:p w:rsidR="00135769" w:rsidRPr="004C4906" w:rsidRDefault="00135769" w:rsidP="009736A9">
      <w:pPr>
        <w:pStyle w:val="HChG"/>
      </w:pPr>
      <w:bookmarkStart w:id="2" w:name="OLE_LINK2"/>
      <w:r w:rsidRPr="004C4906">
        <w:tab/>
      </w:r>
      <w:r w:rsidRPr="004C4906">
        <w:tab/>
      </w:r>
      <w:bookmarkEnd w:id="2"/>
      <w:r w:rsidR="00456B4C" w:rsidRPr="00843FE1">
        <w:rPr>
          <w:rFonts w:asciiTheme="majorBidi" w:hAnsiTheme="majorBidi" w:cstheme="majorBidi"/>
        </w:rPr>
        <w:t xml:space="preserve">Proposal for </w:t>
      </w:r>
      <w:r w:rsidR="00456B4C">
        <w:rPr>
          <w:rFonts w:asciiTheme="majorBidi" w:hAnsiTheme="majorBidi" w:cstheme="majorBidi"/>
        </w:rPr>
        <w:t>Amendments</w:t>
      </w:r>
      <w:r w:rsidR="00456B4C" w:rsidRPr="00843FE1">
        <w:rPr>
          <w:rFonts w:asciiTheme="majorBidi" w:hAnsiTheme="majorBidi" w:cstheme="majorBidi"/>
        </w:rPr>
        <w:t xml:space="preserve"> to the 03 </w:t>
      </w:r>
      <w:r w:rsidR="00456B4C">
        <w:rPr>
          <w:rFonts w:asciiTheme="majorBidi" w:hAnsiTheme="majorBidi" w:cstheme="majorBidi"/>
        </w:rPr>
        <w:t>s</w:t>
      </w:r>
      <w:r w:rsidR="00456B4C" w:rsidRPr="00843FE1">
        <w:rPr>
          <w:rFonts w:asciiTheme="majorBidi" w:hAnsiTheme="majorBidi" w:cstheme="majorBidi"/>
        </w:rPr>
        <w:t>eries of Amendments to UN</w:t>
      </w:r>
      <w:r w:rsidR="00456B4C">
        <w:rPr>
          <w:rFonts w:asciiTheme="majorBidi" w:hAnsiTheme="majorBidi" w:cstheme="majorBidi"/>
        </w:rPr>
        <w:t> </w:t>
      </w:r>
      <w:r w:rsidR="00456B4C" w:rsidRPr="00843FE1">
        <w:rPr>
          <w:rFonts w:asciiTheme="majorBidi" w:hAnsiTheme="majorBidi" w:cstheme="majorBidi"/>
        </w:rPr>
        <w:t xml:space="preserve">Regulation No. 79 (Steering </w:t>
      </w:r>
      <w:r w:rsidR="00456B4C">
        <w:rPr>
          <w:rFonts w:asciiTheme="majorBidi" w:hAnsiTheme="majorBidi" w:cstheme="majorBidi"/>
        </w:rPr>
        <w:t>e</w:t>
      </w:r>
      <w:r w:rsidR="00456B4C" w:rsidRPr="00843FE1">
        <w:rPr>
          <w:rFonts w:asciiTheme="majorBidi" w:hAnsiTheme="majorBidi" w:cstheme="majorBidi"/>
        </w:rPr>
        <w:t>quipment)</w:t>
      </w:r>
    </w:p>
    <w:p w:rsidR="009F1A57" w:rsidRPr="00055E1D" w:rsidRDefault="009F1A57" w:rsidP="009F1A57">
      <w:pPr>
        <w:pStyle w:val="H1G"/>
        <w:rPr>
          <w:szCs w:val="24"/>
        </w:rPr>
      </w:pPr>
      <w:r>
        <w:tab/>
      </w:r>
      <w:r>
        <w:tab/>
      </w:r>
      <w:r w:rsidR="00456B4C" w:rsidRPr="00AC03B4">
        <w:t xml:space="preserve">Submitted by the expert from the </w:t>
      </w:r>
      <w:r w:rsidR="00456B4C">
        <w:t>European Association for Electromobility</w:t>
      </w:r>
      <w:r w:rsidR="00456B4C" w:rsidRPr="00F81419">
        <w:rPr>
          <w:rStyle w:val="FootnoteReference"/>
          <w:b w:val="0"/>
          <w:bCs/>
          <w:sz w:val="20"/>
          <w:vertAlign w:val="baseline"/>
        </w:rPr>
        <w:t xml:space="preserve"> </w:t>
      </w:r>
      <w:r w:rsidR="006C5434" w:rsidRPr="00F81419">
        <w:rPr>
          <w:rStyle w:val="FootnoteReference"/>
          <w:b w:val="0"/>
          <w:bCs/>
          <w:sz w:val="20"/>
          <w:vertAlign w:val="baseline"/>
        </w:rPr>
        <w:footnoteReference w:customMarkFollows="1" w:id="3"/>
        <w:t>**</w:t>
      </w:r>
    </w:p>
    <w:p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456B4C" w:rsidRPr="00843FE1">
        <w:rPr>
          <w:rFonts w:asciiTheme="majorBidi" w:hAnsiTheme="majorBidi" w:cstheme="majorBidi"/>
        </w:rPr>
        <w:t>The text reproduced below was prepared by the expert from</w:t>
      </w:r>
      <w:r w:rsidR="00456B4C">
        <w:rPr>
          <w:rFonts w:asciiTheme="majorBidi" w:hAnsiTheme="majorBidi" w:cstheme="majorBidi"/>
        </w:rPr>
        <w:t xml:space="preserve"> </w:t>
      </w:r>
      <w:r w:rsidR="00456B4C" w:rsidRPr="00843FE1">
        <w:rPr>
          <w:rFonts w:asciiTheme="majorBidi" w:hAnsiTheme="majorBidi" w:cstheme="majorBidi"/>
        </w:rPr>
        <w:t xml:space="preserve">the European Association for Electromobility </w:t>
      </w:r>
      <w:r w:rsidR="00456B4C">
        <w:rPr>
          <w:rFonts w:asciiTheme="majorBidi" w:hAnsiTheme="majorBidi" w:cstheme="majorBidi"/>
        </w:rPr>
        <w:t>(</w:t>
      </w:r>
      <w:r w:rsidR="00456B4C" w:rsidRPr="00843FE1">
        <w:rPr>
          <w:rFonts w:asciiTheme="majorBidi" w:hAnsiTheme="majorBidi" w:cstheme="majorBidi"/>
        </w:rPr>
        <w:t>AVERE</w:t>
      </w:r>
      <w:r w:rsidR="00456B4C">
        <w:rPr>
          <w:rFonts w:asciiTheme="majorBidi" w:hAnsiTheme="majorBidi" w:cstheme="majorBidi"/>
        </w:rPr>
        <w:t>)</w:t>
      </w:r>
      <w:r w:rsidR="00456B4C" w:rsidRPr="00843FE1">
        <w:rPr>
          <w:rFonts w:asciiTheme="majorBidi" w:hAnsiTheme="majorBidi" w:cstheme="majorBidi"/>
        </w:rPr>
        <w:t xml:space="preserve"> introducing an amendment to UN Regulation No. 79. It is aimed at clarifying the text of the Regulation. The modifications to the existing text of the Regulation are marked in bold for new and strikethrough for deleted characters.</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110846" w:rsidRDefault="00456B4C" w:rsidP="00023622">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00421EA0">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rsidR="00456B4C" w:rsidRPr="00456B4C" w:rsidRDefault="00456B4C" w:rsidP="00023622">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rsidR="00456B4C" w:rsidRPr="00456B4C" w:rsidRDefault="00456B4C" w:rsidP="00023622">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rsidR="00110846" w:rsidRDefault="00456B4C" w:rsidP="00023622">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The specified maximum lateral acceleration a</w:t>
      </w:r>
      <w:r w:rsidRPr="002913F6">
        <w:rPr>
          <w:rFonts w:asciiTheme="majorBidi" w:hAnsiTheme="majorBidi" w:cstheme="majorBidi"/>
        </w:rPr>
        <w:t>y</w:t>
      </w:r>
      <w:r w:rsidRPr="000E2A80">
        <w:rPr>
          <w:rFonts w:asciiTheme="majorBidi" w:hAnsiTheme="majorBidi" w:cstheme="majorBidi"/>
          <w:vertAlign w:val="subscript"/>
        </w:rPr>
        <w:t>smax</w:t>
      </w:r>
      <w:r w:rsidRPr="00456B4C">
        <w:rPr>
          <w:rFonts w:asciiTheme="majorBidi" w:hAnsiTheme="majorBidi" w:cstheme="majorBidi"/>
        </w:rPr>
        <w:t xml:space="preserve"> shall be within the limits as defined in the following table:</w:t>
      </w:r>
    </w:p>
    <w:p w:rsidR="00456B4C" w:rsidRDefault="00456B4C" w:rsidP="00023622">
      <w:pPr>
        <w:spacing w:after="120" w:line="240" w:lineRule="auto"/>
        <w:ind w:left="2268" w:right="1134"/>
        <w:jc w:val="both"/>
        <w:rPr>
          <w:b/>
          <w:vertAlign w:val="subscript"/>
          <w:lang w:eastAsia="de-DE"/>
        </w:rPr>
      </w:pPr>
      <w:r w:rsidRPr="00AF6859">
        <w:t>Table 1</w:t>
      </w:r>
      <w:r>
        <w:br/>
      </w:r>
      <w:r w:rsidRPr="00AF6859">
        <w:rPr>
          <w:b/>
          <w:lang w:eastAsia="de-DE"/>
        </w:rPr>
        <w:t xml:space="preserve">For vehicles of </w:t>
      </w:r>
      <w:r w:rsidR="000E2A80">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456B4C" w:rsidRPr="00AF6859" w:rsidTr="00456B4C">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456B4C" w:rsidRPr="00AF6859" w:rsidTr="00456B4C">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456B4C" w:rsidRPr="00AF6859" w:rsidTr="00456B4C">
        <w:trPr>
          <w:trHeight w:val="255"/>
        </w:trPr>
        <w:tc>
          <w:tcPr>
            <w:tcW w:w="2183" w:type="dxa"/>
            <w:tcBorders>
              <w:top w:val="nil"/>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rsidR="00456B4C" w:rsidRDefault="00456B4C" w:rsidP="00023622">
      <w:pPr>
        <w:spacing w:before="120" w:after="120" w:line="240" w:lineRule="auto"/>
        <w:ind w:left="2268"/>
        <w:rPr>
          <w:b/>
          <w:vertAlign w:val="subscript"/>
          <w:lang w:eastAsia="de-DE"/>
        </w:rPr>
      </w:pPr>
      <w:r w:rsidRPr="00AF6859">
        <w:rPr>
          <w:b/>
          <w:lang w:eastAsia="de-DE"/>
        </w:rPr>
        <w:t xml:space="preserve">For vehicles of </w:t>
      </w:r>
      <w:r w:rsidR="000E2A80">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456B4C" w:rsidRPr="00AF6859" w:rsidTr="00456B4C">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6"/>
                <w:szCs w:val="16"/>
                <w:lang w:eastAsia="de-DE"/>
              </w:rPr>
            </w:pPr>
          </w:p>
        </w:tc>
      </w:tr>
      <w:tr w:rsidR="00456B4C" w:rsidRPr="00AF6859" w:rsidTr="00456B4C">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8"/>
                <w:szCs w:val="18"/>
                <w:lang w:eastAsia="de-DE"/>
              </w:rPr>
            </w:pPr>
          </w:p>
        </w:tc>
      </w:tr>
      <w:tr w:rsidR="00456B4C" w:rsidRPr="00AF6859" w:rsidTr="00456B4C">
        <w:trPr>
          <w:trHeight w:val="255"/>
        </w:trPr>
        <w:tc>
          <w:tcPr>
            <w:tcW w:w="2184" w:type="dxa"/>
            <w:tcBorders>
              <w:top w:val="nil"/>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8"/>
                <w:szCs w:val="18"/>
                <w:lang w:eastAsia="de-DE"/>
              </w:rPr>
            </w:pPr>
          </w:p>
        </w:tc>
      </w:tr>
    </w:tbl>
    <w:p w:rsidR="00023622" w:rsidRPr="00023622" w:rsidRDefault="00023622" w:rsidP="00023622">
      <w:pPr>
        <w:spacing w:before="120" w:after="120" w:line="240" w:lineRule="auto"/>
        <w:ind w:left="2268" w:right="1134"/>
        <w:jc w:val="both"/>
        <w:rPr>
          <w:b/>
          <w:bCs/>
        </w:rPr>
      </w:pPr>
      <w:r w:rsidRPr="00023622">
        <w:rPr>
          <w:b/>
          <w:bCs/>
        </w:rPr>
        <w:t>(c)</w:t>
      </w:r>
      <w:r w:rsidRPr="00023622">
        <w:rPr>
          <w:b/>
          <w:bCs/>
        </w:rPr>
        <w:tab/>
        <w:t>Notwithstanding subpart (b), the maximum allowed lateral acceleration for vehicles of category M</w:t>
      </w:r>
      <w:r w:rsidRPr="002913F6">
        <w:rPr>
          <w:b/>
          <w:bCs/>
          <w:vertAlign w:val="subscript"/>
        </w:rPr>
        <w:t>1</w:t>
      </w:r>
      <w:r w:rsidRPr="00023622">
        <w:rPr>
          <w:b/>
          <w:bCs/>
        </w:rPr>
        <w:t xml:space="preserve"> and N</w:t>
      </w:r>
      <w:r w:rsidRPr="002913F6">
        <w:rPr>
          <w:b/>
          <w:bCs/>
          <w:vertAlign w:val="subscript"/>
        </w:rPr>
        <w:t>1</w:t>
      </w:r>
      <w:r w:rsidRPr="00023622">
        <w:rPr>
          <w:b/>
          <w:bCs/>
        </w:rPr>
        <w:t xml:space="preserve"> may be increased to the following values only if the system is able to maintain a centered position in the lane and is able to detect weather conditions (snow, rain, ice) that would adversely affect vehicle performance: </w:t>
      </w:r>
    </w:p>
    <w:p w:rsidR="00023622" w:rsidRPr="00023622" w:rsidRDefault="00023622" w:rsidP="00023622">
      <w:pPr>
        <w:spacing w:after="120" w:line="240" w:lineRule="auto"/>
        <w:ind w:left="2268" w:right="1134"/>
        <w:jc w:val="both"/>
        <w:rPr>
          <w:b/>
          <w:bCs/>
        </w:rPr>
      </w:pPr>
      <w:r w:rsidRPr="00023622">
        <w:rPr>
          <w:b/>
          <w:bCs/>
        </w:rPr>
        <w:t>4 m/s² at all speed categories (10-130 km/h) prior to entering the curve</w:t>
      </w:r>
      <w:r w:rsidR="002913F6">
        <w:rPr>
          <w:b/>
          <w:bCs/>
        </w:rPr>
        <w:t>.</w:t>
      </w:r>
      <w:r w:rsidRPr="00023622">
        <w:rPr>
          <w:b/>
          <w:bCs/>
        </w:rPr>
        <w:t xml:space="preserve"> </w:t>
      </w:r>
    </w:p>
    <w:p w:rsidR="00456B4C" w:rsidRDefault="00023622" w:rsidP="00023622">
      <w:pPr>
        <w:spacing w:after="120" w:line="240" w:lineRule="auto"/>
        <w:ind w:left="2268" w:right="1134"/>
        <w:jc w:val="both"/>
        <w:rPr>
          <w:b/>
          <w:bCs/>
        </w:rPr>
      </w:pPr>
      <w:r w:rsidRPr="00023622">
        <w:rPr>
          <w:b/>
          <w:bCs/>
        </w:rPr>
        <w:t>In case weather conditions would affect the vehicle’s stability at the abovementioned lateral acceleration values, the maximum values in (b) apply.</w:t>
      </w:r>
    </w:p>
    <w:p w:rsidR="00023622" w:rsidRDefault="00023622" w:rsidP="00023622">
      <w:pPr>
        <w:spacing w:after="120" w:line="240" w:lineRule="auto"/>
        <w:ind w:left="1134"/>
        <w:rPr>
          <w:rFonts w:asciiTheme="majorBidi" w:hAnsiTheme="majorBidi" w:cstheme="majorBidi"/>
        </w:rPr>
      </w:pPr>
      <w:r w:rsidRPr="009D5968">
        <w:rPr>
          <w:rFonts w:asciiTheme="majorBidi" w:hAnsiTheme="majorBidi" w:cstheme="majorBidi"/>
          <w:i/>
          <w:iCs/>
          <w:lang w:val="sv-SE"/>
        </w:rPr>
        <w:t xml:space="preserve">Annex 8, </w:t>
      </w:r>
      <w:r>
        <w:rPr>
          <w:rFonts w:asciiTheme="majorBidi" w:hAnsiTheme="majorBidi" w:cstheme="majorBidi"/>
          <w:i/>
          <w:iCs/>
          <w:lang w:val="sv-SE"/>
        </w:rPr>
        <w:t>p</w:t>
      </w:r>
      <w:r w:rsidRPr="009D5968">
        <w:rPr>
          <w:rFonts w:asciiTheme="majorBidi" w:hAnsiTheme="majorBidi" w:cstheme="majorBidi"/>
          <w:i/>
          <w:iCs/>
          <w:lang w:val="sv-SE"/>
        </w:rPr>
        <w:t>aragraph 3.2.1.1</w:t>
      </w:r>
      <w:r w:rsidR="00421EA0">
        <w:rPr>
          <w:rFonts w:asciiTheme="majorBidi" w:hAnsiTheme="majorBidi" w:cstheme="majorBidi"/>
          <w:i/>
          <w:iCs/>
          <w:lang w:val="sv-SE"/>
        </w:rPr>
        <w:t>.</w:t>
      </w:r>
      <w:r w:rsidRPr="009D5968">
        <w:rPr>
          <w:rFonts w:asciiTheme="majorBidi" w:hAnsiTheme="majorBidi" w:cstheme="majorBidi"/>
          <w:i/>
          <w:iCs/>
        </w:rPr>
        <w:t xml:space="preserve">, </w:t>
      </w:r>
      <w:r w:rsidRPr="009D5968">
        <w:rPr>
          <w:rFonts w:asciiTheme="majorBidi" w:hAnsiTheme="majorBidi" w:cstheme="majorBidi"/>
        </w:rPr>
        <w:t>amend to read:</w:t>
      </w:r>
    </w:p>
    <w:p w:rsidR="00023622" w:rsidRDefault="00023622" w:rsidP="00023622">
      <w:pPr>
        <w:pStyle w:val="SingleTxtG"/>
      </w:pPr>
      <w:r w:rsidRPr="009D5968">
        <w:rPr>
          <w:rFonts w:asciiTheme="majorBidi" w:hAnsiTheme="majorBidi" w:cstheme="majorBidi"/>
        </w:rPr>
        <w:t>"3.2.1.1.</w:t>
      </w:r>
      <w:r>
        <w:rPr>
          <w:rFonts w:asciiTheme="majorBidi" w:hAnsiTheme="majorBidi" w:cstheme="majorBidi"/>
        </w:rPr>
        <w:tab/>
      </w:r>
      <w:r w:rsidRPr="009D5968">
        <w:t>The vehicle speed shall remain in the range from V</w:t>
      </w:r>
      <w:r w:rsidRPr="009D5968">
        <w:rPr>
          <w:vertAlign w:val="subscript"/>
        </w:rPr>
        <w:t>smin</w:t>
      </w:r>
      <w:r w:rsidRPr="009D5968">
        <w:t xml:space="preserve"> up to V</w:t>
      </w:r>
      <w:r w:rsidRPr="009D5968">
        <w:rPr>
          <w:vertAlign w:val="subscript"/>
        </w:rPr>
        <w:t>smax</w:t>
      </w:r>
      <w:r w:rsidRPr="009D5968">
        <w:t>.</w:t>
      </w:r>
    </w:p>
    <w:p w:rsidR="00023622" w:rsidRDefault="00023622" w:rsidP="00023622">
      <w:pPr>
        <w:pStyle w:val="SingleTxtG"/>
        <w:ind w:left="2268"/>
      </w:pPr>
      <w:r w:rsidRPr="009D5968">
        <w:t xml:space="preserve">The test shall be carried out for each speed range </w:t>
      </w:r>
      <w:r w:rsidRPr="00D56BE0">
        <w:rPr>
          <w:b/>
        </w:rPr>
        <w:t>(the speed range determines the starting speed)</w:t>
      </w:r>
      <w:r w:rsidRPr="009D5968">
        <w:t xml:space="preserve"> specified in paragraph 5.6.2.1.3. of this Regulation separately or within contiguous speed ranges where the ay</w:t>
      </w:r>
      <w:r w:rsidRPr="009D5968">
        <w:rPr>
          <w:vertAlign w:val="subscript"/>
        </w:rPr>
        <w:t>smax</w:t>
      </w:r>
      <w:r w:rsidRPr="009D5968">
        <w:t xml:space="preserve"> is identical.</w:t>
      </w:r>
    </w:p>
    <w:p w:rsidR="00023622" w:rsidRPr="009D5968" w:rsidRDefault="00023622" w:rsidP="00023622">
      <w:pPr>
        <w:pStyle w:val="SingleTxtG"/>
        <w:ind w:left="2268"/>
        <w:rPr>
          <w:b/>
          <w:bCs/>
        </w:rPr>
      </w:pPr>
      <w:r w:rsidRPr="009D5968">
        <w:t xml:space="preserve">The vehicle shall be driven without any force applied by the driver on the steering control (e.g. by removing the hands from the steering control) </w:t>
      </w:r>
      <w:r w:rsidRPr="002F0B2D">
        <w:rPr>
          <w:b/>
          <w:strike/>
        </w:rPr>
        <w:t>with</w:t>
      </w:r>
      <w:r w:rsidRPr="009D5968">
        <w:rPr>
          <w:b/>
          <w:bCs/>
        </w:rPr>
        <w:t xml:space="preserve"> </w:t>
      </w:r>
      <w:r w:rsidRPr="009D5968">
        <w:rPr>
          <w:b/>
          <w:bCs/>
          <w:strike/>
        </w:rPr>
        <w:t>a constant speed</w:t>
      </w:r>
      <w:r w:rsidRPr="009D5968">
        <w:t xml:space="preserve"> on a curved track with lane markings at each side. </w:t>
      </w:r>
      <w:r w:rsidRPr="009D5968">
        <w:rPr>
          <w:b/>
          <w:bCs/>
        </w:rPr>
        <w:t>The vehicle is allowed to change speed at any point before or during the curve to meet the maximum lateral acceleration limits specified in paragraph 5.6.2.1.3</w:t>
      </w:r>
      <w:r w:rsidR="00421EA0">
        <w:rPr>
          <w:b/>
          <w:bCs/>
        </w:rPr>
        <w:t>.</w:t>
      </w:r>
    </w:p>
    <w:p w:rsidR="00023622" w:rsidRDefault="00023622" w:rsidP="00023622">
      <w:pPr>
        <w:pStyle w:val="SingleTxtG"/>
        <w:ind w:left="2268"/>
      </w:pPr>
      <w:r w:rsidRPr="009D5968">
        <w:lastRenderedPageBreak/>
        <w:t>The necessary lateral acceleration to follow the curve shall be between 80 and 90 per cent of the maximum lateral acceleration specified by the vehicle manufacturer ay</w:t>
      </w:r>
      <w:r w:rsidRPr="009D5968">
        <w:rPr>
          <w:vertAlign w:val="subscript"/>
        </w:rPr>
        <w:t>smax</w:t>
      </w:r>
      <w:r w:rsidRPr="009D5968">
        <w:t>.</w:t>
      </w:r>
    </w:p>
    <w:p w:rsidR="00023622" w:rsidRDefault="00023622" w:rsidP="00023622">
      <w:pPr>
        <w:spacing w:after="120" w:line="240" w:lineRule="auto"/>
        <w:ind w:left="2268"/>
      </w:pPr>
      <w:r w:rsidRPr="009D5968">
        <w:t>The lateral acceleration and the lateral jerk shall be recorded during the test</w:t>
      </w:r>
      <w:r w:rsidR="00C26DFB">
        <w:t>.</w:t>
      </w:r>
    </w:p>
    <w:p w:rsidR="00023622" w:rsidRDefault="00023622" w:rsidP="00023622">
      <w:pPr>
        <w:pStyle w:val="SingleTxtG"/>
        <w:rPr>
          <w:rFonts w:asciiTheme="majorBidi" w:hAnsiTheme="majorBidi" w:cstheme="majorBidi"/>
        </w:rPr>
      </w:pPr>
      <w:r w:rsidRPr="009D5968">
        <w:rPr>
          <w:rFonts w:asciiTheme="majorBidi" w:hAnsiTheme="majorBidi" w:cstheme="majorBidi"/>
          <w:i/>
          <w:iCs/>
          <w:lang w:val="sv-SE"/>
        </w:rPr>
        <w:t>Annex 8, Paragraph 3.2.2.1</w:t>
      </w:r>
      <w:r w:rsidR="00421EA0">
        <w:rPr>
          <w:rFonts w:asciiTheme="majorBidi" w:hAnsiTheme="majorBidi" w:cstheme="majorBidi"/>
          <w:i/>
          <w:iCs/>
          <w:lang w:val="sv-SE"/>
        </w:rPr>
        <w:t>.</w:t>
      </w:r>
      <w:r w:rsidRPr="009D5968">
        <w:rPr>
          <w:rFonts w:asciiTheme="majorBidi" w:hAnsiTheme="majorBidi" w:cstheme="majorBidi"/>
          <w:i/>
          <w:iCs/>
        </w:rPr>
        <w:t xml:space="preserve">, </w:t>
      </w:r>
      <w:r w:rsidRPr="009D5968">
        <w:rPr>
          <w:rFonts w:asciiTheme="majorBidi" w:hAnsiTheme="majorBidi" w:cstheme="majorBidi"/>
        </w:rPr>
        <w:t>amend to read:</w:t>
      </w:r>
    </w:p>
    <w:p w:rsidR="00023622" w:rsidRDefault="00023622" w:rsidP="00023622">
      <w:pPr>
        <w:pStyle w:val="SingleTxtG"/>
      </w:pPr>
      <w:r w:rsidRPr="009D5968">
        <w:rPr>
          <w:rFonts w:asciiTheme="majorBidi" w:hAnsiTheme="majorBidi" w:cstheme="majorBidi"/>
        </w:rPr>
        <w:t>3.2.2.1.</w:t>
      </w:r>
      <w:r>
        <w:rPr>
          <w:rFonts w:asciiTheme="majorBidi" w:hAnsiTheme="majorBidi" w:cstheme="majorBidi"/>
        </w:rPr>
        <w:tab/>
      </w:r>
      <w:r w:rsidRPr="009D5968">
        <w:t>The vehicle speed shall remain in the range from V</w:t>
      </w:r>
      <w:r w:rsidRPr="009D5968">
        <w:rPr>
          <w:vertAlign w:val="subscript"/>
        </w:rPr>
        <w:t>smin</w:t>
      </w:r>
      <w:r w:rsidRPr="009D5968">
        <w:t xml:space="preserve"> up to V</w:t>
      </w:r>
      <w:r w:rsidRPr="009D5968">
        <w:rPr>
          <w:vertAlign w:val="subscript"/>
        </w:rPr>
        <w:t>smax</w:t>
      </w:r>
      <w:r w:rsidRPr="009D5968">
        <w:t>.</w:t>
      </w:r>
    </w:p>
    <w:p w:rsidR="00023622" w:rsidRDefault="00023622" w:rsidP="00023622">
      <w:pPr>
        <w:pStyle w:val="SingleTxtG"/>
        <w:ind w:left="2268"/>
      </w:pPr>
      <w:r w:rsidRPr="009D5968">
        <w:t xml:space="preserve">The test shall be carried out for each speed range </w:t>
      </w:r>
      <w:r w:rsidRPr="00D56BE0">
        <w:rPr>
          <w:b/>
        </w:rPr>
        <w:t xml:space="preserve">(the speed range determines the starting speed) </w:t>
      </w:r>
      <w:r w:rsidRPr="009D5968">
        <w:t>specified in paragraph 5.6.2.1.3. of this Regulation separately or within contiguous speed ranges where the ay</w:t>
      </w:r>
      <w:r w:rsidRPr="009D5968">
        <w:rPr>
          <w:vertAlign w:val="subscript"/>
        </w:rPr>
        <w:t>smax</w:t>
      </w:r>
      <w:r w:rsidRPr="009D5968">
        <w:t xml:space="preserve"> is identical.</w:t>
      </w:r>
    </w:p>
    <w:p w:rsidR="00023622" w:rsidRPr="009D5968" w:rsidRDefault="00023622" w:rsidP="00023622">
      <w:pPr>
        <w:pStyle w:val="SingleTxtG"/>
        <w:ind w:left="2268"/>
        <w:rPr>
          <w:b/>
          <w:bCs/>
        </w:rPr>
      </w:pPr>
      <w:r w:rsidRPr="009D5968">
        <w:t xml:space="preserve">The vehicle shall be driven without any force applied by the driver on the steering control (e.g. by removing the hands from the steering control) </w:t>
      </w:r>
      <w:r w:rsidRPr="002F0B2D">
        <w:rPr>
          <w:b/>
          <w:strike/>
        </w:rPr>
        <w:t>with</w:t>
      </w:r>
      <w:r w:rsidRPr="009D5968">
        <w:rPr>
          <w:b/>
          <w:bCs/>
        </w:rPr>
        <w:t xml:space="preserve"> </w:t>
      </w:r>
      <w:r w:rsidRPr="009D5968">
        <w:rPr>
          <w:b/>
          <w:bCs/>
          <w:strike/>
        </w:rPr>
        <w:t>a constant speed</w:t>
      </w:r>
      <w:r w:rsidRPr="009D5968">
        <w:t xml:space="preserve"> on a curved track with lane markings at each side. </w:t>
      </w:r>
      <w:r w:rsidRPr="009D5968">
        <w:rPr>
          <w:b/>
          <w:bCs/>
        </w:rPr>
        <w:t>The vehicle is allowed to change speed at any point before or during the curve to meet the maximum lateral acceleration limits specified in paragraph 5.6.2.1.3</w:t>
      </w:r>
      <w:r w:rsidR="001E38E7">
        <w:rPr>
          <w:b/>
          <w:bCs/>
        </w:rPr>
        <w:t>.</w:t>
      </w:r>
    </w:p>
    <w:p w:rsidR="00023622" w:rsidRDefault="00023622" w:rsidP="00023622">
      <w:pPr>
        <w:pStyle w:val="SingleTxtG"/>
        <w:ind w:left="2268"/>
      </w:pPr>
      <w:r w:rsidRPr="009D5968">
        <w:t>The Technical Service defines a test speed and a radius which would provoke a higher acceleration than ay</w:t>
      </w:r>
      <w:r w:rsidRPr="009D5968">
        <w:rPr>
          <w:vertAlign w:val="subscript"/>
        </w:rPr>
        <w:t>smax</w:t>
      </w:r>
      <w:r w:rsidRPr="009D5968">
        <w:t xml:space="preserve"> + 0.3 m/s</w:t>
      </w:r>
      <w:r w:rsidRPr="009D5968">
        <w:rPr>
          <w:vertAlign w:val="superscript"/>
        </w:rPr>
        <w:t>2</w:t>
      </w:r>
      <w:r w:rsidRPr="009D5968">
        <w:t xml:space="preserve"> (e.g. by travelling with a higher speed through a curve with a given radius).</w:t>
      </w:r>
    </w:p>
    <w:p w:rsidR="00023622" w:rsidRPr="00023622" w:rsidRDefault="00023622" w:rsidP="00023622">
      <w:pPr>
        <w:pStyle w:val="SingleTxtG"/>
        <w:ind w:left="2268"/>
      </w:pPr>
      <w:r w:rsidRPr="009D5968">
        <w:t>The lateral acceleration and the lateral jerk shall be recorded during the test.</w:t>
      </w:r>
    </w:p>
    <w:p w:rsidR="004413E7" w:rsidRDefault="004413E7" w:rsidP="004413E7">
      <w:pPr>
        <w:pStyle w:val="HChG"/>
      </w:pPr>
      <w:r w:rsidRPr="004C4906">
        <w:tab/>
        <w:t>II.</w:t>
      </w:r>
      <w:r w:rsidRPr="004C4906">
        <w:tab/>
      </w:r>
      <w:r w:rsidR="009F1A57">
        <w:t>Justification</w:t>
      </w:r>
    </w:p>
    <w:p w:rsidR="00023622" w:rsidRPr="00AF6859" w:rsidRDefault="00812626" w:rsidP="00812626">
      <w:pPr>
        <w:pStyle w:val="SingleTxtG"/>
        <w:tabs>
          <w:tab w:val="left" w:pos="1701"/>
        </w:tabs>
        <w:ind w:left="1170" w:hanging="540"/>
        <w:rPr>
          <w:rFonts w:asciiTheme="majorBidi" w:hAnsiTheme="majorBidi" w:cstheme="majorBidi"/>
          <w:b/>
          <w:sz w:val="24"/>
        </w:rPr>
      </w:pPr>
      <w:r w:rsidRPr="00AF6859">
        <w:rPr>
          <w:rFonts w:asciiTheme="majorBidi" w:hAnsiTheme="majorBidi" w:cstheme="majorBidi"/>
          <w:b/>
          <w:sz w:val="24"/>
        </w:rPr>
        <w:t>A.</w:t>
      </w:r>
      <w:r w:rsidRPr="00AF6859">
        <w:rPr>
          <w:rFonts w:asciiTheme="majorBidi" w:hAnsiTheme="majorBidi" w:cstheme="majorBidi"/>
          <w:b/>
          <w:sz w:val="24"/>
        </w:rPr>
        <w:tab/>
      </w:r>
      <w:r w:rsidR="00023622" w:rsidRPr="00AF6859">
        <w:rPr>
          <w:rFonts w:asciiTheme="majorBidi" w:hAnsiTheme="majorBidi" w:cstheme="majorBidi"/>
          <w:b/>
          <w:sz w:val="24"/>
        </w:rPr>
        <w:t>Paragraph 5.6.2.1.3</w:t>
      </w:r>
      <w:r w:rsidR="00023622">
        <w:rPr>
          <w:rFonts w:asciiTheme="majorBidi" w:hAnsiTheme="majorBidi" w:cstheme="majorBidi"/>
          <w:b/>
          <w:sz w:val="24"/>
        </w:rPr>
        <w:t>.</w:t>
      </w:r>
    </w:p>
    <w:p w:rsidR="00023622" w:rsidRDefault="00023622" w:rsidP="00023622">
      <w:pPr>
        <w:pStyle w:val="SingleTxtG"/>
        <w:tabs>
          <w:tab w:val="left" w:pos="1701"/>
        </w:tabs>
        <w:rPr>
          <w:rFonts w:asciiTheme="majorBidi" w:hAnsiTheme="majorBidi" w:cstheme="majorBidi"/>
        </w:rPr>
      </w:pPr>
      <w:r>
        <w:rPr>
          <w:rFonts w:asciiTheme="majorBidi" w:hAnsiTheme="majorBidi" w:cstheme="majorBidi"/>
        </w:rPr>
        <w:t>1.</w:t>
      </w:r>
      <w:r>
        <w:rPr>
          <w:rFonts w:asciiTheme="majorBidi" w:hAnsiTheme="majorBidi" w:cstheme="majorBidi"/>
        </w:rPr>
        <w:tab/>
      </w:r>
      <w:r w:rsidRPr="00AF6859">
        <w:rPr>
          <w:rFonts w:asciiTheme="majorBidi" w:hAnsiTheme="majorBidi" w:cstheme="majorBidi"/>
        </w:rPr>
        <w:t xml:space="preserve">Modern </w:t>
      </w:r>
      <w:r>
        <w:rPr>
          <w:rFonts w:asciiTheme="majorBidi" w:hAnsiTheme="majorBidi" w:cstheme="majorBidi"/>
        </w:rPr>
        <w:t>Automatically Commanded Steering Function (</w:t>
      </w:r>
      <w:r w:rsidRPr="00AF6859">
        <w:rPr>
          <w:rFonts w:asciiTheme="majorBidi" w:hAnsiTheme="majorBidi" w:cstheme="majorBidi"/>
        </w:rPr>
        <w:t>ACSF</w:t>
      </w:r>
      <w:r>
        <w:rPr>
          <w:rFonts w:asciiTheme="majorBidi" w:hAnsiTheme="majorBidi" w:cstheme="majorBidi"/>
        </w:rPr>
        <w:t>)</w:t>
      </w:r>
      <w:r w:rsidRPr="00AF6859">
        <w:rPr>
          <w:rFonts w:asciiTheme="majorBidi" w:hAnsiTheme="majorBidi" w:cstheme="majorBidi"/>
        </w:rPr>
        <w:t xml:space="preserve"> </w:t>
      </w:r>
      <w:r>
        <w:rPr>
          <w:rFonts w:asciiTheme="majorBidi" w:hAnsiTheme="majorBidi" w:cstheme="majorBidi"/>
        </w:rPr>
        <w:t xml:space="preserve">of Category </w:t>
      </w:r>
      <w:r w:rsidRPr="00AF6859">
        <w:rPr>
          <w:rFonts w:asciiTheme="majorBidi" w:hAnsiTheme="majorBidi" w:cstheme="majorBidi"/>
        </w:rPr>
        <w:t>B1 have the capability to use sensory data to predict roads with high curvature and are able to decrease the ego speed in order to keep the vehicle in the lane. This allows for increased controllability in environments that were previously considered difficult. Modern systems such as Tesla's are comfortably able to handle curved roads at a lateral a</w:t>
      </w:r>
      <w:r>
        <w:rPr>
          <w:rFonts w:asciiTheme="majorBidi" w:hAnsiTheme="majorBidi" w:cstheme="majorBidi"/>
        </w:rPr>
        <w:t>cceleration of up to 5.7 m/s².</w:t>
      </w:r>
    </w:p>
    <w:p w:rsidR="00023622" w:rsidRDefault="00023622" w:rsidP="00023622">
      <w:pPr>
        <w:pStyle w:val="SingleTxtG"/>
        <w:tabs>
          <w:tab w:val="left" w:pos="1701"/>
        </w:tabs>
        <w:rPr>
          <w:rFonts w:asciiTheme="majorBidi" w:hAnsiTheme="majorBidi" w:cstheme="majorBidi"/>
        </w:rPr>
      </w:pPr>
      <w:r>
        <w:rPr>
          <w:rFonts w:asciiTheme="majorBidi" w:hAnsiTheme="majorBidi" w:cstheme="majorBidi"/>
        </w:rPr>
        <w:t>2.</w:t>
      </w:r>
      <w:r>
        <w:rPr>
          <w:rFonts w:asciiTheme="majorBidi" w:hAnsiTheme="majorBidi" w:cstheme="majorBidi"/>
        </w:rPr>
        <w:tab/>
      </w:r>
      <w:r w:rsidRPr="00AF6859">
        <w:rPr>
          <w:rFonts w:asciiTheme="majorBidi" w:hAnsiTheme="majorBidi" w:cstheme="majorBidi"/>
        </w:rPr>
        <w:t>It is demonstrably safer to lower speeds and keep the vehicle within the lane if the system is capable to do so rather than depart the lane at higher speeds resulting in a severe risk of collision with other vehicles or road infrastructure in the adjacent lane or along the edge of the road. A vehicle type approved under the current requirements would be forced to abruptly brake, depart the lane or deactivate the system in case lateral a</w:t>
      </w:r>
      <w:r>
        <w:rPr>
          <w:rFonts w:asciiTheme="majorBidi" w:hAnsiTheme="majorBidi" w:cstheme="majorBidi"/>
        </w:rPr>
        <w:t>cceleration values above 3 m/s²</w:t>
      </w:r>
      <w:r w:rsidRPr="00AF6859">
        <w:rPr>
          <w:rFonts w:asciiTheme="majorBidi" w:hAnsiTheme="majorBidi" w:cstheme="majorBidi"/>
        </w:rPr>
        <w:t xml:space="preserve"> are reached. </w:t>
      </w:r>
    </w:p>
    <w:p w:rsidR="00023622" w:rsidRDefault="00023622" w:rsidP="00023622">
      <w:pPr>
        <w:pStyle w:val="SingleTxtG"/>
        <w:tabs>
          <w:tab w:val="left" w:pos="1701"/>
        </w:tabs>
        <w:rPr>
          <w:rFonts w:asciiTheme="majorBidi" w:hAnsiTheme="majorBidi" w:cstheme="majorBidi"/>
        </w:rPr>
      </w:pPr>
      <w:r>
        <w:rPr>
          <w:rFonts w:asciiTheme="majorBidi" w:hAnsiTheme="majorBidi" w:cstheme="majorBidi"/>
        </w:rPr>
        <w:t>3.</w:t>
      </w:r>
      <w:r>
        <w:rPr>
          <w:rFonts w:asciiTheme="majorBidi" w:hAnsiTheme="majorBidi" w:cstheme="majorBidi"/>
        </w:rPr>
        <w:tab/>
      </w:r>
      <w:r w:rsidRPr="2C681D52">
        <w:rPr>
          <w:rFonts w:asciiTheme="majorBidi" w:hAnsiTheme="majorBidi" w:cstheme="majorBidi"/>
        </w:rPr>
        <w:t>Some vehicle systems that have been type-approved under previous R79 versions may be capable of traversing tighter turns. A sudden regressive change in vehicle system behaviour may have negative implications for the owner's safety and general road safety.</w:t>
      </w:r>
    </w:p>
    <w:p w:rsidR="00023622" w:rsidRDefault="00812626" w:rsidP="00812626">
      <w:pPr>
        <w:pStyle w:val="SingleTxtG"/>
        <w:tabs>
          <w:tab w:val="left" w:pos="1701"/>
        </w:tabs>
        <w:ind w:left="1170" w:hanging="540"/>
        <w:rPr>
          <w:rFonts w:asciiTheme="majorBidi" w:hAnsiTheme="majorBidi" w:cstheme="majorBidi"/>
          <w:b/>
          <w:sz w:val="24"/>
        </w:rPr>
      </w:pPr>
      <w:r>
        <w:rPr>
          <w:rFonts w:asciiTheme="majorBidi" w:hAnsiTheme="majorBidi" w:cstheme="majorBidi"/>
          <w:b/>
          <w:sz w:val="24"/>
        </w:rPr>
        <w:t>B.</w:t>
      </w:r>
      <w:r>
        <w:rPr>
          <w:rFonts w:asciiTheme="majorBidi" w:hAnsiTheme="majorBidi" w:cstheme="majorBidi"/>
          <w:b/>
          <w:sz w:val="24"/>
        </w:rPr>
        <w:tab/>
      </w:r>
      <w:r w:rsidR="00023622">
        <w:rPr>
          <w:rFonts w:asciiTheme="majorBidi" w:hAnsiTheme="majorBidi" w:cstheme="majorBidi"/>
          <w:b/>
          <w:sz w:val="24"/>
        </w:rPr>
        <w:t xml:space="preserve">Annex 8, </w:t>
      </w:r>
      <w:r w:rsidR="00023622" w:rsidRPr="00AF6859">
        <w:rPr>
          <w:rFonts w:asciiTheme="majorBidi" w:hAnsiTheme="majorBidi" w:cstheme="majorBidi"/>
          <w:b/>
          <w:sz w:val="24"/>
        </w:rPr>
        <w:t xml:space="preserve">Paragraph </w:t>
      </w:r>
      <w:r w:rsidR="00023622">
        <w:rPr>
          <w:rFonts w:asciiTheme="majorBidi" w:hAnsiTheme="majorBidi" w:cstheme="majorBidi"/>
          <w:b/>
          <w:sz w:val="24"/>
        </w:rPr>
        <w:t>3.2.1.1</w:t>
      </w:r>
      <w:r w:rsidR="00421EA0">
        <w:rPr>
          <w:rFonts w:asciiTheme="majorBidi" w:hAnsiTheme="majorBidi" w:cstheme="majorBidi"/>
          <w:b/>
          <w:sz w:val="24"/>
        </w:rPr>
        <w:t>.</w:t>
      </w:r>
    </w:p>
    <w:p w:rsidR="00023622" w:rsidRDefault="00023622" w:rsidP="00023622">
      <w:pPr>
        <w:pStyle w:val="SingleTxtG"/>
        <w:tabs>
          <w:tab w:val="left" w:pos="1701"/>
        </w:tabs>
        <w:ind w:left="1170"/>
        <w:rPr>
          <w:rFonts w:asciiTheme="majorBidi" w:hAnsiTheme="majorBidi" w:cstheme="majorBidi"/>
        </w:rPr>
      </w:pPr>
      <w:r>
        <w:rPr>
          <w:rFonts w:asciiTheme="majorBidi" w:hAnsiTheme="majorBidi" w:cstheme="majorBidi"/>
        </w:rPr>
        <w:t>4.</w:t>
      </w:r>
      <w:r>
        <w:rPr>
          <w:rFonts w:asciiTheme="majorBidi" w:hAnsiTheme="majorBidi" w:cstheme="majorBidi"/>
        </w:rPr>
        <w:tab/>
        <w:t>In line with the change proposed for 5.6.2.1.3</w:t>
      </w:r>
      <w:r w:rsidR="00421EA0">
        <w:rPr>
          <w:rFonts w:asciiTheme="majorBidi" w:hAnsiTheme="majorBidi" w:cstheme="majorBidi"/>
        </w:rPr>
        <w:t>.</w:t>
      </w:r>
      <w:r>
        <w:rPr>
          <w:rFonts w:asciiTheme="majorBidi" w:hAnsiTheme="majorBidi" w:cstheme="majorBidi"/>
        </w:rPr>
        <w:t>, we propose to amend this test in order to not artificially lock a vehicle’s speed to a constant speed and to allow the vehicle to change speeds at any point in order to meet maximum lateral acceleration values.</w:t>
      </w:r>
    </w:p>
    <w:p w:rsidR="00023622" w:rsidRPr="00023622" w:rsidRDefault="00023622" w:rsidP="00023622">
      <w:pPr>
        <w:pStyle w:val="SingleTxtG"/>
        <w:tabs>
          <w:tab w:val="left" w:pos="1701"/>
        </w:tabs>
        <w:ind w:left="1170"/>
        <w:rPr>
          <w:rFonts w:asciiTheme="majorBidi" w:hAnsiTheme="majorBidi" w:cstheme="majorBidi"/>
        </w:rPr>
      </w:pPr>
      <w:r>
        <w:rPr>
          <w:rFonts w:asciiTheme="majorBidi" w:hAnsiTheme="majorBidi" w:cstheme="majorBidi"/>
        </w:rPr>
        <w:t>5.</w:t>
      </w:r>
      <w:r>
        <w:rPr>
          <w:rFonts w:asciiTheme="majorBidi" w:hAnsiTheme="majorBidi" w:cstheme="majorBidi"/>
        </w:rPr>
        <w:tab/>
      </w:r>
      <w:r w:rsidRPr="002B2FBB">
        <w:rPr>
          <w:rFonts w:asciiTheme="majorBidi" w:hAnsiTheme="majorBidi" w:cstheme="majorBidi"/>
        </w:rPr>
        <w:t>We believe the GRVA</w:t>
      </w:r>
      <w:r>
        <w:rPr>
          <w:rFonts w:asciiTheme="majorBidi" w:hAnsiTheme="majorBidi" w:cstheme="majorBidi"/>
        </w:rPr>
        <w:t xml:space="preserve"> 2019-09 proposal by France is </w:t>
      </w:r>
      <w:r w:rsidRPr="002B2FBB">
        <w:rPr>
          <w:rFonts w:asciiTheme="majorBidi" w:hAnsiTheme="majorBidi" w:cstheme="majorBidi"/>
        </w:rPr>
        <w:t>equally acceptable.</w:t>
      </w:r>
    </w:p>
    <w:p w:rsidR="00023622" w:rsidRPr="00AF6859" w:rsidRDefault="00812626" w:rsidP="00812626">
      <w:pPr>
        <w:pStyle w:val="SingleTxtG"/>
        <w:tabs>
          <w:tab w:val="left" w:pos="1701"/>
        </w:tabs>
        <w:ind w:left="1170" w:hanging="540"/>
        <w:rPr>
          <w:rFonts w:asciiTheme="majorBidi" w:hAnsiTheme="majorBidi" w:cstheme="majorBidi"/>
          <w:b/>
          <w:sz w:val="24"/>
        </w:rPr>
      </w:pPr>
      <w:r w:rsidRPr="00AF6859">
        <w:rPr>
          <w:rFonts w:asciiTheme="majorBidi" w:hAnsiTheme="majorBidi" w:cstheme="majorBidi"/>
          <w:b/>
          <w:sz w:val="24"/>
        </w:rPr>
        <w:t>C.</w:t>
      </w:r>
      <w:r w:rsidRPr="00AF6859">
        <w:rPr>
          <w:rFonts w:asciiTheme="majorBidi" w:hAnsiTheme="majorBidi" w:cstheme="majorBidi"/>
          <w:b/>
          <w:sz w:val="24"/>
        </w:rPr>
        <w:tab/>
      </w:r>
      <w:r w:rsidR="00023622">
        <w:rPr>
          <w:rFonts w:asciiTheme="majorBidi" w:hAnsiTheme="majorBidi" w:cstheme="majorBidi"/>
          <w:b/>
          <w:sz w:val="24"/>
        </w:rPr>
        <w:t>Annex 8, Paragraph 3.2.2.1</w:t>
      </w:r>
      <w:r w:rsidR="00421EA0">
        <w:rPr>
          <w:rFonts w:asciiTheme="majorBidi" w:hAnsiTheme="majorBidi" w:cstheme="majorBidi"/>
          <w:b/>
          <w:sz w:val="24"/>
        </w:rPr>
        <w:t>.</w:t>
      </w:r>
    </w:p>
    <w:p w:rsidR="00023622" w:rsidRDefault="00023622" w:rsidP="00023622">
      <w:pPr>
        <w:pStyle w:val="SingleTxtG"/>
        <w:tabs>
          <w:tab w:val="left" w:pos="1701"/>
        </w:tabs>
        <w:ind w:left="1170"/>
        <w:rPr>
          <w:rFonts w:asciiTheme="majorBidi" w:hAnsiTheme="majorBidi" w:cstheme="majorBidi"/>
        </w:rPr>
      </w:pPr>
      <w:r>
        <w:rPr>
          <w:rFonts w:asciiTheme="majorBidi" w:hAnsiTheme="majorBidi" w:cstheme="majorBidi"/>
        </w:rPr>
        <w:t>6.</w:t>
      </w:r>
      <w:r>
        <w:rPr>
          <w:rFonts w:asciiTheme="majorBidi" w:hAnsiTheme="majorBidi" w:cstheme="majorBidi"/>
        </w:rPr>
        <w:tab/>
        <w:t>In line with the change proposed for 5.6.2.1.3</w:t>
      </w:r>
      <w:r w:rsidR="00421EA0">
        <w:rPr>
          <w:rFonts w:asciiTheme="majorBidi" w:hAnsiTheme="majorBidi" w:cstheme="majorBidi"/>
        </w:rPr>
        <w:t>.</w:t>
      </w:r>
      <w:r>
        <w:rPr>
          <w:rFonts w:asciiTheme="majorBidi" w:hAnsiTheme="majorBidi" w:cstheme="majorBidi"/>
        </w:rPr>
        <w:t>, we propose to amend this test in order to not artificially lock a vehicle’s speed to a constant speed and to allow the vehicle to change speeds at any point in order to meet maximum lateral acceleration values.</w:t>
      </w:r>
    </w:p>
    <w:p w:rsidR="00023622" w:rsidRDefault="00023622" w:rsidP="00023622">
      <w:pPr>
        <w:pStyle w:val="SingleTxtG"/>
        <w:tabs>
          <w:tab w:val="left" w:pos="1701"/>
        </w:tabs>
        <w:ind w:left="1170"/>
        <w:rPr>
          <w:rFonts w:asciiTheme="majorBidi" w:hAnsiTheme="majorBidi" w:cstheme="majorBidi"/>
        </w:rPr>
      </w:pPr>
      <w:r>
        <w:rPr>
          <w:rFonts w:asciiTheme="majorBidi" w:hAnsiTheme="majorBidi" w:cstheme="majorBidi"/>
        </w:rPr>
        <w:t>7.</w:t>
      </w:r>
      <w:r>
        <w:rPr>
          <w:rFonts w:asciiTheme="majorBidi" w:hAnsiTheme="majorBidi" w:cstheme="majorBidi"/>
        </w:rPr>
        <w:tab/>
      </w:r>
      <w:r w:rsidRPr="002B2FBB">
        <w:rPr>
          <w:rFonts w:asciiTheme="majorBidi" w:hAnsiTheme="majorBidi" w:cstheme="majorBidi"/>
        </w:rPr>
        <w:t xml:space="preserve">We believe </w:t>
      </w:r>
      <w:r>
        <w:rPr>
          <w:rFonts w:asciiTheme="majorBidi" w:hAnsiTheme="majorBidi" w:cstheme="majorBidi"/>
        </w:rPr>
        <w:t xml:space="preserve">the </w:t>
      </w:r>
      <w:r w:rsidRPr="002B2FBB">
        <w:rPr>
          <w:rFonts w:asciiTheme="majorBidi" w:hAnsiTheme="majorBidi" w:cstheme="majorBidi"/>
        </w:rPr>
        <w:t xml:space="preserve">proposal </w:t>
      </w:r>
      <w:r>
        <w:rPr>
          <w:rFonts w:asciiTheme="majorBidi" w:hAnsiTheme="majorBidi" w:cstheme="majorBidi"/>
        </w:rPr>
        <w:t>ECE/TRANS/WP.29/</w:t>
      </w:r>
      <w:r w:rsidRPr="002B2FBB">
        <w:rPr>
          <w:rFonts w:asciiTheme="majorBidi" w:hAnsiTheme="majorBidi" w:cstheme="majorBidi"/>
        </w:rPr>
        <w:t>GRVA</w:t>
      </w:r>
      <w:r>
        <w:rPr>
          <w:rFonts w:asciiTheme="majorBidi" w:hAnsiTheme="majorBidi" w:cstheme="majorBidi"/>
        </w:rPr>
        <w:t>/</w:t>
      </w:r>
      <w:r w:rsidRPr="002B2FBB">
        <w:rPr>
          <w:rFonts w:asciiTheme="majorBidi" w:hAnsiTheme="majorBidi" w:cstheme="majorBidi"/>
        </w:rPr>
        <w:t>2019</w:t>
      </w:r>
      <w:r>
        <w:rPr>
          <w:rFonts w:asciiTheme="majorBidi" w:hAnsiTheme="majorBidi" w:cstheme="majorBidi"/>
        </w:rPr>
        <w:t>/</w:t>
      </w:r>
      <w:r w:rsidRPr="002B2FBB">
        <w:rPr>
          <w:rFonts w:asciiTheme="majorBidi" w:hAnsiTheme="majorBidi" w:cstheme="majorBidi"/>
        </w:rPr>
        <w:t xml:space="preserve">09 </w:t>
      </w:r>
      <w:r>
        <w:rPr>
          <w:rFonts w:asciiTheme="majorBidi" w:hAnsiTheme="majorBidi" w:cstheme="majorBidi"/>
        </w:rPr>
        <w:t>(</w:t>
      </w:r>
      <w:r w:rsidRPr="002B2FBB">
        <w:rPr>
          <w:rFonts w:asciiTheme="majorBidi" w:hAnsiTheme="majorBidi" w:cstheme="majorBidi"/>
        </w:rPr>
        <w:t>France</w:t>
      </w:r>
      <w:r>
        <w:rPr>
          <w:rFonts w:asciiTheme="majorBidi" w:hAnsiTheme="majorBidi" w:cstheme="majorBidi"/>
        </w:rPr>
        <w:t>) is equally acceptable and applicable for this paragraph.</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BE" w:rsidRDefault="00C60BBE"/>
  </w:endnote>
  <w:endnote w:type="continuationSeparator" w:id="0">
    <w:p w:rsidR="00C60BBE" w:rsidRDefault="00C60BBE"/>
  </w:endnote>
  <w:endnote w:type="continuationNotice" w:id="1">
    <w:p w:rsidR="00C60BBE" w:rsidRDefault="00C60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812626">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81262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26" w:rsidRDefault="00812626" w:rsidP="00812626">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5382371</wp:posOffset>
          </wp:positionH>
          <wp:positionV relativeFrom="paragraph">
            <wp:posOffset>2540</wp:posOffset>
          </wp:positionV>
          <wp:extent cx="638175" cy="638175"/>
          <wp:effectExtent l="0" t="0" r="9525" b="9525"/>
          <wp:wrapNone/>
          <wp:docPr id="1" name="Picture 1" descr="https://undocs.org/m2/QRCode.ashx?DS=ECE/TRANS/WP.29/GRVA/2019/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2626" w:rsidRDefault="00812626" w:rsidP="00812626">
    <w:pPr>
      <w:pStyle w:val="Footer"/>
      <w:ind w:right="1134"/>
      <w:rPr>
        <w:sz w:val="20"/>
      </w:rPr>
    </w:pPr>
    <w:r>
      <w:rPr>
        <w:sz w:val="20"/>
      </w:rPr>
      <w:t>GE.19-11844(E)</w:t>
    </w:r>
  </w:p>
  <w:p w:rsidR="00812626" w:rsidRPr="00812626" w:rsidRDefault="00812626" w:rsidP="008126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BE" w:rsidRPr="000B175B" w:rsidRDefault="00C60BBE" w:rsidP="000B175B">
      <w:pPr>
        <w:tabs>
          <w:tab w:val="right" w:pos="2155"/>
        </w:tabs>
        <w:spacing w:after="80"/>
        <w:ind w:left="680"/>
        <w:rPr>
          <w:u w:val="single"/>
        </w:rPr>
      </w:pPr>
      <w:r>
        <w:rPr>
          <w:u w:val="single"/>
        </w:rPr>
        <w:tab/>
      </w:r>
    </w:p>
  </w:footnote>
  <w:footnote w:type="continuationSeparator" w:id="0">
    <w:p w:rsidR="00C60BBE" w:rsidRPr="00FC68B7" w:rsidRDefault="00C60BBE" w:rsidP="00FC68B7">
      <w:pPr>
        <w:tabs>
          <w:tab w:val="left" w:pos="2155"/>
        </w:tabs>
        <w:spacing w:after="80"/>
        <w:ind w:left="680"/>
        <w:rPr>
          <w:u w:val="single"/>
        </w:rPr>
      </w:pPr>
      <w:r>
        <w:rPr>
          <w:u w:val="single"/>
        </w:rPr>
        <w:tab/>
      </w:r>
    </w:p>
  </w:footnote>
  <w:footnote w:type="continuationNotice" w:id="1">
    <w:p w:rsidR="00C60BBE" w:rsidRDefault="00C60BBE"/>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DE5C15">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D306B7">
      <w:t>VA</w:t>
    </w:r>
    <w:r>
      <w:t>/201</w:t>
    </w:r>
    <w:r w:rsidR="00580623">
      <w:t>9</w:t>
    </w:r>
    <w:r>
      <w:t>/</w:t>
    </w:r>
    <w:r w:rsidR="00861DBF">
      <w:t>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D306B7">
      <w:t>VA</w:t>
    </w:r>
    <w:r>
      <w:t>/20</w:t>
    </w:r>
    <w:r w:rsidR="00704490">
      <w:t>1</w:t>
    </w:r>
    <w:r w:rsidR="009F398D">
      <w:t>9</w:t>
    </w:r>
    <w:r>
      <w:t>/</w:t>
    </w:r>
    <w:r w:rsidR="006A296C">
      <w:t>2</w:t>
    </w:r>
    <w:r w:rsidR="00861DBF">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D5E5B10"/>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B11666"/>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4FF30C4"/>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1"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4"/>
  </w:num>
  <w:num w:numId="15">
    <w:abstractNumId w:val="26"/>
  </w:num>
  <w:num w:numId="16">
    <w:abstractNumId w:val="10"/>
  </w:num>
  <w:num w:numId="17">
    <w:abstractNumId w:val="17"/>
  </w:num>
  <w:num w:numId="18">
    <w:abstractNumId w:val="23"/>
  </w:num>
  <w:num w:numId="19">
    <w:abstractNumId w:val="15"/>
  </w:num>
  <w:num w:numId="20">
    <w:abstractNumId w:val="11"/>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13"/>
  </w:num>
  <w:num w:numId="26">
    <w:abstractNumId w:val="18"/>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23622"/>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2A80"/>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38E7"/>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13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1EA0"/>
    <w:rsid w:val="00422E03"/>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56B4C"/>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2626"/>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1DBF"/>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6DFB"/>
    <w:rsid w:val="00C2791A"/>
    <w:rsid w:val="00C315D6"/>
    <w:rsid w:val="00C31C1C"/>
    <w:rsid w:val="00C3699D"/>
    <w:rsid w:val="00C42C37"/>
    <w:rsid w:val="00C4354F"/>
    <w:rsid w:val="00C4523D"/>
    <w:rsid w:val="00C4527F"/>
    <w:rsid w:val="00C463DD"/>
    <w:rsid w:val="00C4724C"/>
    <w:rsid w:val="00C50EAD"/>
    <w:rsid w:val="00C51A41"/>
    <w:rsid w:val="00C60BBE"/>
    <w:rsid w:val="00C629A0"/>
    <w:rsid w:val="00C640D9"/>
    <w:rsid w:val="00C64629"/>
    <w:rsid w:val="00C64DA6"/>
    <w:rsid w:val="00C745C3"/>
    <w:rsid w:val="00C82926"/>
    <w:rsid w:val="00C8326C"/>
    <w:rsid w:val="00C84110"/>
    <w:rsid w:val="00C9142E"/>
    <w:rsid w:val="00C96DF2"/>
    <w:rsid w:val="00CA58E7"/>
    <w:rsid w:val="00CA7F5A"/>
    <w:rsid w:val="00CB3E03"/>
    <w:rsid w:val="00CB4730"/>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482"/>
    <w:rsid w:val="00E7260F"/>
    <w:rsid w:val="00E73F5D"/>
    <w:rsid w:val="00E7665D"/>
    <w:rsid w:val="00E77E4E"/>
    <w:rsid w:val="00E87208"/>
    <w:rsid w:val="00E91F91"/>
    <w:rsid w:val="00E94196"/>
    <w:rsid w:val="00E942AE"/>
    <w:rsid w:val="00E95BB6"/>
    <w:rsid w:val="00E96630"/>
    <w:rsid w:val="00EA02D8"/>
    <w:rsid w:val="00EA0621"/>
    <w:rsid w:val="00EA2A77"/>
    <w:rsid w:val="00EA64F0"/>
    <w:rsid w:val="00EC0A7C"/>
    <w:rsid w:val="00EC44B1"/>
    <w:rsid w:val="00ED597F"/>
    <w:rsid w:val="00ED7A2A"/>
    <w:rsid w:val="00ED7DD3"/>
    <w:rsid w:val="00EE7C3E"/>
    <w:rsid w:val="00EF1D7F"/>
    <w:rsid w:val="00EF438B"/>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A81A-55F9-483E-ABA9-262AB939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1087</Words>
  <Characters>5593</Characters>
  <Application>Microsoft Office Word</Application>
  <DocSecurity>0</DocSecurity>
  <Lines>150</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United Nations</vt:lpstr>
    </vt:vector>
  </TitlesOfParts>
  <Company>CSD</Company>
  <LinksUpToDate>false</LinksUpToDate>
  <CharactersWithSpaces>6621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ECE/TRANS/WP.29/GRVA/2019/26</dc:title>
  <dc:subject>1911844</dc:subject>
  <dc:creator>Generic Pdf eng</dc:creator>
  <cp:keywords/>
  <dc:description/>
  <cp:lastModifiedBy>Generic Pdf eng</cp:lastModifiedBy>
  <cp:revision>2</cp:revision>
  <cp:lastPrinted>2018-11-16T14:00:00Z</cp:lastPrinted>
  <dcterms:created xsi:type="dcterms:W3CDTF">2019-07-11T13:37:00Z</dcterms:created>
  <dcterms:modified xsi:type="dcterms:W3CDTF">2019-07-11T13:37:00Z</dcterms:modified>
</cp:coreProperties>
</file>