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99A589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08E547B" w14:textId="77777777" w:rsidR="00F35BAF" w:rsidRPr="00DB58B5" w:rsidRDefault="00F35BAF" w:rsidP="00A65E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4BEFB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3905A5" w14:textId="77777777" w:rsidR="00F35BAF" w:rsidRPr="00DB58B5" w:rsidRDefault="00A65E63" w:rsidP="00A65E63">
            <w:pPr>
              <w:jc w:val="right"/>
            </w:pPr>
            <w:r w:rsidRPr="00A65E63">
              <w:rPr>
                <w:sz w:val="40"/>
              </w:rPr>
              <w:t>ECE</w:t>
            </w:r>
            <w:r>
              <w:t>/TRANS/WP.29/GRSP/2019/8</w:t>
            </w:r>
          </w:p>
        </w:tc>
      </w:tr>
      <w:tr w:rsidR="00F35BAF" w:rsidRPr="00DB58B5" w14:paraId="509B684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144936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24C1AD" wp14:editId="6426FA9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D7E9B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2E6274" w14:textId="77777777" w:rsidR="00F35BAF" w:rsidRDefault="00A65E6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</w:t>
            </w:r>
            <w:r w:rsidR="00D84BDB">
              <w:t>e</w:t>
            </w:r>
            <w:proofErr w:type="gramEnd"/>
          </w:p>
          <w:p w14:paraId="1A83F84D" w14:textId="77777777" w:rsidR="00A65E63" w:rsidRDefault="00A65E63" w:rsidP="00A65E63">
            <w:pPr>
              <w:spacing w:line="240" w:lineRule="exact"/>
            </w:pPr>
            <w:r>
              <w:t>22 février 2019</w:t>
            </w:r>
          </w:p>
          <w:p w14:paraId="53D954B3" w14:textId="77777777" w:rsidR="00A65E63" w:rsidRDefault="00A65E63" w:rsidP="00A65E63">
            <w:pPr>
              <w:spacing w:line="240" w:lineRule="exact"/>
            </w:pPr>
            <w:r>
              <w:t>Français</w:t>
            </w:r>
          </w:p>
          <w:p w14:paraId="53932FBE" w14:textId="77777777" w:rsidR="00A65E63" w:rsidRPr="00DB58B5" w:rsidRDefault="00A65E63" w:rsidP="00A65E63">
            <w:pPr>
              <w:spacing w:line="240" w:lineRule="exact"/>
            </w:pPr>
            <w:r>
              <w:t>Original : anglais</w:t>
            </w:r>
          </w:p>
        </w:tc>
      </w:tr>
    </w:tbl>
    <w:p w14:paraId="74FB9CD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82F0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3BBECE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7BE77C" w14:textId="77777777" w:rsidR="00E42461" w:rsidRDefault="00E4246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82F0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6C2EE1" w14:textId="77777777" w:rsidR="00E42461" w:rsidRDefault="00E4246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704F355E" w14:textId="77777777" w:rsidR="00E42461" w:rsidRPr="00022433" w:rsidRDefault="00E42461" w:rsidP="00E42461">
      <w:pPr>
        <w:kinsoku/>
        <w:overflowPunct/>
        <w:autoSpaceDE/>
        <w:autoSpaceDN/>
        <w:adjustRightInd/>
        <w:snapToGrid/>
        <w:rPr>
          <w:rFonts w:eastAsia="MS Mincho"/>
          <w:b/>
        </w:rPr>
      </w:pPr>
      <w:r w:rsidRPr="00022433">
        <w:rPr>
          <w:rFonts w:eastAsia="Yu Mincho"/>
          <w:b/>
          <w:bCs/>
          <w:lang w:val="fr-FR"/>
        </w:rPr>
        <w:t>Soixante-cinquième session</w:t>
      </w:r>
    </w:p>
    <w:p w14:paraId="29BF49DE" w14:textId="77777777" w:rsidR="00E42461" w:rsidRPr="00022433" w:rsidRDefault="00E42461" w:rsidP="00E42461">
      <w:pPr>
        <w:kinsoku/>
        <w:overflowPunct/>
        <w:autoSpaceDE/>
        <w:autoSpaceDN/>
        <w:adjustRightInd/>
        <w:snapToGrid/>
        <w:rPr>
          <w:rFonts w:eastAsia="MS Mincho"/>
          <w:bCs/>
        </w:rPr>
      </w:pPr>
      <w:r w:rsidRPr="00022433">
        <w:rPr>
          <w:rFonts w:eastAsia="Yu Mincho"/>
          <w:lang w:val="fr-FR"/>
        </w:rPr>
        <w:t>Genève, 13-17 mai 2019</w:t>
      </w:r>
    </w:p>
    <w:p w14:paraId="2A8180B9" w14:textId="77777777" w:rsidR="00E42461" w:rsidRPr="00022433" w:rsidRDefault="00E42461" w:rsidP="00E42461">
      <w:pPr>
        <w:tabs>
          <w:tab w:val="left" w:pos="6915"/>
        </w:tabs>
        <w:kinsoku/>
        <w:overflowPunct/>
        <w:autoSpaceDE/>
        <w:autoSpaceDN/>
        <w:adjustRightInd/>
        <w:snapToGrid/>
        <w:rPr>
          <w:rFonts w:eastAsia="MS Mincho"/>
          <w:bCs/>
        </w:rPr>
      </w:pPr>
      <w:r w:rsidRPr="00022433">
        <w:rPr>
          <w:rFonts w:eastAsia="Yu Mincho"/>
          <w:lang w:val="fr-FR"/>
        </w:rPr>
        <w:t>Point 2 de l</w:t>
      </w:r>
      <w:r w:rsidR="00382F02">
        <w:rPr>
          <w:rFonts w:eastAsia="Yu Mincho"/>
          <w:lang w:val="fr-FR"/>
        </w:rPr>
        <w:t>’</w:t>
      </w:r>
      <w:r w:rsidRPr="00022433">
        <w:rPr>
          <w:rFonts w:eastAsia="Yu Mincho"/>
          <w:lang w:val="fr-FR"/>
        </w:rPr>
        <w:t>ordre du jour provisoire</w:t>
      </w:r>
    </w:p>
    <w:p w14:paraId="45340017" w14:textId="77777777" w:rsidR="00E42461" w:rsidRDefault="00E42461" w:rsidP="00E42461">
      <w:pPr>
        <w:spacing w:line="240" w:lineRule="exact"/>
      </w:pPr>
      <w:r w:rsidRPr="00022433">
        <w:rPr>
          <w:rFonts w:eastAsia="Yu Mincho"/>
          <w:b/>
          <w:bCs/>
          <w:lang w:val="fr-FR"/>
        </w:rPr>
        <w:t xml:space="preserve">Règlement technique mondial ONU </w:t>
      </w:r>
      <w:r w:rsidRPr="00E42461">
        <w:rPr>
          <w:rFonts w:eastAsia="MS Mincho"/>
          <w:b/>
          <w:bCs/>
          <w:szCs w:val="22"/>
          <w:lang w:val="fr-FR"/>
        </w:rPr>
        <w:t>n</w:t>
      </w:r>
      <w:r w:rsidRPr="00E42461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rFonts w:eastAsia="Yu Mincho"/>
          <w:b/>
          <w:bCs/>
          <w:lang w:val="fr-FR"/>
        </w:rPr>
        <w:t> </w:t>
      </w:r>
      <w:r w:rsidRPr="00022433">
        <w:rPr>
          <w:rFonts w:eastAsia="Yu Mincho"/>
          <w:b/>
          <w:bCs/>
          <w:lang w:val="fr-FR"/>
        </w:rPr>
        <w:t>7 (Appuie-tête)</w:t>
      </w:r>
    </w:p>
    <w:p w14:paraId="76F445BF" w14:textId="77777777" w:rsidR="00C97A62" w:rsidRPr="00022433" w:rsidRDefault="00C97A62" w:rsidP="00C97A62">
      <w:pPr>
        <w:pStyle w:val="HChG"/>
        <w:rPr>
          <w:bCs/>
        </w:rPr>
      </w:pPr>
      <w:r w:rsidRPr="00022433">
        <w:rPr>
          <w:lang w:val="fr-FR"/>
        </w:rPr>
        <w:tab/>
      </w:r>
      <w:r w:rsidRPr="00022433">
        <w:rPr>
          <w:lang w:val="fr-FR"/>
        </w:rPr>
        <w:tab/>
        <w:t>Proposition d</w:t>
      </w:r>
      <w:r w:rsidR="00382F02">
        <w:rPr>
          <w:lang w:val="fr-FR"/>
        </w:rPr>
        <w:t>’</w:t>
      </w:r>
      <w:r w:rsidRPr="00022433">
        <w:rPr>
          <w:lang w:val="fr-FR"/>
        </w:rPr>
        <w:t xml:space="preserve">amendement 1 </w:t>
      </w:r>
      <w:r>
        <w:rPr>
          <w:lang w:val="fr-FR"/>
        </w:rPr>
        <w:t xml:space="preserve">(phase 2) </w:t>
      </w:r>
      <w:r w:rsidRPr="00022433">
        <w:rPr>
          <w:lang w:val="fr-FR"/>
        </w:rPr>
        <w:t xml:space="preserve">au Règlement </w:t>
      </w:r>
      <w:proofErr w:type="gramStart"/>
      <w:r w:rsidRPr="00022433">
        <w:rPr>
          <w:lang w:val="fr-FR"/>
        </w:rPr>
        <w:t>technique</w:t>
      </w:r>
      <w:proofErr w:type="gramEnd"/>
      <w:r w:rsidRPr="00022433">
        <w:rPr>
          <w:lang w:val="fr-FR"/>
        </w:rPr>
        <w:t xml:space="preserve"> mondial ONU </w:t>
      </w:r>
      <w:r w:rsidRPr="00C97A62">
        <w:rPr>
          <w:rFonts w:eastAsia="MS Mincho"/>
          <w:szCs w:val="22"/>
          <w:lang w:val="fr-FR"/>
        </w:rPr>
        <w:t>n</w:t>
      </w:r>
      <w:r w:rsidRPr="00C97A6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022433">
        <w:rPr>
          <w:lang w:val="fr-FR"/>
        </w:rPr>
        <w:t>7 (Appuie-tête)</w:t>
      </w:r>
      <w:bookmarkStart w:id="1" w:name="_Hlk1143962"/>
      <w:bookmarkEnd w:id="1"/>
    </w:p>
    <w:p w14:paraId="1424B6F6" w14:textId="77777777" w:rsidR="00C97A62" w:rsidRPr="00022433" w:rsidRDefault="00C97A62" w:rsidP="00C97A62">
      <w:pPr>
        <w:pStyle w:val="H1G"/>
        <w:rPr>
          <w:rFonts w:eastAsia="MS Mincho"/>
        </w:rPr>
      </w:pPr>
      <w:bookmarkStart w:id="2" w:name="_Hlk1574197"/>
      <w:r w:rsidRPr="00022433">
        <w:rPr>
          <w:lang w:val="fr-FR"/>
        </w:rPr>
        <w:tab/>
      </w:r>
      <w:r w:rsidRPr="00022433">
        <w:rPr>
          <w:lang w:val="fr-FR"/>
        </w:rPr>
        <w:tab/>
        <w:t>Communication de l</w:t>
      </w:r>
      <w:r w:rsidR="00382F02">
        <w:rPr>
          <w:lang w:val="fr-FR"/>
        </w:rPr>
        <w:t>’</w:t>
      </w:r>
      <w:r w:rsidRPr="00022433">
        <w:rPr>
          <w:lang w:val="fr-FR"/>
        </w:rPr>
        <w:t>expert de l</w:t>
      </w:r>
      <w:r w:rsidR="00382F02">
        <w:rPr>
          <w:lang w:val="fr-FR"/>
        </w:rPr>
        <w:t>’</w:t>
      </w:r>
      <w:r w:rsidRPr="00022433">
        <w:rPr>
          <w:lang w:val="fr-FR"/>
        </w:rPr>
        <w:t>Association européenne</w:t>
      </w:r>
      <w:r>
        <w:rPr>
          <w:lang w:val="fr-FR"/>
        </w:rPr>
        <w:br/>
      </w:r>
      <w:r w:rsidRPr="00022433">
        <w:rPr>
          <w:lang w:val="fr-FR"/>
        </w:rPr>
        <w:t>des fournisseurs de l</w:t>
      </w:r>
      <w:r w:rsidR="00382F02">
        <w:rPr>
          <w:lang w:val="fr-FR"/>
        </w:rPr>
        <w:t>’</w:t>
      </w:r>
      <w:r w:rsidRPr="00022433">
        <w:rPr>
          <w:lang w:val="fr-FR"/>
        </w:rPr>
        <w:t>automobile</w:t>
      </w:r>
      <w:r w:rsidRPr="00C97A62">
        <w:rPr>
          <w:b w:val="0"/>
          <w:sz w:val="20"/>
          <w:lang w:val="fr-FR"/>
        </w:rPr>
        <w:footnoteReference w:customMarkFollows="1" w:id="2"/>
        <w:t>*</w:t>
      </w:r>
    </w:p>
    <w:p w14:paraId="5F8BB788" w14:textId="77777777" w:rsidR="00F9573C" w:rsidRDefault="00C97A62" w:rsidP="00C97A62">
      <w:pPr>
        <w:pStyle w:val="SingleTxtG"/>
        <w:ind w:firstLine="567"/>
        <w:rPr>
          <w:lang w:val="fr-FR"/>
        </w:rPr>
      </w:pPr>
      <w:r w:rsidRPr="00022433">
        <w:rPr>
          <w:lang w:val="fr-FR"/>
        </w:rPr>
        <w:t>Le texte ci-après a été établi par l</w:t>
      </w:r>
      <w:r w:rsidR="00382F02">
        <w:rPr>
          <w:lang w:val="fr-FR"/>
        </w:rPr>
        <w:t>’</w:t>
      </w:r>
      <w:r w:rsidRPr="00022433">
        <w:rPr>
          <w:lang w:val="fr-FR"/>
        </w:rPr>
        <w:t>expert de l</w:t>
      </w:r>
      <w:r w:rsidR="00382F02">
        <w:rPr>
          <w:lang w:val="fr-FR"/>
        </w:rPr>
        <w:t>’</w:t>
      </w:r>
      <w:r w:rsidRPr="00022433">
        <w:rPr>
          <w:lang w:val="fr-FR"/>
        </w:rPr>
        <w:t>Association européenne des fournisseurs de l</w:t>
      </w:r>
      <w:r w:rsidR="00382F02">
        <w:rPr>
          <w:lang w:val="fr-FR"/>
        </w:rPr>
        <w:t>’</w:t>
      </w:r>
      <w:r w:rsidRPr="00022433">
        <w:rPr>
          <w:lang w:val="fr-FR"/>
        </w:rPr>
        <w:t xml:space="preserve">automobile (CLEPA) </w:t>
      </w:r>
      <w:r>
        <w:rPr>
          <w:lang w:val="fr-FR"/>
        </w:rPr>
        <w:t xml:space="preserve">en vue de </w:t>
      </w:r>
      <w:r w:rsidRPr="00022433">
        <w:rPr>
          <w:lang w:val="fr-FR"/>
        </w:rPr>
        <w:t>modifier l</w:t>
      </w:r>
      <w:r w:rsidR="00382F02">
        <w:rPr>
          <w:lang w:val="fr-FR"/>
        </w:rPr>
        <w:t>’</w:t>
      </w:r>
      <w:r w:rsidRPr="00022433">
        <w:rPr>
          <w:lang w:val="fr-FR"/>
        </w:rPr>
        <w:t xml:space="preserve">option </w:t>
      </w:r>
      <w:r>
        <w:rPr>
          <w:lang w:val="fr-FR"/>
        </w:rPr>
        <w:t>d</w:t>
      </w:r>
      <w:r w:rsidR="00382F02">
        <w:rPr>
          <w:lang w:val="fr-FR"/>
        </w:rPr>
        <w:t>’</w:t>
      </w:r>
      <w:r>
        <w:rPr>
          <w:lang w:val="fr-FR"/>
        </w:rPr>
        <w:t xml:space="preserve">essai </w:t>
      </w:r>
      <w:r w:rsidRPr="00022433">
        <w:rPr>
          <w:lang w:val="fr-FR"/>
        </w:rPr>
        <w:t>dynamique de la proposition d</w:t>
      </w:r>
      <w:r w:rsidR="00382F02">
        <w:rPr>
          <w:lang w:val="fr-FR"/>
        </w:rPr>
        <w:t>’</w:t>
      </w:r>
      <w:r w:rsidRPr="00022433">
        <w:rPr>
          <w:lang w:val="fr-FR"/>
        </w:rPr>
        <w:t xml:space="preserve">amendement 1 </w:t>
      </w:r>
      <w:r>
        <w:rPr>
          <w:lang w:val="fr-FR"/>
        </w:rPr>
        <w:t>a</w:t>
      </w:r>
      <w:r w:rsidRPr="00022433">
        <w:rPr>
          <w:lang w:val="fr-FR"/>
        </w:rPr>
        <w:t xml:space="preserve">u Règlement technique mondial </w:t>
      </w:r>
      <w:r>
        <w:rPr>
          <w:lang w:val="fr-FR"/>
        </w:rPr>
        <w:t xml:space="preserve">ONU </w:t>
      </w:r>
      <w:r w:rsidRPr="00C97A62">
        <w:rPr>
          <w:rFonts w:eastAsia="MS Mincho"/>
          <w:szCs w:val="22"/>
          <w:lang w:val="fr-FR"/>
        </w:rPr>
        <w:t>n</w:t>
      </w:r>
      <w:r w:rsidRPr="00C97A6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022433">
        <w:rPr>
          <w:lang w:val="fr-FR"/>
        </w:rPr>
        <w:t>7 présenté</w:t>
      </w:r>
      <w:r>
        <w:rPr>
          <w:lang w:val="fr-FR"/>
        </w:rPr>
        <w:t>e</w:t>
      </w:r>
      <w:r w:rsidRPr="00022433">
        <w:rPr>
          <w:lang w:val="fr-FR"/>
        </w:rPr>
        <w:t xml:space="preserve"> par le </w:t>
      </w:r>
      <w:r>
        <w:rPr>
          <w:lang w:val="fr-FR"/>
        </w:rPr>
        <w:t>g</w:t>
      </w:r>
      <w:r w:rsidRPr="00022433">
        <w:rPr>
          <w:lang w:val="fr-FR"/>
        </w:rPr>
        <w:t xml:space="preserve">roupe de travail informel </w:t>
      </w:r>
      <w:r>
        <w:rPr>
          <w:lang w:val="fr-FR"/>
        </w:rPr>
        <w:t>chargé de</w:t>
      </w:r>
      <w:r w:rsidRPr="00022433">
        <w:rPr>
          <w:lang w:val="fr-FR"/>
        </w:rPr>
        <w:t xml:space="preserve"> la phase</w:t>
      </w:r>
      <w:r>
        <w:rPr>
          <w:lang w:val="fr-FR"/>
        </w:rPr>
        <w:t> </w:t>
      </w:r>
      <w:r w:rsidRPr="00022433">
        <w:rPr>
          <w:lang w:val="fr-FR"/>
        </w:rPr>
        <w:t xml:space="preserve">2 du RTM ONU </w:t>
      </w:r>
      <w:r w:rsidRPr="00C97A62">
        <w:rPr>
          <w:rFonts w:eastAsia="MS Mincho"/>
          <w:szCs w:val="22"/>
          <w:lang w:val="fr-FR"/>
        </w:rPr>
        <w:t>n</w:t>
      </w:r>
      <w:r w:rsidRPr="00C97A6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022433">
        <w:rPr>
          <w:lang w:val="fr-FR"/>
        </w:rPr>
        <w:t>7 (ECE/TRANS/</w:t>
      </w:r>
      <w:r w:rsidR="00A91F16">
        <w:rPr>
          <w:lang w:val="fr-FR"/>
        </w:rPr>
        <w:t xml:space="preserve"> </w:t>
      </w:r>
      <w:r w:rsidRPr="00022433">
        <w:rPr>
          <w:lang w:val="fr-FR"/>
        </w:rPr>
        <w:t>GRSP/2018/27). Il est fondé sur le document informel GRSP-64-44 distribué à la soixante</w:t>
      </w:r>
      <w:r w:rsidR="00A91F16">
        <w:rPr>
          <w:lang w:val="fr-FR"/>
        </w:rPr>
        <w:noBreakHyphen/>
      </w:r>
      <w:r w:rsidRPr="00022433">
        <w:rPr>
          <w:lang w:val="fr-FR"/>
        </w:rPr>
        <w:t>quatrième session du Groupe de travail de la sécurité passive (GRSP). Les modifications qu</w:t>
      </w:r>
      <w:r w:rsidR="00382F02">
        <w:rPr>
          <w:lang w:val="fr-FR"/>
        </w:rPr>
        <w:t>’</w:t>
      </w:r>
      <w:r w:rsidRPr="00022433">
        <w:rPr>
          <w:lang w:val="fr-FR"/>
        </w:rPr>
        <w:t>il est proposé d</w:t>
      </w:r>
      <w:r w:rsidR="00382F02">
        <w:rPr>
          <w:lang w:val="fr-FR"/>
        </w:rPr>
        <w:t>’</w:t>
      </w:r>
      <w:r w:rsidRPr="00022433">
        <w:rPr>
          <w:lang w:val="fr-FR"/>
        </w:rPr>
        <w:t>apporter au texte du document ECE/TRANS/GRSP/</w:t>
      </w:r>
      <w:r w:rsidR="00A91F16">
        <w:rPr>
          <w:lang w:val="fr-FR"/>
        </w:rPr>
        <w:t xml:space="preserve"> </w:t>
      </w:r>
      <w:r w:rsidRPr="00022433">
        <w:rPr>
          <w:lang w:val="fr-FR"/>
        </w:rPr>
        <w:t>2018/27 apparaissent en caractères gras ou biffés.</w:t>
      </w:r>
      <w:bookmarkEnd w:id="2"/>
    </w:p>
    <w:p w14:paraId="0E0CD724" w14:textId="77777777" w:rsidR="001C0824" w:rsidRPr="00022433" w:rsidRDefault="00A91F16" w:rsidP="001C0824">
      <w:pPr>
        <w:pStyle w:val="HChG"/>
      </w:pPr>
      <w:r>
        <w:br w:type="page"/>
      </w:r>
      <w:r w:rsidR="001C0824">
        <w:lastRenderedPageBreak/>
        <w:tab/>
      </w:r>
      <w:r w:rsidR="001C0824" w:rsidRPr="00022433">
        <w:rPr>
          <w:lang w:val="fr-FR"/>
        </w:rPr>
        <w:t>I.</w:t>
      </w:r>
      <w:r w:rsidR="001C0824" w:rsidRPr="00022433">
        <w:rPr>
          <w:lang w:val="fr-FR"/>
        </w:rPr>
        <w:tab/>
        <w:t>Proposition</w:t>
      </w:r>
    </w:p>
    <w:p w14:paraId="1DA647C9" w14:textId="77777777" w:rsidR="001C0824" w:rsidRPr="00022433" w:rsidRDefault="001C0824" w:rsidP="001C0824">
      <w:pPr>
        <w:pStyle w:val="SingleTxtG"/>
        <w:rPr>
          <w:iCs/>
        </w:rPr>
      </w:pPr>
      <w:r w:rsidRPr="001C0824">
        <w:rPr>
          <w:i/>
          <w:lang w:val="fr-FR"/>
        </w:rPr>
        <w:t>Paragraphe 3.17</w:t>
      </w:r>
      <w:r w:rsidRPr="00022433">
        <w:rPr>
          <w:lang w:val="fr-FR"/>
        </w:rPr>
        <w:t>, lire</w:t>
      </w:r>
      <w:r w:rsidR="002E592C">
        <w:rPr>
          <w:lang w:val="fr-FR"/>
        </w:rPr>
        <w:t> </w:t>
      </w:r>
      <w:r w:rsidRPr="00022433">
        <w:rPr>
          <w:lang w:val="fr-FR"/>
        </w:rPr>
        <w:t>:</w:t>
      </w:r>
    </w:p>
    <w:p w14:paraId="0F1CBD58" w14:textId="77777777" w:rsidR="001C0824" w:rsidRPr="00022433" w:rsidRDefault="001C0824" w:rsidP="001C0824">
      <w:pPr>
        <w:pStyle w:val="SingleTxtG"/>
        <w:ind w:left="2268" w:hanging="1134"/>
        <w:rPr>
          <w:bCs/>
        </w:rPr>
      </w:pPr>
      <w:r>
        <w:rPr>
          <w:bCs/>
        </w:rPr>
        <w:t>« </w:t>
      </w:r>
      <w:r w:rsidRPr="00022433">
        <w:rPr>
          <w:bCs/>
        </w:rPr>
        <w:t>3.17</w:t>
      </w:r>
      <w:r w:rsidRPr="00022433">
        <w:rPr>
          <w:lang w:val="fr-FR"/>
        </w:rPr>
        <w:tab/>
      </w:r>
      <w:r>
        <w:rPr>
          <w:lang w:val="fr-FR"/>
        </w:rPr>
        <w:t xml:space="preserve">Par </w:t>
      </w:r>
      <w:r w:rsidRPr="00022433">
        <w:rPr>
          <w:lang w:val="fr-FR"/>
        </w:rPr>
        <w:t>“</w:t>
      </w:r>
      <w:r>
        <w:rPr>
          <w:lang w:val="fr-FR"/>
        </w:rPr>
        <w:t>r</w:t>
      </w:r>
      <w:r w:rsidRPr="00022433">
        <w:rPr>
          <w:lang w:val="fr-FR"/>
        </w:rPr>
        <w:t>ebond”,</w:t>
      </w:r>
      <w:r w:rsidRPr="0059348E">
        <w:rPr>
          <w:lang w:val="fr-FR"/>
        </w:rPr>
        <w:t xml:space="preserve"> on entend </w:t>
      </w:r>
      <w:r w:rsidRPr="0051322D">
        <w:rPr>
          <w:strike/>
          <w:lang w:val="fr-FR"/>
        </w:rPr>
        <w:t>que la tête a rebondi après avoir heurté l</w:t>
      </w:r>
      <w:r w:rsidR="00382F02">
        <w:rPr>
          <w:strike/>
          <w:lang w:val="fr-FR"/>
        </w:rPr>
        <w:t>’</w:t>
      </w:r>
      <w:r w:rsidRPr="0051322D">
        <w:rPr>
          <w:strike/>
          <w:lang w:val="fr-FR"/>
        </w:rPr>
        <w:t>appuie-tête</w:t>
      </w:r>
      <w:r w:rsidRPr="00022433">
        <w:rPr>
          <w:strike/>
          <w:lang w:val="fr-FR"/>
        </w:rPr>
        <w:t xml:space="preserve">. </w:t>
      </w:r>
      <w:proofErr w:type="gramStart"/>
      <w:r w:rsidRPr="000D271F">
        <w:rPr>
          <w:b/>
          <w:lang w:val="fr-FR"/>
        </w:rPr>
        <w:t>le</w:t>
      </w:r>
      <w:proofErr w:type="gramEnd"/>
      <w:r w:rsidRPr="000D271F">
        <w:rPr>
          <w:b/>
          <w:lang w:val="fr-FR"/>
        </w:rPr>
        <w:t xml:space="preserve"> mouvement que fait la tête après avoir </w:t>
      </w:r>
      <w:r w:rsidRPr="000D271F">
        <w:rPr>
          <w:rFonts w:eastAsia="Times New Roman"/>
          <w:b/>
          <w:lang w:val="fr-FR"/>
        </w:rPr>
        <w:t xml:space="preserve">perdu le contact avec </w:t>
      </w:r>
      <w:r w:rsidRPr="000D271F">
        <w:rPr>
          <w:b/>
          <w:lang w:val="fr-FR"/>
        </w:rPr>
        <w:t>l</w:t>
      </w:r>
      <w:r w:rsidR="00382F02" w:rsidRPr="000D271F">
        <w:rPr>
          <w:b/>
          <w:lang w:val="fr-FR"/>
        </w:rPr>
        <w:t>’</w:t>
      </w:r>
      <w:proofErr w:type="spellStart"/>
      <w:r w:rsidRPr="000D271F">
        <w:rPr>
          <w:b/>
          <w:lang w:val="fr-FR"/>
        </w:rPr>
        <w:t>appuie</w:t>
      </w:r>
      <w:proofErr w:type="spellEnd"/>
      <w:r w:rsidR="00B66E32">
        <w:rPr>
          <w:b/>
          <w:lang w:val="fr-FR"/>
        </w:rPr>
        <w:noBreakHyphen/>
      </w:r>
      <w:r w:rsidRPr="000D271F">
        <w:rPr>
          <w:b/>
          <w:lang w:val="fr-FR"/>
        </w:rPr>
        <w:t>tête aux instants ultérieurs à T-HRC(end)</w:t>
      </w:r>
      <w:r w:rsidRPr="00022433">
        <w:rPr>
          <w:lang w:val="fr-FR"/>
        </w:rPr>
        <w:t>.</w:t>
      </w:r>
      <w:r>
        <w:rPr>
          <w:lang w:val="fr-FR"/>
        </w:rPr>
        <w:t> ».</w:t>
      </w:r>
    </w:p>
    <w:p w14:paraId="5C988BD8" w14:textId="77777777" w:rsidR="001C0824" w:rsidRPr="00022433" w:rsidRDefault="001C0824" w:rsidP="001C0824">
      <w:pPr>
        <w:pStyle w:val="SingleTxtG"/>
        <w:rPr>
          <w:rFonts w:eastAsia="Yu Mincho"/>
          <w:iCs/>
        </w:rPr>
      </w:pPr>
      <w:r w:rsidRPr="0051322D">
        <w:rPr>
          <w:rFonts w:eastAsia="Yu Mincho"/>
          <w:i/>
          <w:lang w:val="fr-FR"/>
        </w:rPr>
        <w:t>Ajouter le nouveau paragraphe 3.18</w:t>
      </w:r>
      <w:r w:rsidRPr="00022433">
        <w:rPr>
          <w:rFonts w:eastAsia="Yu Mincho"/>
          <w:lang w:val="fr-FR"/>
        </w:rPr>
        <w:t>, libellé comme suit :</w:t>
      </w:r>
    </w:p>
    <w:p w14:paraId="6339C41E" w14:textId="77777777" w:rsidR="001C0824" w:rsidRPr="00022433" w:rsidRDefault="002E592C" w:rsidP="001C0824">
      <w:pPr>
        <w:pStyle w:val="SingleTxtG"/>
        <w:ind w:left="2268" w:hanging="1134"/>
        <w:rPr>
          <w:rFonts w:eastAsia="Yu Mincho"/>
          <w:bCs/>
        </w:rPr>
      </w:pPr>
      <w:r>
        <w:rPr>
          <w:rFonts w:eastAsia="Yu Mincho"/>
          <w:bCs/>
        </w:rPr>
        <w:t>« </w:t>
      </w:r>
      <w:r w:rsidR="001C0824" w:rsidRPr="00022433">
        <w:rPr>
          <w:rFonts w:eastAsia="Yu Mincho"/>
          <w:bCs/>
        </w:rPr>
        <w:t>3.18</w:t>
      </w:r>
      <w:r w:rsidR="001C0824" w:rsidRPr="00022433">
        <w:rPr>
          <w:rFonts w:eastAsia="Yu Mincho"/>
          <w:lang w:val="fr-FR"/>
        </w:rPr>
        <w:tab/>
      </w:r>
      <w:r w:rsidRPr="00022433">
        <w:rPr>
          <w:lang w:val="fr-FR"/>
        </w:rPr>
        <w:t>“</w:t>
      </w:r>
      <w:r w:rsidR="001C0824" w:rsidRPr="00022433">
        <w:rPr>
          <w:rFonts w:eastAsia="Yu Mincho"/>
          <w:b/>
          <w:lang w:val="fr-FR"/>
        </w:rPr>
        <w:t>Soutien latéral</w:t>
      </w:r>
      <w:r w:rsidRPr="00022433">
        <w:rPr>
          <w:lang w:val="fr-FR"/>
        </w:rPr>
        <w:t>”</w:t>
      </w:r>
      <w:r w:rsidR="001C0824" w:rsidRPr="00022433">
        <w:rPr>
          <w:rFonts w:eastAsia="Yu Mincho"/>
          <w:b/>
          <w:lang w:val="fr-FR"/>
        </w:rPr>
        <w:t>, les éléments d</w:t>
      </w:r>
      <w:r w:rsidR="00382F02">
        <w:rPr>
          <w:rFonts w:eastAsia="Yu Mincho"/>
          <w:b/>
          <w:lang w:val="fr-FR"/>
        </w:rPr>
        <w:t>’</w:t>
      </w:r>
      <w:r w:rsidR="001C0824" w:rsidRPr="00022433">
        <w:rPr>
          <w:rFonts w:eastAsia="Yu Mincho"/>
          <w:b/>
          <w:lang w:val="fr-FR"/>
        </w:rPr>
        <w:t>assise réglables situés sur les côtés de l</w:t>
      </w:r>
      <w:r w:rsidR="00382F02">
        <w:rPr>
          <w:rFonts w:eastAsia="Yu Mincho"/>
          <w:b/>
          <w:lang w:val="fr-FR"/>
        </w:rPr>
        <w:t>’</w:t>
      </w:r>
      <w:r w:rsidR="001C0824" w:rsidRPr="00022433">
        <w:rPr>
          <w:rFonts w:eastAsia="Yu Mincho"/>
          <w:b/>
          <w:lang w:val="fr-FR"/>
        </w:rPr>
        <w:t>assise du siège et/ou du dossier du siège</w:t>
      </w:r>
      <w:r w:rsidR="001C0824">
        <w:rPr>
          <w:rFonts w:eastAsia="Yu Mincho"/>
          <w:b/>
          <w:lang w:val="fr-FR"/>
        </w:rPr>
        <w:t>,</w:t>
      </w:r>
      <w:r w:rsidR="001C0824" w:rsidRPr="00022433">
        <w:rPr>
          <w:rFonts w:eastAsia="Yu Mincho"/>
          <w:b/>
          <w:lang w:val="fr-FR"/>
        </w:rPr>
        <w:t xml:space="preserve"> </w:t>
      </w:r>
      <w:r w:rsidR="001C0824">
        <w:rPr>
          <w:rFonts w:eastAsia="Yu Mincho"/>
          <w:b/>
          <w:lang w:val="fr-FR"/>
        </w:rPr>
        <w:t xml:space="preserve">offrant un soutien </w:t>
      </w:r>
      <w:r w:rsidR="001C0824" w:rsidRPr="00022433">
        <w:rPr>
          <w:rFonts w:eastAsia="Yu Mincho"/>
          <w:b/>
          <w:lang w:val="fr-FR"/>
        </w:rPr>
        <w:t xml:space="preserve">latéral </w:t>
      </w:r>
      <w:r w:rsidR="001C0824">
        <w:rPr>
          <w:rFonts w:eastAsia="Yu Mincho"/>
          <w:b/>
          <w:lang w:val="fr-FR"/>
        </w:rPr>
        <w:t xml:space="preserve">à son </w:t>
      </w:r>
      <w:r w:rsidR="001C0824" w:rsidRPr="00022433">
        <w:rPr>
          <w:rFonts w:eastAsia="Yu Mincho"/>
          <w:b/>
          <w:lang w:val="fr-FR"/>
        </w:rPr>
        <w:t>occupant</w:t>
      </w:r>
      <w:r w:rsidR="001C0824">
        <w:rPr>
          <w:rFonts w:eastAsia="Yu Mincho"/>
          <w:b/>
          <w:lang w:val="fr-FR"/>
        </w:rPr>
        <w:t>.</w:t>
      </w:r>
      <w:r w:rsidRPr="002E592C">
        <w:rPr>
          <w:rFonts w:eastAsia="Yu Mincho"/>
          <w:lang w:val="fr-FR"/>
        </w:rPr>
        <w:t> »</w:t>
      </w:r>
      <w:r w:rsidR="001C0824" w:rsidRPr="002E592C">
        <w:rPr>
          <w:rFonts w:eastAsia="Yu Mincho"/>
          <w:lang w:val="fr-FR"/>
        </w:rPr>
        <w:t>.</w:t>
      </w:r>
    </w:p>
    <w:p w14:paraId="3A25AD42" w14:textId="77777777" w:rsidR="001C0824" w:rsidRPr="00022433" w:rsidRDefault="001C0824" w:rsidP="002E592C">
      <w:pPr>
        <w:pStyle w:val="SingleTxtG"/>
        <w:rPr>
          <w:rFonts w:eastAsia="Yu Mincho"/>
          <w:i/>
        </w:rPr>
      </w:pPr>
      <w:r w:rsidRPr="0051322D">
        <w:rPr>
          <w:rFonts w:eastAsia="Yu Mincho"/>
          <w:i/>
          <w:lang w:val="fr-FR"/>
        </w:rPr>
        <w:t>Paragraphe 5.3.3.2</w:t>
      </w:r>
      <w:r w:rsidRPr="00022433">
        <w:rPr>
          <w:rFonts w:eastAsia="Yu Mincho"/>
          <w:lang w:val="fr-FR"/>
        </w:rPr>
        <w:t>, lire :</w:t>
      </w:r>
    </w:p>
    <w:p w14:paraId="52748834" w14:textId="77777777" w:rsidR="001C0824" w:rsidRPr="00022433" w:rsidRDefault="002E592C" w:rsidP="001C0824">
      <w:pPr>
        <w:pStyle w:val="SingleTxtG"/>
        <w:ind w:left="2268" w:hanging="1134"/>
        <w:rPr>
          <w:rFonts w:eastAsia="MS Gothic"/>
          <w:b/>
        </w:rPr>
      </w:pPr>
      <w:r>
        <w:rPr>
          <w:rFonts w:eastAsia="Yu Mincho"/>
          <w:lang w:val="fr-FR"/>
        </w:rPr>
        <w:t>« </w:t>
      </w:r>
      <w:r w:rsidR="001C0824" w:rsidRPr="00022433">
        <w:rPr>
          <w:rFonts w:eastAsia="Yu Mincho"/>
          <w:b/>
          <w:lang w:val="fr-FR"/>
        </w:rPr>
        <w:t>5.3.3.2</w:t>
      </w:r>
      <w:r w:rsidR="001C0824" w:rsidRPr="00022433">
        <w:rPr>
          <w:rFonts w:eastAsia="Yu Mincho"/>
          <w:b/>
          <w:lang w:val="fr-FR"/>
        </w:rPr>
        <w:tab/>
      </w:r>
      <w:r w:rsidR="001C0824" w:rsidRPr="00022433">
        <w:rPr>
          <w:rFonts w:eastAsia="Yu Mincho"/>
          <w:b/>
          <w:bCs/>
          <w:lang w:val="fr-FR"/>
        </w:rPr>
        <w:t>Critères d</w:t>
      </w:r>
      <w:r w:rsidR="00382F02">
        <w:rPr>
          <w:rFonts w:eastAsia="Yu Mincho"/>
          <w:b/>
          <w:bCs/>
          <w:lang w:val="fr-FR"/>
        </w:rPr>
        <w:t>’</w:t>
      </w:r>
      <w:r w:rsidR="001C0824" w:rsidRPr="00022433">
        <w:rPr>
          <w:rFonts w:eastAsia="Yu Mincho"/>
          <w:b/>
          <w:bCs/>
          <w:lang w:val="fr-FR"/>
        </w:rPr>
        <w:t>évaluation</w:t>
      </w:r>
    </w:p>
    <w:p w14:paraId="5B9A1AD1" w14:textId="77777777" w:rsidR="00A91F16" w:rsidRDefault="001C0824" w:rsidP="002E592C">
      <w:pPr>
        <w:pStyle w:val="SingleTxtG"/>
        <w:ind w:left="2268"/>
        <w:rPr>
          <w:rFonts w:eastAsia="Yu Mincho"/>
          <w:b/>
          <w:lang w:val="fr-FR"/>
        </w:rPr>
      </w:pPr>
      <w:r w:rsidRPr="00022433">
        <w:rPr>
          <w:rFonts w:eastAsia="Yu Mincho"/>
          <w:b/>
          <w:lang w:val="fr-FR"/>
        </w:rPr>
        <w:t>Tout appuie-tête doit permettre de contrôler le mouvement de la tête et du cou dans les limites suivantes :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3"/>
        <w:gridCol w:w="1960"/>
        <w:gridCol w:w="3478"/>
      </w:tblGrid>
      <w:tr w:rsidR="00E86E80" w:rsidRPr="00E86E80" w14:paraId="1986348A" w14:textId="77777777" w:rsidTr="00757BAE">
        <w:trPr>
          <w:cantSplit/>
          <w:tblHeader/>
        </w:trPr>
        <w:tc>
          <w:tcPr>
            <w:tcW w:w="3893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39B4B" w14:textId="77777777" w:rsidR="00382F02" w:rsidRPr="00E86E80" w:rsidRDefault="00382F02" w:rsidP="0076180B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en-US"/>
              </w:rPr>
            </w:pPr>
            <w:r w:rsidRPr="00E86E80">
              <w:rPr>
                <w:i/>
                <w:sz w:val="16"/>
                <w:lang w:val="fr-FR"/>
              </w:rPr>
              <w:t>Critères relatifs aux blessures</w:t>
            </w:r>
          </w:p>
        </w:tc>
        <w:tc>
          <w:tcPr>
            <w:tcW w:w="3478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95E25" w14:textId="77777777" w:rsidR="00382F02" w:rsidRPr="00E86E80" w:rsidRDefault="00382F02" w:rsidP="00866EA5">
            <w:pPr>
              <w:suppressAutoHyphens w:val="0"/>
              <w:spacing w:before="80" w:after="80" w:line="200" w:lineRule="exact"/>
              <w:ind w:left="57" w:right="57"/>
              <w:rPr>
                <w:i/>
                <w:strike/>
                <w:sz w:val="16"/>
                <w:lang w:val="en-GB"/>
              </w:rPr>
            </w:pPr>
            <w:r w:rsidRPr="00E86E80">
              <w:rPr>
                <w:i/>
                <w:strike/>
                <w:sz w:val="16"/>
                <w:lang w:val="en-GB"/>
              </w:rPr>
              <w:t>AIS1</w:t>
            </w:r>
            <w:proofErr w:type="gramStart"/>
            <w:r w:rsidRPr="00E86E80">
              <w:rPr>
                <w:i/>
                <w:strike/>
                <w:sz w:val="16"/>
                <w:lang w:val="en-GB"/>
              </w:rPr>
              <w:t>+ :</w:t>
            </w:r>
            <w:proofErr w:type="gramEnd"/>
            <w:r w:rsidRPr="00E86E80">
              <w:rPr>
                <w:i/>
                <w:strike/>
                <w:sz w:val="16"/>
                <w:lang w:val="en-GB"/>
              </w:rPr>
              <w:t xml:space="preserve"> 50</w:t>
            </w:r>
            <w:r w:rsidR="00EF6ABD" w:rsidRPr="00E86E80">
              <w:rPr>
                <w:i/>
                <w:strike/>
                <w:sz w:val="16"/>
                <w:lang w:val="en-GB"/>
              </w:rPr>
              <w:t xml:space="preserve"> </w:t>
            </w:r>
            <w:r w:rsidRPr="00E86E80">
              <w:rPr>
                <w:i/>
                <w:strike/>
                <w:sz w:val="16"/>
                <w:lang w:val="en-GB"/>
              </w:rPr>
              <w:t xml:space="preserve">% </w:t>
            </w:r>
            <w:r w:rsidRPr="00E86E80">
              <w:rPr>
                <w:bCs/>
                <w:i/>
                <w:strike/>
                <w:sz w:val="16"/>
                <w:lang w:val="en-US" w:eastAsia="ja-JP"/>
              </w:rPr>
              <w:t>(Abbreviated Injury Scale)</w:t>
            </w:r>
          </w:p>
          <w:p w14:paraId="284D7960" w14:textId="77777777" w:rsidR="00382F02" w:rsidRPr="00E86E80" w:rsidRDefault="00382F02" w:rsidP="00866EA5">
            <w:pPr>
              <w:suppressAutoHyphens w:val="0"/>
              <w:spacing w:before="80" w:after="80" w:line="200" w:lineRule="exact"/>
              <w:ind w:left="57" w:right="57"/>
              <w:rPr>
                <w:i/>
                <w:strike/>
                <w:sz w:val="16"/>
                <w:lang w:val="en-GB"/>
              </w:rPr>
            </w:pPr>
            <w:r w:rsidRPr="00E86E80">
              <w:rPr>
                <w:i/>
                <w:strike/>
                <w:sz w:val="16"/>
                <w:lang w:val="en-GB"/>
              </w:rPr>
              <w:t>&lt;</w:t>
            </w:r>
            <w:proofErr w:type="spellStart"/>
            <w:r w:rsidRPr="00E86E80">
              <w:rPr>
                <w:i/>
                <w:strike/>
                <w:sz w:val="16"/>
                <w:lang w:val="en-GB"/>
              </w:rPr>
              <w:t>Équivalence</w:t>
            </w:r>
            <w:proofErr w:type="spellEnd"/>
            <w:r w:rsidRPr="00E86E80">
              <w:rPr>
                <w:i/>
                <w:strike/>
                <w:sz w:val="16"/>
                <w:lang w:val="en-GB"/>
              </w:rPr>
              <w:t>&gt;</w:t>
            </w:r>
          </w:p>
          <w:p w14:paraId="3F3619BD" w14:textId="77777777" w:rsidR="00382F02" w:rsidRPr="00E86E80" w:rsidRDefault="00382F02" w:rsidP="00866EA5">
            <w:pPr>
              <w:suppressAutoHyphens w:val="0"/>
              <w:spacing w:before="80" w:after="80" w:line="200" w:lineRule="exact"/>
              <w:ind w:left="57" w:right="57"/>
              <w:rPr>
                <w:i/>
                <w:strike/>
                <w:sz w:val="16"/>
                <w:lang w:val="en-GB"/>
              </w:rPr>
            </w:pPr>
            <w:r w:rsidRPr="00E86E80">
              <w:rPr>
                <w:i/>
                <w:strike/>
                <w:sz w:val="16"/>
                <w:lang w:val="en-GB"/>
              </w:rPr>
              <w:t>WAD2</w:t>
            </w:r>
            <w:proofErr w:type="gramStart"/>
            <w:r w:rsidRPr="00E86E80">
              <w:rPr>
                <w:i/>
                <w:strike/>
                <w:sz w:val="16"/>
                <w:lang w:val="en-GB"/>
              </w:rPr>
              <w:t>+ :</w:t>
            </w:r>
            <w:proofErr w:type="gramEnd"/>
            <w:r w:rsidRPr="00E86E80">
              <w:rPr>
                <w:i/>
                <w:strike/>
                <w:sz w:val="16"/>
                <w:lang w:val="en-GB"/>
              </w:rPr>
              <w:t xml:space="preserve"> 82,9 % </w:t>
            </w:r>
            <w:r w:rsidRPr="00E86E80">
              <w:rPr>
                <w:bCs/>
                <w:i/>
                <w:strike/>
                <w:sz w:val="16"/>
                <w:lang w:val="en-US" w:eastAsia="en-GB"/>
              </w:rPr>
              <w:t>(Whiplash Associate</w:t>
            </w:r>
            <w:r w:rsidR="00006EF8" w:rsidRPr="00E86E80">
              <w:rPr>
                <w:bCs/>
                <w:i/>
                <w:strike/>
                <w:sz w:val="16"/>
                <w:lang w:val="en-US" w:eastAsia="en-GB"/>
              </w:rPr>
              <w:t>d</w:t>
            </w:r>
            <w:r w:rsidR="00032FB5">
              <w:rPr>
                <w:bCs/>
                <w:i/>
                <w:strike/>
                <w:sz w:val="16"/>
                <w:lang w:val="en-US" w:eastAsia="en-GB"/>
              </w:rPr>
              <w:t xml:space="preserve"> Disorders</w:t>
            </w:r>
            <w:r w:rsidR="00006EF8" w:rsidRPr="00E86E80">
              <w:rPr>
                <w:bCs/>
                <w:i/>
                <w:strike/>
                <w:sz w:val="16"/>
                <w:lang w:val="en-US" w:eastAsia="en-GB"/>
              </w:rPr>
              <w:t>)</w:t>
            </w:r>
          </w:p>
        </w:tc>
      </w:tr>
      <w:tr w:rsidR="00A34810" w:rsidRPr="00E86E80" w14:paraId="7AE65005" w14:textId="77777777" w:rsidTr="00757BAE">
        <w:trPr>
          <w:cantSplit/>
          <w:tblHeader/>
        </w:trPr>
        <w:tc>
          <w:tcPr>
            <w:tcW w:w="3893" w:type="dxa"/>
            <w:gridSpan w:val="2"/>
            <w:vMerge/>
            <w:shd w:val="clear" w:color="auto" w:fill="auto"/>
            <w:vAlign w:val="bottom"/>
            <w:hideMark/>
          </w:tcPr>
          <w:p w14:paraId="4C9A538B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GB" w:eastAsia="en-GB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EB4A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trike/>
                <w:sz w:val="18"/>
                <w:szCs w:val="36"/>
                <w:lang w:val="en-US"/>
              </w:rPr>
            </w:pPr>
            <w:r w:rsidRPr="00E86E80">
              <w:rPr>
                <w:b/>
                <w:bCs/>
                <w:strike/>
                <w:sz w:val="18"/>
                <w:lang w:val="fr-FR"/>
              </w:rPr>
              <w:t>IV-NIC = 1,1</w:t>
            </w:r>
          </w:p>
        </w:tc>
      </w:tr>
      <w:tr w:rsidR="00E86E80" w:rsidRPr="00E86E80" w14:paraId="19A752D8" w14:textId="77777777" w:rsidTr="00757BAE">
        <w:trPr>
          <w:cantSplit/>
        </w:trPr>
        <w:tc>
          <w:tcPr>
            <w:tcW w:w="389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8BD5C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US"/>
              </w:rPr>
            </w:pPr>
            <w:r w:rsidRPr="00E86E80">
              <w:rPr>
                <w:sz w:val="18"/>
                <w:lang w:val="fr-FR"/>
              </w:rPr>
              <w:t>NIC Max</w:t>
            </w:r>
          </w:p>
        </w:tc>
        <w:tc>
          <w:tcPr>
            <w:tcW w:w="34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561D7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US"/>
              </w:rPr>
            </w:pPr>
            <w:r w:rsidRPr="00E86E80">
              <w:rPr>
                <w:b/>
                <w:bCs/>
                <w:sz w:val="18"/>
                <w:lang w:val="fr-FR"/>
              </w:rPr>
              <w:t>28 m</w:t>
            </w:r>
            <w:r w:rsidRPr="00E86E80">
              <w:rPr>
                <w:b/>
                <w:bCs/>
                <w:sz w:val="18"/>
                <w:vertAlign w:val="superscript"/>
                <w:lang w:val="fr-FR"/>
              </w:rPr>
              <w:t>2</w:t>
            </w:r>
            <w:r w:rsidRPr="00E86E80">
              <w:rPr>
                <w:b/>
                <w:bCs/>
                <w:sz w:val="18"/>
                <w:lang w:val="fr-FR"/>
              </w:rPr>
              <w:t>/s</w:t>
            </w:r>
            <w:r w:rsidR="00765B8D" w:rsidRPr="00E86E80">
              <w:rPr>
                <w:b/>
                <w:bCs/>
                <w:sz w:val="18"/>
                <w:vertAlign w:val="superscript"/>
                <w:lang w:val="fr-FR"/>
              </w:rPr>
              <w:t>2</w:t>
            </w:r>
          </w:p>
        </w:tc>
      </w:tr>
      <w:tr w:rsidR="00E86E80" w:rsidRPr="00E86E80" w14:paraId="429ADF75" w14:textId="77777777" w:rsidTr="00757BAE">
        <w:trPr>
          <w:cantSplit/>
        </w:trPr>
        <w:tc>
          <w:tcPr>
            <w:tcW w:w="19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1E4DC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</w:rPr>
            </w:pPr>
            <w:r w:rsidRPr="00E86E80">
              <w:rPr>
                <w:sz w:val="18"/>
                <w:lang w:val="fr-FR"/>
              </w:rPr>
              <w:t xml:space="preserve">Partie supérieure </w:t>
            </w:r>
            <w:r w:rsidR="0076180B">
              <w:rPr>
                <w:sz w:val="18"/>
                <w:lang w:val="fr-FR"/>
              </w:rPr>
              <w:br/>
            </w:r>
            <w:r w:rsidRPr="00E86E80">
              <w:rPr>
                <w:sz w:val="18"/>
                <w:lang w:val="fr-FR"/>
              </w:rPr>
              <w:t>de la nuque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5B533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trike/>
                <w:sz w:val="18"/>
                <w:szCs w:val="36"/>
              </w:rPr>
            </w:pPr>
            <w:r w:rsidRPr="00E86E80">
              <w:rPr>
                <w:strike/>
                <w:sz w:val="18"/>
                <w:lang w:val="fr-FR"/>
              </w:rPr>
              <w:t>FX (vers l’arrière)</w:t>
            </w:r>
            <w:r w:rsidR="005948AC" w:rsidRPr="00E86E80">
              <w:rPr>
                <w:strike/>
                <w:sz w:val="18"/>
                <w:lang w:val="fr-FR"/>
              </w:rPr>
              <w:br/>
            </w:r>
            <w:r w:rsidRPr="00E86E80">
              <w:rPr>
                <w:b/>
                <w:sz w:val="18"/>
                <w:lang w:val="fr-FR"/>
              </w:rPr>
              <w:t>FX+ supérieure</w:t>
            </w:r>
          </w:p>
        </w:tc>
        <w:tc>
          <w:tcPr>
            <w:tcW w:w="34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520DF" w14:textId="77777777" w:rsidR="00382F02" w:rsidRPr="00E86E80" w:rsidRDefault="00382F02" w:rsidP="00866EA5">
            <w:pPr>
              <w:suppressAutoHyphens w:val="0"/>
              <w:spacing w:before="40" w:after="40" w:line="220" w:lineRule="exact"/>
              <w:ind w:left="57" w:right="57"/>
              <w:rPr>
                <w:b/>
                <w:bCs/>
                <w:sz w:val="18"/>
                <w:szCs w:val="48"/>
                <w:lang w:val="en-US"/>
              </w:rPr>
            </w:pPr>
            <w:r w:rsidRPr="00E86E80">
              <w:rPr>
                <w:b/>
                <w:bCs/>
                <w:sz w:val="18"/>
                <w:lang w:val="fr-FR"/>
              </w:rPr>
              <w:t>790 N</w:t>
            </w:r>
          </w:p>
        </w:tc>
      </w:tr>
      <w:tr w:rsidR="00E86E80" w:rsidRPr="00E86E80" w14:paraId="6DE0481B" w14:textId="77777777" w:rsidTr="00757BAE">
        <w:trPr>
          <w:cantSplit/>
        </w:trPr>
        <w:tc>
          <w:tcPr>
            <w:tcW w:w="1933" w:type="dxa"/>
            <w:vMerge/>
            <w:shd w:val="clear" w:color="auto" w:fill="auto"/>
            <w:hideMark/>
          </w:tcPr>
          <w:p w14:paraId="4A7B5A2E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GB" w:eastAsia="en-GB"/>
              </w:rPr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F65E8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b/>
                <w:sz w:val="18"/>
                <w:szCs w:val="36"/>
                <w:lang w:val="en-US"/>
              </w:rPr>
            </w:pPr>
            <w:r w:rsidRPr="00E86E80">
              <w:rPr>
                <w:b/>
                <w:sz w:val="18"/>
                <w:lang w:val="fr-FR"/>
              </w:rPr>
              <w:t>MY+/- supérieure</w:t>
            </w:r>
          </w:p>
        </w:tc>
        <w:tc>
          <w:tcPr>
            <w:tcW w:w="34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57543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US"/>
              </w:rPr>
            </w:pPr>
            <w:r w:rsidRPr="00E86E80">
              <w:rPr>
                <w:b/>
                <w:sz w:val="18"/>
                <w:lang w:val="fr-FR"/>
              </w:rPr>
              <w:t>37,8</w:t>
            </w:r>
            <w:r w:rsidRPr="00E86E80">
              <w:rPr>
                <w:sz w:val="18"/>
                <w:lang w:val="fr-FR"/>
              </w:rPr>
              <w:t xml:space="preserve"> </w:t>
            </w:r>
            <w:r w:rsidRPr="00E86E80">
              <w:rPr>
                <w:b/>
                <w:bCs/>
                <w:sz w:val="18"/>
                <w:lang w:val="fr-FR"/>
              </w:rPr>
              <w:t>Nm</w:t>
            </w:r>
          </w:p>
        </w:tc>
      </w:tr>
      <w:tr w:rsidR="00E86E80" w:rsidRPr="00E86E80" w14:paraId="7AC2D3DC" w14:textId="77777777" w:rsidTr="00757BAE">
        <w:trPr>
          <w:cantSplit/>
        </w:trPr>
        <w:tc>
          <w:tcPr>
            <w:tcW w:w="193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B1990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</w:rPr>
            </w:pPr>
            <w:r w:rsidRPr="00E86E80">
              <w:rPr>
                <w:sz w:val="18"/>
                <w:lang w:val="fr-FR"/>
              </w:rPr>
              <w:t xml:space="preserve">Partie inférieure </w:t>
            </w:r>
            <w:r w:rsidR="0076180B">
              <w:rPr>
                <w:sz w:val="18"/>
                <w:lang w:val="fr-FR"/>
              </w:rPr>
              <w:br/>
            </w:r>
            <w:r w:rsidRPr="00E86E80">
              <w:rPr>
                <w:sz w:val="18"/>
                <w:lang w:val="fr-FR"/>
              </w:rPr>
              <w:t>de la nuque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07691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trike/>
                <w:sz w:val="18"/>
                <w:szCs w:val="36"/>
              </w:rPr>
            </w:pPr>
            <w:r w:rsidRPr="00E86E80">
              <w:rPr>
                <w:strike/>
                <w:sz w:val="18"/>
                <w:lang w:val="fr-FR"/>
              </w:rPr>
              <w:t>FX (vers l’arrière)</w:t>
            </w:r>
            <w:r w:rsidR="005948AC" w:rsidRPr="00E86E80">
              <w:rPr>
                <w:strike/>
                <w:sz w:val="18"/>
                <w:lang w:val="fr-FR"/>
              </w:rPr>
              <w:br/>
            </w:r>
            <w:r w:rsidRPr="00E86E80">
              <w:rPr>
                <w:b/>
                <w:sz w:val="18"/>
                <w:lang w:val="fr-FR"/>
              </w:rPr>
              <w:t>FX- inférieure</w:t>
            </w:r>
          </w:p>
        </w:tc>
        <w:tc>
          <w:tcPr>
            <w:tcW w:w="34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15691" w14:textId="77777777" w:rsidR="00382F02" w:rsidRPr="00E86E80" w:rsidRDefault="00382F02" w:rsidP="00866EA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US"/>
              </w:rPr>
            </w:pPr>
            <w:r w:rsidRPr="00E86E80">
              <w:rPr>
                <w:b/>
                <w:bCs/>
                <w:sz w:val="18"/>
                <w:lang w:val="fr-FR"/>
              </w:rPr>
              <w:t>790 N</w:t>
            </w:r>
          </w:p>
        </w:tc>
      </w:tr>
      <w:tr w:rsidR="00E86E80" w:rsidRPr="00E86E80" w14:paraId="25E46D42" w14:textId="77777777" w:rsidTr="00757BAE">
        <w:trPr>
          <w:cantSplit/>
        </w:trPr>
        <w:tc>
          <w:tcPr>
            <w:tcW w:w="1933" w:type="dxa"/>
            <w:vMerge/>
            <w:shd w:val="clear" w:color="auto" w:fill="auto"/>
            <w:hideMark/>
          </w:tcPr>
          <w:p w14:paraId="1F46A14D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GB" w:eastAsia="en-GB"/>
              </w:rPr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6BC8B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US"/>
              </w:rPr>
            </w:pPr>
            <w:r w:rsidRPr="00E86E80">
              <w:rPr>
                <w:b/>
                <w:bCs/>
                <w:sz w:val="18"/>
                <w:lang w:val="fr-FR"/>
              </w:rPr>
              <w:t>MY+/- inférieure</w:t>
            </w:r>
          </w:p>
        </w:tc>
        <w:tc>
          <w:tcPr>
            <w:tcW w:w="34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C1BD4" w14:textId="77777777" w:rsidR="00382F02" w:rsidRPr="00E86E80" w:rsidRDefault="00382F02" w:rsidP="0076180B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36"/>
                <w:lang w:val="en-US"/>
              </w:rPr>
            </w:pPr>
            <w:r w:rsidRPr="00E86E80">
              <w:rPr>
                <w:b/>
                <w:sz w:val="18"/>
                <w:lang w:val="fr-FR"/>
              </w:rPr>
              <w:t>37,8</w:t>
            </w:r>
            <w:r w:rsidRPr="00E86E80">
              <w:rPr>
                <w:sz w:val="18"/>
                <w:lang w:val="fr-FR"/>
              </w:rPr>
              <w:t xml:space="preserve"> </w:t>
            </w:r>
            <w:r w:rsidRPr="00E86E80">
              <w:rPr>
                <w:b/>
                <w:bCs/>
                <w:sz w:val="18"/>
                <w:lang w:val="fr-FR"/>
              </w:rPr>
              <w:t>Nm</w:t>
            </w:r>
          </w:p>
        </w:tc>
      </w:tr>
    </w:tbl>
    <w:p w14:paraId="47403D44" w14:textId="77777777" w:rsidR="00382F02" w:rsidRPr="00382F02" w:rsidRDefault="00382F02" w:rsidP="003F349E">
      <w:pPr>
        <w:kinsoku/>
        <w:overflowPunct/>
        <w:autoSpaceDE/>
        <w:autoSpaceDN/>
        <w:adjustRightInd/>
        <w:snapToGrid/>
        <w:spacing w:before="120" w:after="240"/>
        <w:ind w:left="1134" w:right="1134" w:firstLine="170"/>
        <w:rPr>
          <w:rFonts w:eastAsia="MS Gothic"/>
          <w:bCs/>
          <w:i/>
          <w:sz w:val="18"/>
          <w:szCs w:val="18"/>
        </w:rPr>
      </w:pPr>
      <w:r w:rsidRPr="00382F02">
        <w:rPr>
          <w:rFonts w:eastAsia="MS Gothic"/>
          <w:bCs/>
          <w:i/>
          <w:sz w:val="18"/>
          <w:szCs w:val="18"/>
        </w:rPr>
        <w:t>Notes :</w:t>
      </w:r>
      <w:r w:rsidRPr="00382F02">
        <w:rPr>
          <w:rFonts w:eastAsia="MS Gothic"/>
          <w:bCs/>
          <w:sz w:val="18"/>
          <w:szCs w:val="18"/>
        </w:rPr>
        <w:t xml:space="preserve"> </w:t>
      </w:r>
      <w:r w:rsidRPr="00382F02">
        <w:rPr>
          <w:sz w:val="18"/>
          <w:szCs w:val="18"/>
          <w:lang w:val="fr-FR"/>
        </w:rPr>
        <w:t>Ne comprend pas les chiffres négatifs ou positifs de la force longitudinale FX pour les mesures de la phase de rebond (exclues)</w:t>
      </w:r>
      <w:r w:rsidRPr="00382F02">
        <w:rPr>
          <w:rFonts w:eastAsia="MS Gothic"/>
          <w:bCs/>
          <w:sz w:val="18"/>
          <w:szCs w:val="18"/>
        </w:rPr>
        <w:t>. ».</w:t>
      </w:r>
    </w:p>
    <w:p w14:paraId="067B2DB4" w14:textId="77777777" w:rsidR="00382F02" w:rsidRPr="00022433" w:rsidRDefault="00382F02" w:rsidP="003F349E">
      <w:pPr>
        <w:pStyle w:val="SingleTxtG"/>
        <w:rPr>
          <w:rFonts w:eastAsia="Yu Mincho"/>
          <w:i/>
        </w:rPr>
      </w:pPr>
      <w:r w:rsidRPr="00022433">
        <w:rPr>
          <w:rFonts w:eastAsia="Yu Mincho"/>
          <w:i/>
          <w:lang w:val="fr-FR"/>
        </w:rPr>
        <w:t>Annexe 9, paragraphes 4.2.1.3 et 4.2.1.4</w:t>
      </w:r>
      <w:r w:rsidRPr="00022433">
        <w:rPr>
          <w:rFonts w:eastAsia="Yu Mincho"/>
          <w:lang w:val="fr-FR"/>
        </w:rPr>
        <w:t>, lire :</w:t>
      </w:r>
    </w:p>
    <w:p w14:paraId="3E94F741" w14:textId="77777777" w:rsidR="00382F02" w:rsidRPr="00022433" w:rsidRDefault="003F349E" w:rsidP="003F349E">
      <w:pPr>
        <w:pStyle w:val="SingleTxtG"/>
        <w:ind w:left="2268" w:hanging="1134"/>
        <w:rPr>
          <w:rFonts w:eastAsia="Yu Mincho"/>
          <w:bCs/>
        </w:rPr>
      </w:pPr>
      <w:r>
        <w:rPr>
          <w:rFonts w:eastAsia="Yu Mincho"/>
          <w:bCs/>
        </w:rPr>
        <w:t>« </w:t>
      </w:r>
      <w:r w:rsidR="00382F02" w:rsidRPr="00022433">
        <w:rPr>
          <w:rFonts w:eastAsia="Yu Mincho"/>
          <w:bCs/>
        </w:rPr>
        <w:t>4.2.1.3</w:t>
      </w:r>
      <w:r w:rsidR="00382F02" w:rsidRPr="00022433">
        <w:rPr>
          <w:rFonts w:eastAsia="Yu Mincho"/>
          <w:lang w:val="fr-FR"/>
        </w:rPr>
        <w:tab/>
        <w:t xml:space="preserve">Définition de </w:t>
      </w:r>
      <w:r w:rsidR="00382F02" w:rsidRPr="00022433">
        <w:rPr>
          <w:rFonts w:eastAsia="Yu Mincho"/>
          <w:bCs/>
          <w:strike/>
        </w:rPr>
        <w:t>T-[HRC]</w:t>
      </w:r>
      <w:r w:rsidR="00382F02" w:rsidRPr="00022433">
        <w:rPr>
          <w:rFonts w:eastAsia="Yu Mincho"/>
          <w:bCs/>
          <w:strike/>
          <w:vertAlign w:val="subscript"/>
        </w:rPr>
        <w:t>(end</w:t>
      </w:r>
      <w:r w:rsidR="00382F02" w:rsidRPr="00022433">
        <w:rPr>
          <w:rFonts w:eastAsia="Yu Mincho"/>
          <w:bCs/>
          <w:vertAlign w:val="subscript"/>
        </w:rPr>
        <w:t>)</w:t>
      </w:r>
      <w:r w:rsidR="00382F02" w:rsidRPr="00022433">
        <w:rPr>
          <w:rFonts w:eastAsia="Yu Mincho"/>
          <w:bCs/>
        </w:rPr>
        <w:t xml:space="preserve"> </w:t>
      </w:r>
      <w:r w:rsidR="00382F02" w:rsidRPr="00022433">
        <w:rPr>
          <w:rFonts w:eastAsia="Yu Mincho"/>
          <w:b/>
        </w:rPr>
        <w:t>T(end)</w:t>
      </w:r>
    </w:p>
    <w:p w14:paraId="73DE6089" w14:textId="77777777" w:rsidR="00382F02" w:rsidRPr="00022433" w:rsidRDefault="00382F02" w:rsidP="003F349E">
      <w:pPr>
        <w:pStyle w:val="SingleTxtG"/>
        <w:ind w:left="2268"/>
        <w:rPr>
          <w:rFonts w:eastAsia="MS Gothic"/>
          <w:bCs/>
        </w:rPr>
      </w:pPr>
      <w:r w:rsidRPr="00022433">
        <w:rPr>
          <w:rFonts w:eastAsia="Yu Mincho"/>
          <w:lang w:val="fr-FR"/>
        </w:rPr>
        <w:tab/>
      </w:r>
      <w:r>
        <w:rPr>
          <w:rFonts w:eastAsia="Yu Mincho"/>
          <w:lang w:val="fr-FR"/>
        </w:rPr>
        <w:t>Le moment où</w:t>
      </w:r>
      <w:r w:rsidRPr="00022433">
        <w:rPr>
          <w:rFonts w:eastAsia="Yu Mincho"/>
          <w:lang w:val="fr-FR"/>
        </w:rPr>
        <w:t xml:space="preserve"> l</w:t>
      </w:r>
      <w:r>
        <w:rPr>
          <w:rFonts w:eastAsia="Yu Mincho"/>
          <w:lang w:val="fr-FR"/>
        </w:rPr>
        <w:t>’</w:t>
      </w:r>
      <w:r w:rsidRPr="00022433">
        <w:rPr>
          <w:rFonts w:eastAsia="Yu Mincho"/>
          <w:lang w:val="fr-FR"/>
        </w:rPr>
        <w:t xml:space="preserve">accélération du chariot filtrée </w:t>
      </w:r>
      <w:r>
        <w:rPr>
          <w:rFonts w:eastAsia="Yu Mincho"/>
          <w:lang w:val="fr-FR"/>
        </w:rPr>
        <w:t>conformément à la</w:t>
      </w:r>
      <w:r w:rsidRPr="00022433">
        <w:rPr>
          <w:rFonts w:eastAsia="Yu Mincho"/>
          <w:lang w:val="fr-FR"/>
        </w:rPr>
        <w:t xml:space="preserve"> CFC60 </w:t>
      </w:r>
      <w:r>
        <w:rPr>
          <w:rFonts w:eastAsia="Yu Mincho"/>
          <w:lang w:val="fr-FR"/>
        </w:rPr>
        <w:t xml:space="preserve">passe </w:t>
      </w:r>
      <w:r w:rsidRPr="00022433">
        <w:rPr>
          <w:rFonts w:eastAsia="Yu Mincho"/>
          <w:lang w:val="fr-FR"/>
        </w:rPr>
        <w:t>pour la première fois en dessous de 0</w:t>
      </w:r>
      <w:r w:rsidR="006313C2">
        <w:rPr>
          <w:rFonts w:eastAsia="Yu Mincho"/>
          <w:lang w:val="fr-FR"/>
        </w:rPr>
        <w:t> </w:t>
      </w:r>
      <w:r w:rsidRPr="00022433">
        <w:rPr>
          <w:rFonts w:eastAsia="Yu Mincho"/>
          <w:lang w:val="fr-FR"/>
        </w:rPr>
        <w:t xml:space="preserve">g est appelé </w:t>
      </w:r>
      <w:r w:rsidRPr="00022433">
        <w:rPr>
          <w:rFonts w:eastAsia="Yu Mincho"/>
          <w:bCs/>
          <w:strike/>
        </w:rPr>
        <w:t>T-[HRC]</w:t>
      </w:r>
      <w:r w:rsidRPr="00022433">
        <w:rPr>
          <w:rFonts w:eastAsia="Yu Mincho"/>
          <w:bCs/>
          <w:strike/>
          <w:vertAlign w:val="subscript"/>
        </w:rPr>
        <w:t>(end)</w:t>
      </w:r>
      <w:r w:rsidRPr="00022433">
        <w:rPr>
          <w:rFonts w:eastAsia="Yu Mincho"/>
          <w:bCs/>
        </w:rPr>
        <w:t xml:space="preserve"> </w:t>
      </w:r>
      <w:r w:rsidRPr="00022433">
        <w:rPr>
          <w:rFonts w:eastAsia="Yu Mincho"/>
          <w:b/>
        </w:rPr>
        <w:t>T(end)</w:t>
      </w:r>
      <w:r w:rsidRPr="00022433">
        <w:rPr>
          <w:rFonts w:eastAsia="Yu Mincho"/>
          <w:lang w:val="fr-FR"/>
        </w:rPr>
        <w:t>.</w:t>
      </w:r>
    </w:p>
    <w:p w14:paraId="352A6580" w14:textId="77777777" w:rsidR="00382F02" w:rsidRPr="00022433" w:rsidRDefault="00382F02" w:rsidP="003F349E">
      <w:pPr>
        <w:pStyle w:val="SingleTxtG"/>
        <w:ind w:left="2268" w:hanging="1134"/>
        <w:rPr>
          <w:rFonts w:eastAsia="Yu Mincho"/>
          <w:bCs/>
        </w:rPr>
      </w:pPr>
      <w:r w:rsidRPr="00022433">
        <w:rPr>
          <w:rFonts w:eastAsia="Yu Mincho"/>
          <w:lang w:val="fr-FR"/>
        </w:rPr>
        <w:t>4.2.1.4</w:t>
      </w:r>
      <w:r w:rsidRPr="00022433">
        <w:rPr>
          <w:rFonts w:eastAsia="Yu Mincho"/>
          <w:lang w:val="fr-FR"/>
        </w:rPr>
        <w:tab/>
        <w:t>Définition de l</w:t>
      </w:r>
      <w:r>
        <w:rPr>
          <w:rFonts w:eastAsia="Yu Mincho"/>
          <w:lang w:val="fr-FR"/>
        </w:rPr>
        <w:t>’</w:t>
      </w:r>
      <w:r w:rsidRPr="00022433">
        <w:rPr>
          <w:rFonts w:eastAsia="Yu Mincho"/>
          <w:lang w:val="fr-FR"/>
        </w:rPr>
        <w:t>intervalle de temps</w:t>
      </w:r>
    </w:p>
    <w:p w14:paraId="3684B18C" w14:textId="77777777" w:rsidR="00382F02" w:rsidRPr="00022433" w:rsidRDefault="00382F02" w:rsidP="003F349E">
      <w:pPr>
        <w:pStyle w:val="SingleTxtG"/>
        <w:ind w:left="2268"/>
        <w:rPr>
          <w:rFonts w:eastAsia="MS Gothic"/>
          <w:bCs/>
        </w:rPr>
      </w:pPr>
      <w:r w:rsidRPr="00022433">
        <w:rPr>
          <w:rFonts w:eastAsia="Yu Mincho"/>
          <w:lang w:val="fr-FR"/>
        </w:rPr>
        <w:tab/>
      </w:r>
      <w:r w:rsidRPr="00830BC9">
        <w:rPr>
          <w:rFonts w:eastAsia="Yu Mincho"/>
        </w:rPr>
        <w:t>L</w:t>
      </w:r>
      <w:r>
        <w:rPr>
          <w:rFonts w:eastAsia="Yu Mincho"/>
        </w:rPr>
        <w:t>’</w:t>
      </w:r>
      <w:r w:rsidRPr="00830BC9">
        <w:rPr>
          <w:rFonts w:eastAsia="Yu Mincho"/>
        </w:rPr>
        <w:t>intervalle de temps pour le couloir d</w:t>
      </w:r>
      <w:r>
        <w:rPr>
          <w:rFonts w:eastAsia="Yu Mincho"/>
        </w:rPr>
        <w:t>’</w:t>
      </w:r>
      <w:r w:rsidRPr="00830BC9">
        <w:rPr>
          <w:rFonts w:eastAsia="Yu Mincho"/>
        </w:rPr>
        <w:t xml:space="preserve">accélération du chariot </w:t>
      </w:r>
      <w:r w:rsidRPr="00022433">
        <w:rPr>
          <w:rFonts w:eastAsia="Yu Mincho"/>
        </w:rPr>
        <w:t xml:space="preserve">est défini comme </w:t>
      </w:r>
      <w:r w:rsidRPr="00022433">
        <w:rPr>
          <w:rFonts w:eastAsia="Yu Mincho"/>
          <w:bCs/>
        </w:rPr>
        <w:t xml:space="preserve">dT = </w:t>
      </w:r>
      <w:r w:rsidRPr="00022433">
        <w:rPr>
          <w:rFonts w:eastAsia="Yu Mincho"/>
          <w:bCs/>
          <w:strike/>
        </w:rPr>
        <w:t>T-[HRC]</w:t>
      </w:r>
      <w:r w:rsidRPr="00022433">
        <w:rPr>
          <w:rFonts w:eastAsia="Yu Mincho"/>
          <w:bCs/>
          <w:strike/>
          <w:vertAlign w:val="subscript"/>
        </w:rPr>
        <w:t>(end)</w:t>
      </w:r>
      <w:r w:rsidRPr="00022433">
        <w:rPr>
          <w:rFonts w:eastAsia="Yu Mincho"/>
          <w:bCs/>
        </w:rPr>
        <w:t xml:space="preserve"> </w:t>
      </w:r>
      <w:r w:rsidRPr="00022433">
        <w:rPr>
          <w:rFonts w:eastAsia="Yu Mincho"/>
          <w:b/>
        </w:rPr>
        <w:t>T(end)</w:t>
      </w:r>
      <w:r w:rsidRPr="00022433">
        <w:rPr>
          <w:rFonts w:eastAsia="Yu Mincho"/>
          <w:bCs/>
        </w:rPr>
        <w:t xml:space="preserve"> </w:t>
      </w:r>
      <w:r w:rsidR="00E633E4">
        <w:rPr>
          <w:rFonts w:eastAsia="Yu Mincho"/>
          <w:bCs/>
        </w:rPr>
        <w:t>−</w:t>
      </w:r>
      <w:r w:rsidRPr="00022433">
        <w:rPr>
          <w:rFonts w:eastAsia="Yu Mincho"/>
          <w:bCs/>
        </w:rPr>
        <w:t xml:space="preserve"> T</w:t>
      </w:r>
      <w:r w:rsidRPr="00022433">
        <w:rPr>
          <w:rFonts w:eastAsia="Yu Mincho"/>
          <w:bCs/>
          <w:vertAlign w:val="subscript"/>
        </w:rPr>
        <w:t>0</w:t>
      </w:r>
      <w:r w:rsidRPr="00022433">
        <w:rPr>
          <w:rFonts w:eastAsia="Yu Mincho"/>
          <w:bCs/>
        </w:rPr>
        <w:t>.</w:t>
      </w:r>
      <w:r w:rsidR="003F349E">
        <w:rPr>
          <w:rFonts w:eastAsia="Yu Mincho"/>
          <w:bCs/>
        </w:rPr>
        <w:t> »</w:t>
      </w:r>
      <w:r>
        <w:rPr>
          <w:rFonts w:eastAsia="Yu Mincho"/>
          <w:bCs/>
        </w:rPr>
        <w:t>.</w:t>
      </w:r>
    </w:p>
    <w:p w14:paraId="1B9C1DBB" w14:textId="77777777" w:rsidR="00382F02" w:rsidRPr="00382F02" w:rsidRDefault="00382F02" w:rsidP="00382F02">
      <w:pPr>
        <w:pStyle w:val="HChG"/>
      </w:pPr>
      <w:r>
        <w:rPr>
          <w:lang w:val="fr-FR"/>
        </w:rPr>
        <w:tab/>
      </w:r>
      <w:r w:rsidRPr="00022433">
        <w:rPr>
          <w:lang w:val="fr-FR"/>
        </w:rPr>
        <w:t>II.</w:t>
      </w:r>
      <w:r w:rsidRPr="00022433">
        <w:rPr>
          <w:lang w:val="fr-FR"/>
        </w:rPr>
        <w:tab/>
      </w:r>
      <w:r w:rsidRPr="00022433">
        <w:rPr>
          <w:bCs/>
          <w:lang w:val="fr-FR"/>
        </w:rPr>
        <w:t>Justification</w:t>
      </w:r>
    </w:p>
    <w:p w14:paraId="4F2D488E" w14:textId="77777777" w:rsidR="00382F02" w:rsidRPr="00022433" w:rsidRDefault="00382F02" w:rsidP="00382F02">
      <w:pPr>
        <w:pStyle w:val="SingleTxtG"/>
        <w:rPr>
          <w:rFonts w:eastAsia="MS Mincho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022433">
        <w:rPr>
          <w:lang w:val="fr-FR"/>
        </w:rPr>
        <w:t xml:space="preserve">La CLEPA estime que le GRSP </w:t>
      </w:r>
      <w:r>
        <w:rPr>
          <w:lang w:val="fr-FR"/>
        </w:rPr>
        <w:t xml:space="preserve">devrait </w:t>
      </w:r>
      <w:r w:rsidRPr="00022433">
        <w:rPr>
          <w:lang w:val="fr-FR"/>
        </w:rPr>
        <w:t xml:space="preserve">choisir les limites de risque de blessure </w:t>
      </w:r>
      <w:r>
        <w:rPr>
          <w:lang w:val="fr-FR"/>
        </w:rPr>
        <w:t>en fonction, non seulement,</w:t>
      </w:r>
      <w:r w:rsidRPr="00022433">
        <w:rPr>
          <w:lang w:val="fr-FR"/>
        </w:rPr>
        <w:t xml:space="preserve"> des courbes de risque de blessure qui ont été présentées, mais </w:t>
      </w:r>
      <w:r>
        <w:rPr>
          <w:lang w:val="fr-FR"/>
        </w:rPr>
        <w:t xml:space="preserve">aussi en fonction de </w:t>
      </w:r>
      <w:r w:rsidRPr="00022433">
        <w:rPr>
          <w:lang w:val="fr-FR"/>
        </w:rPr>
        <w:t>la faisabilité technique</w:t>
      </w:r>
      <w:r>
        <w:rPr>
          <w:lang w:val="fr-FR"/>
        </w:rPr>
        <w:t>,</w:t>
      </w:r>
      <w:r w:rsidRPr="00022433">
        <w:rPr>
          <w:lang w:val="fr-FR"/>
        </w:rPr>
        <w:t xml:space="preserve"> sur la base des variations de mesure de l</w:t>
      </w:r>
      <w:r>
        <w:rPr>
          <w:lang w:val="fr-FR"/>
        </w:rPr>
        <w:t>’</w:t>
      </w:r>
      <w:r w:rsidRPr="00022433">
        <w:rPr>
          <w:lang w:val="fr-FR"/>
        </w:rPr>
        <w:t>outil, à savoir le mannequin biomécanique pour choc arrière (</w:t>
      </w:r>
      <w:proofErr w:type="spellStart"/>
      <w:r w:rsidRPr="00022433">
        <w:rPr>
          <w:lang w:val="fr-FR"/>
        </w:rPr>
        <w:t>BioRID</w:t>
      </w:r>
      <w:proofErr w:type="spellEnd"/>
      <w:r w:rsidRPr="00022433">
        <w:rPr>
          <w:lang w:val="fr-FR"/>
        </w:rPr>
        <w:t>).</w:t>
      </w:r>
    </w:p>
    <w:p w14:paraId="17453D37" w14:textId="77777777" w:rsidR="00382F02" w:rsidRPr="00022433" w:rsidRDefault="00B55F35" w:rsidP="00B55F35">
      <w:pPr>
        <w:pStyle w:val="SingleTxtG"/>
        <w:rPr>
          <w:rFonts w:eastAsia="MS Mincho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382F02" w:rsidRPr="00AC3FA7">
        <w:rPr>
          <w:spacing w:val="-2"/>
          <w:lang w:val="fr-FR"/>
        </w:rPr>
        <w:t>L’argumentaire de la CLEPA a été présenté dans le document informel GRSP-64-44,</w:t>
      </w:r>
      <w:r w:rsidR="00382F02" w:rsidRPr="00022433">
        <w:rPr>
          <w:lang w:val="fr-FR"/>
        </w:rPr>
        <w:t xml:space="preserve"> à la session de décembre 2018 du GRSP</w:t>
      </w:r>
      <w:r w:rsidR="00382F02">
        <w:rPr>
          <w:lang w:val="fr-FR"/>
        </w:rPr>
        <w:t>.</w:t>
      </w:r>
      <w:r w:rsidR="00382F02" w:rsidRPr="00022433">
        <w:rPr>
          <w:lang w:val="fr-FR"/>
        </w:rPr>
        <w:t xml:space="preserve"> </w:t>
      </w:r>
      <w:r w:rsidR="00382F02">
        <w:rPr>
          <w:lang w:val="fr-FR"/>
        </w:rPr>
        <w:t xml:space="preserve">Il s’appuie sur </w:t>
      </w:r>
      <w:r w:rsidR="00382F02" w:rsidRPr="00022433">
        <w:rPr>
          <w:lang w:val="fr-FR"/>
        </w:rPr>
        <w:t xml:space="preserve">les résultats de répétabilité et de reproductibilité </w:t>
      </w:r>
      <w:r w:rsidR="00382F02">
        <w:rPr>
          <w:lang w:val="fr-FR"/>
        </w:rPr>
        <w:t xml:space="preserve">pour le </w:t>
      </w:r>
      <w:r w:rsidR="00382F02" w:rsidRPr="00022433">
        <w:rPr>
          <w:lang w:val="fr-FR"/>
        </w:rPr>
        <w:t xml:space="preserve">mannequin </w:t>
      </w:r>
      <w:proofErr w:type="spellStart"/>
      <w:r w:rsidR="00382F02" w:rsidRPr="00022433">
        <w:rPr>
          <w:lang w:val="fr-FR"/>
        </w:rPr>
        <w:t>BioRID</w:t>
      </w:r>
      <w:proofErr w:type="spellEnd"/>
      <w:r w:rsidR="00382F02" w:rsidRPr="00022433">
        <w:rPr>
          <w:lang w:val="fr-FR"/>
        </w:rPr>
        <w:t xml:space="preserve"> II</w:t>
      </w:r>
      <w:r w:rsidR="00382F02">
        <w:rPr>
          <w:lang w:val="fr-FR"/>
        </w:rPr>
        <w:t>,</w:t>
      </w:r>
      <w:r w:rsidR="00382F02" w:rsidRPr="00022433">
        <w:rPr>
          <w:lang w:val="fr-FR"/>
        </w:rPr>
        <w:t xml:space="preserve"> présentés dans le document GTR-16-02 HIS du groupe de travail informel.</w:t>
      </w:r>
    </w:p>
    <w:p w14:paraId="564A2159" w14:textId="77777777" w:rsidR="007D3655" w:rsidRDefault="00B55F35" w:rsidP="00B55F35">
      <w:pPr>
        <w:pStyle w:val="SingleTxtG"/>
        <w:rPr>
          <w:rFonts w:eastAsia="Yu Mincho"/>
          <w:lang w:val="fr-FR"/>
        </w:rPr>
      </w:pPr>
      <w:r>
        <w:rPr>
          <w:rFonts w:eastAsia="Yu Mincho"/>
          <w:lang w:val="fr-FR"/>
        </w:rPr>
        <w:t>3.</w:t>
      </w:r>
      <w:r>
        <w:rPr>
          <w:rFonts w:eastAsia="Yu Mincho"/>
          <w:lang w:val="fr-FR"/>
        </w:rPr>
        <w:tab/>
      </w:r>
      <w:r w:rsidR="00382F02" w:rsidRPr="00022433">
        <w:rPr>
          <w:rFonts w:eastAsia="Yu Mincho"/>
          <w:lang w:val="fr-FR"/>
        </w:rPr>
        <w:t>La CLEPA corrige également la définition de T(end)</w:t>
      </w:r>
      <w:r w:rsidR="00382F02">
        <w:rPr>
          <w:rFonts w:eastAsia="Yu Mincho"/>
          <w:lang w:val="fr-FR"/>
        </w:rPr>
        <w:t>,</w:t>
      </w:r>
      <w:r w:rsidR="00382F02" w:rsidRPr="00022433">
        <w:rPr>
          <w:rFonts w:eastAsia="Yu Mincho"/>
          <w:lang w:val="fr-FR"/>
        </w:rPr>
        <w:t xml:space="preserve"> qui est différente de celle de T-</w:t>
      </w:r>
      <w:proofErr w:type="gramStart"/>
      <w:r w:rsidR="00382F02" w:rsidRPr="00022433">
        <w:rPr>
          <w:rFonts w:eastAsia="Yu Mincho"/>
          <w:lang w:val="fr-FR"/>
        </w:rPr>
        <w:t>HRC(</w:t>
      </w:r>
      <w:proofErr w:type="gramEnd"/>
      <w:r w:rsidR="00382F02" w:rsidRPr="00022433">
        <w:rPr>
          <w:rFonts w:eastAsia="Yu Mincho"/>
          <w:lang w:val="fr-FR"/>
        </w:rPr>
        <w:t>end).</w:t>
      </w:r>
    </w:p>
    <w:p w14:paraId="74EE4046" w14:textId="77777777" w:rsidR="00382F02" w:rsidRPr="00382F02" w:rsidRDefault="00382F02" w:rsidP="00382F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2F02" w:rsidRPr="00382F02" w:rsidSect="00A65E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B15B" w14:textId="77777777" w:rsidR="00270EAF" w:rsidRDefault="00270EAF" w:rsidP="00F95C08">
      <w:pPr>
        <w:spacing w:line="240" w:lineRule="auto"/>
      </w:pPr>
    </w:p>
  </w:endnote>
  <w:endnote w:type="continuationSeparator" w:id="0">
    <w:p w14:paraId="018DDD2D" w14:textId="77777777" w:rsidR="00270EAF" w:rsidRPr="00AC3823" w:rsidRDefault="00270EAF" w:rsidP="00AC3823">
      <w:pPr>
        <w:pStyle w:val="Footer"/>
      </w:pPr>
    </w:p>
  </w:endnote>
  <w:endnote w:type="continuationNotice" w:id="1">
    <w:p w14:paraId="2B74237E" w14:textId="77777777" w:rsidR="00270EAF" w:rsidRDefault="00270E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45D5" w14:textId="77777777" w:rsidR="00A65E63" w:rsidRPr="00A65E63" w:rsidRDefault="00A65E63" w:rsidP="00A65E63">
    <w:pPr>
      <w:pStyle w:val="Footer"/>
      <w:tabs>
        <w:tab w:val="right" w:pos="9638"/>
      </w:tabs>
    </w:pPr>
    <w:r w:rsidRPr="00A65E63">
      <w:rPr>
        <w:b/>
        <w:sz w:val="18"/>
      </w:rPr>
      <w:fldChar w:fldCharType="begin"/>
    </w:r>
    <w:r w:rsidRPr="00A65E63">
      <w:rPr>
        <w:b/>
        <w:sz w:val="18"/>
      </w:rPr>
      <w:instrText xml:space="preserve"> PAGE  \* MERGEFORMAT </w:instrText>
    </w:r>
    <w:r w:rsidRPr="00A65E63">
      <w:rPr>
        <w:b/>
        <w:sz w:val="18"/>
      </w:rPr>
      <w:fldChar w:fldCharType="separate"/>
    </w:r>
    <w:r w:rsidRPr="00A65E63">
      <w:rPr>
        <w:b/>
        <w:noProof/>
        <w:sz w:val="18"/>
      </w:rPr>
      <w:t>2</w:t>
    </w:r>
    <w:r w:rsidRPr="00A65E63">
      <w:rPr>
        <w:b/>
        <w:sz w:val="18"/>
      </w:rPr>
      <w:fldChar w:fldCharType="end"/>
    </w:r>
    <w:r>
      <w:rPr>
        <w:b/>
        <w:sz w:val="18"/>
      </w:rPr>
      <w:tab/>
    </w:r>
    <w:r>
      <w:t>GE.19-03061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5ECE" w14:textId="77777777" w:rsidR="00A65E63" w:rsidRPr="00A65E63" w:rsidRDefault="00A65E63" w:rsidP="00A65E63">
    <w:pPr>
      <w:pStyle w:val="Footer"/>
      <w:tabs>
        <w:tab w:val="right" w:pos="9638"/>
      </w:tabs>
      <w:rPr>
        <w:b/>
        <w:sz w:val="18"/>
      </w:rPr>
    </w:pPr>
    <w:r>
      <w:t>GE.19-03061</w:t>
    </w:r>
    <w:r>
      <w:tab/>
    </w:r>
    <w:r w:rsidRPr="00A65E63">
      <w:rPr>
        <w:b/>
        <w:sz w:val="18"/>
      </w:rPr>
      <w:fldChar w:fldCharType="begin"/>
    </w:r>
    <w:r w:rsidRPr="00A65E63">
      <w:rPr>
        <w:b/>
        <w:sz w:val="18"/>
      </w:rPr>
      <w:instrText xml:space="preserve"> PAGE  \* MERGEFORMAT </w:instrText>
    </w:r>
    <w:r w:rsidRPr="00A65E63">
      <w:rPr>
        <w:b/>
        <w:sz w:val="18"/>
      </w:rPr>
      <w:fldChar w:fldCharType="separate"/>
    </w:r>
    <w:r w:rsidRPr="00A65E63">
      <w:rPr>
        <w:b/>
        <w:noProof/>
        <w:sz w:val="18"/>
      </w:rPr>
      <w:t>3</w:t>
    </w:r>
    <w:r w:rsidRPr="00A65E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8BF2" w14:textId="77777777" w:rsidR="007F20FA" w:rsidRPr="00A65E63" w:rsidRDefault="00A65E63" w:rsidP="00A65E6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522A3D" wp14:editId="092B3E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03061  (</w:t>
    </w:r>
    <w:proofErr w:type="gramEnd"/>
    <w:r>
      <w:rPr>
        <w:sz w:val="20"/>
      </w:rPr>
      <w:t>F)</w:t>
    </w:r>
    <w:r w:rsidR="00A91F16">
      <w:rPr>
        <w:sz w:val="20"/>
      </w:rPr>
      <w:t xml:space="preserve">    070319    220319</w:t>
    </w:r>
    <w:r>
      <w:rPr>
        <w:sz w:val="20"/>
      </w:rPr>
      <w:br/>
    </w:r>
    <w:r w:rsidRPr="00A65E63">
      <w:rPr>
        <w:rFonts w:ascii="C39T30Lfz" w:hAnsi="C39T30Lfz"/>
        <w:sz w:val="56"/>
      </w:rPr>
      <w:t></w:t>
    </w:r>
    <w:r w:rsidRPr="00A65E63">
      <w:rPr>
        <w:rFonts w:ascii="C39T30Lfz" w:hAnsi="C39T30Lfz"/>
        <w:sz w:val="56"/>
      </w:rPr>
      <w:t></w:t>
    </w:r>
    <w:r w:rsidRPr="00A65E63">
      <w:rPr>
        <w:rFonts w:ascii="C39T30Lfz" w:hAnsi="C39T30Lfz"/>
        <w:sz w:val="56"/>
      </w:rPr>
      <w:t></w:t>
    </w:r>
    <w:r w:rsidRPr="00A65E63">
      <w:rPr>
        <w:rFonts w:ascii="C39T30Lfz" w:hAnsi="C39T30Lfz"/>
        <w:sz w:val="56"/>
      </w:rPr>
      <w:t></w:t>
    </w:r>
    <w:r w:rsidRPr="00A65E63">
      <w:rPr>
        <w:rFonts w:ascii="C39T30Lfz" w:hAnsi="C39T30Lfz"/>
        <w:sz w:val="56"/>
      </w:rPr>
      <w:t></w:t>
    </w:r>
    <w:r w:rsidRPr="00A65E63">
      <w:rPr>
        <w:rFonts w:ascii="C39T30Lfz" w:hAnsi="C39T30Lfz"/>
        <w:sz w:val="56"/>
      </w:rPr>
      <w:t></w:t>
    </w:r>
    <w:r w:rsidRPr="00A65E63">
      <w:rPr>
        <w:rFonts w:ascii="C39T30Lfz" w:hAnsi="C39T30Lfz"/>
        <w:sz w:val="56"/>
      </w:rPr>
      <w:t></w:t>
    </w:r>
    <w:r w:rsidRPr="00A65E63">
      <w:rPr>
        <w:rFonts w:ascii="C39T30Lfz" w:hAnsi="C39T30Lfz"/>
        <w:sz w:val="56"/>
      </w:rPr>
      <w:t></w:t>
    </w:r>
    <w:r w:rsidRPr="00A65E6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32E44B2" wp14:editId="210E035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E30D" w14:textId="77777777" w:rsidR="00270EAF" w:rsidRPr="00AC3823" w:rsidRDefault="00270E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10C20B" w14:textId="77777777" w:rsidR="00270EAF" w:rsidRPr="00AC3823" w:rsidRDefault="00270E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B2C122" w14:textId="77777777" w:rsidR="00270EAF" w:rsidRPr="00AC3823" w:rsidRDefault="00270EAF">
      <w:pPr>
        <w:spacing w:line="240" w:lineRule="auto"/>
        <w:rPr>
          <w:sz w:val="2"/>
          <w:szCs w:val="2"/>
        </w:rPr>
      </w:pPr>
    </w:p>
  </w:footnote>
  <w:footnote w:id="2">
    <w:p w14:paraId="31A397B9" w14:textId="77777777" w:rsidR="00C97A62" w:rsidRPr="009B4098" w:rsidRDefault="00C97A62" w:rsidP="00C97A62">
      <w:pPr>
        <w:pStyle w:val="FootnoteText"/>
        <w:jc w:val="both"/>
      </w:pPr>
      <w:r>
        <w:rPr>
          <w:lang w:val="fr-FR"/>
        </w:rPr>
        <w:tab/>
      </w:r>
      <w:r w:rsidRPr="00A91F16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2018</w:t>
      </w:r>
      <w:r w:rsidR="00A91F16">
        <w:rPr>
          <w:lang w:val="fr-FR"/>
        </w:rPr>
        <w:noBreakHyphen/>
      </w:r>
      <w:r>
        <w:rPr>
          <w:lang w:val="fr-FR"/>
        </w:rPr>
        <w:t>2019 (ECE/TRANS/274, par.</w:t>
      </w:r>
      <w:r w:rsidR="00A91F16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B41D" w14:textId="00497448" w:rsidR="00A65E63" w:rsidRPr="00A65E63" w:rsidRDefault="00931F4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A05FC">
      <w:t>ECE/TRANS/WP.29/GRSP/2019/8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7336" w14:textId="6D0D723C" w:rsidR="00A65E63" w:rsidRPr="00A65E63" w:rsidRDefault="00931F4B" w:rsidP="00A65E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A05FC">
      <w:t>ECE/TRANS/WP.29/GRSP/2019/8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9F343DA"/>
    <w:multiLevelType w:val="hybridMultilevel"/>
    <w:tmpl w:val="71647AA0"/>
    <w:lvl w:ilvl="0" w:tplc="E286B5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lvl w:ilvl="0" w:tplc="E286B53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AF"/>
    <w:rsid w:val="00006EF8"/>
    <w:rsid w:val="00017F94"/>
    <w:rsid w:val="00023842"/>
    <w:rsid w:val="00032FB5"/>
    <w:rsid w:val="000334F9"/>
    <w:rsid w:val="00045FEB"/>
    <w:rsid w:val="0007796D"/>
    <w:rsid w:val="000B7790"/>
    <w:rsid w:val="000D271F"/>
    <w:rsid w:val="00111F2F"/>
    <w:rsid w:val="0014365E"/>
    <w:rsid w:val="00143C66"/>
    <w:rsid w:val="00176178"/>
    <w:rsid w:val="001C0824"/>
    <w:rsid w:val="001F4467"/>
    <w:rsid w:val="001F525A"/>
    <w:rsid w:val="00223272"/>
    <w:rsid w:val="0024779E"/>
    <w:rsid w:val="00257168"/>
    <w:rsid w:val="00270EAF"/>
    <w:rsid w:val="002744B8"/>
    <w:rsid w:val="002832AC"/>
    <w:rsid w:val="002D7C93"/>
    <w:rsid w:val="002E592C"/>
    <w:rsid w:val="00305801"/>
    <w:rsid w:val="00382F02"/>
    <w:rsid w:val="003916DE"/>
    <w:rsid w:val="003F349E"/>
    <w:rsid w:val="00411060"/>
    <w:rsid w:val="00421996"/>
    <w:rsid w:val="00441C3B"/>
    <w:rsid w:val="00446FE5"/>
    <w:rsid w:val="00452396"/>
    <w:rsid w:val="004837D8"/>
    <w:rsid w:val="004A05FC"/>
    <w:rsid w:val="004E2EED"/>
    <w:rsid w:val="004E468C"/>
    <w:rsid w:val="005505B7"/>
    <w:rsid w:val="005547EF"/>
    <w:rsid w:val="00573BE5"/>
    <w:rsid w:val="00586ED3"/>
    <w:rsid w:val="0059348E"/>
    <w:rsid w:val="005948AC"/>
    <w:rsid w:val="00596AA9"/>
    <w:rsid w:val="006313C2"/>
    <w:rsid w:val="0071601D"/>
    <w:rsid w:val="00757BAE"/>
    <w:rsid w:val="0076180B"/>
    <w:rsid w:val="00765B8D"/>
    <w:rsid w:val="007A62E6"/>
    <w:rsid w:val="007D3655"/>
    <w:rsid w:val="007F20FA"/>
    <w:rsid w:val="0080684C"/>
    <w:rsid w:val="00825D20"/>
    <w:rsid w:val="00866EA5"/>
    <w:rsid w:val="00871C75"/>
    <w:rsid w:val="008776DC"/>
    <w:rsid w:val="00931F4B"/>
    <w:rsid w:val="009446C0"/>
    <w:rsid w:val="009705C8"/>
    <w:rsid w:val="009C1CF4"/>
    <w:rsid w:val="009F003A"/>
    <w:rsid w:val="009F6B74"/>
    <w:rsid w:val="00A3029F"/>
    <w:rsid w:val="00A30353"/>
    <w:rsid w:val="00A34810"/>
    <w:rsid w:val="00A65E63"/>
    <w:rsid w:val="00A91F16"/>
    <w:rsid w:val="00AC073D"/>
    <w:rsid w:val="00AC3823"/>
    <w:rsid w:val="00AC3FA7"/>
    <w:rsid w:val="00AE323C"/>
    <w:rsid w:val="00AF0CB5"/>
    <w:rsid w:val="00AF19AA"/>
    <w:rsid w:val="00B00181"/>
    <w:rsid w:val="00B00B0D"/>
    <w:rsid w:val="00B45F2E"/>
    <w:rsid w:val="00B55F35"/>
    <w:rsid w:val="00B66E32"/>
    <w:rsid w:val="00B765F7"/>
    <w:rsid w:val="00BA0CA9"/>
    <w:rsid w:val="00C02897"/>
    <w:rsid w:val="00C97039"/>
    <w:rsid w:val="00C97A62"/>
    <w:rsid w:val="00CE2890"/>
    <w:rsid w:val="00D3439C"/>
    <w:rsid w:val="00D84BDB"/>
    <w:rsid w:val="00DB1831"/>
    <w:rsid w:val="00DD3BFD"/>
    <w:rsid w:val="00DF6678"/>
    <w:rsid w:val="00E0299A"/>
    <w:rsid w:val="00E42461"/>
    <w:rsid w:val="00E633E4"/>
    <w:rsid w:val="00E85C74"/>
    <w:rsid w:val="00E86E80"/>
    <w:rsid w:val="00E90AAF"/>
    <w:rsid w:val="00EA6547"/>
    <w:rsid w:val="00EB68E2"/>
    <w:rsid w:val="00EF2E22"/>
    <w:rsid w:val="00EF6ABD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947F6"/>
  <w15:docId w15:val="{8ED27463-B0B2-41F3-ACBB-6D5119F7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7481-5C8C-48EA-9E4F-FA61B633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ECE/TRANS/WP.29/GRSP/2019/8</vt:lpstr>
      <vt:lpstr>ECE/TRANS/WP.29/GRSP/2019/8</vt:lpstr>
    </vt:vector>
  </TitlesOfParts>
  <Company>DCM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ECE/TRANS/WP.29/GRSP/2019/8</dc:title>
  <dc:subject/>
  <dc:creator>Corinne ROBERT</dc:creator>
  <cp:keywords/>
  <cp:lastModifiedBy>Benedicte Boudol</cp:lastModifiedBy>
  <cp:revision>2</cp:revision>
  <cp:lastPrinted>2019-03-22T14:09:00Z</cp:lastPrinted>
  <dcterms:created xsi:type="dcterms:W3CDTF">2019-03-22T15:49:00Z</dcterms:created>
  <dcterms:modified xsi:type="dcterms:W3CDTF">2019-03-22T15:49:00Z</dcterms:modified>
</cp:coreProperties>
</file>