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2C743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1370785" w14:textId="77777777" w:rsidR="00F35BAF" w:rsidRPr="00DB58B5" w:rsidRDefault="00F35BAF" w:rsidP="003923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284D0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1F41CE" w14:textId="77777777" w:rsidR="00F35BAF" w:rsidRPr="00DB58B5" w:rsidRDefault="00392368" w:rsidP="00392368">
            <w:pPr>
              <w:jc w:val="right"/>
            </w:pPr>
            <w:r w:rsidRPr="00392368">
              <w:rPr>
                <w:sz w:val="40"/>
              </w:rPr>
              <w:t>ECE</w:t>
            </w:r>
            <w:r>
              <w:t>/TRANS/WP.29/2019/112</w:t>
            </w:r>
          </w:p>
        </w:tc>
      </w:tr>
      <w:tr w:rsidR="00F35BAF" w:rsidRPr="00DB58B5" w14:paraId="2A7F303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746AC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18B275" wp14:editId="1282DD8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304E1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30E2B5" w14:textId="77777777" w:rsidR="00F35BAF" w:rsidRDefault="0039236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9761A7D" w14:textId="77777777" w:rsidR="00392368" w:rsidRDefault="00825295" w:rsidP="00392368">
            <w:pPr>
              <w:spacing w:line="240" w:lineRule="exact"/>
            </w:pPr>
            <w:r>
              <w:t>27 août 2019</w:t>
            </w:r>
          </w:p>
          <w:p w14:paraId="02E2F3FF" w14:textId="77777777" w:rsidR="00392368" w:rsidRDefault="00392368" w:rsidP="00392368">
            <w:pPr>
              <w:spacing w:line="240" w:lineRule="exact"/>
            </w:pPr>
            <w:r>
              <w:t>Français</w:t>
            </w:r>
          </w:p>
          <w:p w14:paraId="57B73528" w14:textId="77777777" w:rsidR="00392368" w:rsidRPr="00DB58B5" w:rsidRDefault="00392368" w:rsidP="00392368">
            <w:pPr>
              <w:spacing w:line="240" w:lineRule="exact"/>
            </w:pPr>
            <w:r>
              <w:t>Original : anglais</w:t>
            </w:r>
          </w:p>
        </w:tc>
      </w:tr>
    </w:tbl>
    <w:p w14:paraId="6C69F2B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C4CF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7923C6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0247CD0" w14:textId="77777777" w:rsidR="00392368" w:rsidRDefault="0039236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C4CF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2D4E3EC" w14:textId="77777777" w:rsidR="00392368" w:rsidRDefault="00392368" w:rsidP="00AF0CB5">
      <w:pPr>
        <w:spacing w:before="120" w:line="240" w:lineRule="exact"/>
        <w:rPr>
          <w:b/>
        </w:rPr>
      </w:pPr>
      <w:r w:rsidRPr="00F2682C">
        <w:rPr>
          <w:b/>
          <w:bCs/>
          <w:lang w:val="fr-FR"/>
        </w:rPr>
        <w:t>179</w:t>
      </w:r>
      <w:r w:rsidRPr="00F2682C"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0C389C98" w14:textId="77777777" w:rsidR="00392368" w:rsidRDefault="00392368" w:rsidP="00AF0CB5">
      <w:pPr>
        <w:spacing w:line="240" w:lineRule="exact"/>
      </w:pPr>
      <w:r>
        <w:t xml:space="preserve">Genève, </w:t>
      </w:r>
      <w:r w:rsidRPr="00F2682C">
        <w:rPr>
          <w:lang w:val="fr-FR"/>
        </w:rPr>
        <w:t>12</w:t>
      </w:r>
      <w:r>
        <w:rPr>
          <w:lang w:val="fr-FR"/>
        </w:rPr>
        <w:t>-</w:t>
      </w:r>
      <w:r w:rsidRPr="00F2682C">
        <w:rPr>
          <w:lang w:val="fr-FR"/>
        </w:rPr>
        <w:t>14 novembre 2019</w:t>
      </w:r>
    </w:p>
    <w:p w14:paraId="72DC3C7A" w14:textId="77777777" w:rsidR="00392368" w:rsidRDefault="00392368" w:rsidP="00AF0CB5">
      <w:pPr>
        <w:spacing w:line="240" w:lineRule="exact"/>
      </w:pPr>
      <w:r>
        <w:t xml:space="preserve">Point </w:t>
      </w:r>
      <w:r w:rsidRPr="00F2682C">
        <w:rPr>
          <w:lang w:val="fr-FR"/>
        </w:rPr>
        <w:t>4.9.1 de l</w:t>
      </w:r>
      <w:r w:rsidR="007C4CF3">
        <w:rPr>
          <w:lang w:val="fr-FR"/>
        </w:rPr>
        <w:t>’</w:t>
      </w:r>
      <w:r w:rsidRPr="00F2682C">
        <w:rPr>
          <w:lang w:val="fr-FR"/>
        </w:rPr>
        <w:t>ordre du jour provisoire</w:t>
      </w:r>
    </w:p>
    <w:p w14:paraId="06090EBD" w14:textId="77777777" w:rsidR="00392368" w:rsidRPr="00F2682C" w:rsidRDefault="00392368" w:rsidP="00392368">
      <w:pPr>
        <w:rPr>
          <w:b/>
        </w:rPr>
      </w:pPr>
      <w:r w:rsidRPr="00F2682C">
        <w:rPr>
          <w:b/>
          <w:bCs/>
          <w:lang w:val="fr-FR"/>
        </w:rPr>
        <w:t xml:space="preserve">Accord de 1958 : </w:t>
      </w:r>
      <w:r>
        <w:rPr>
          <w:b/>
          <w:bCs/>
          <w:lang w:val="fr-FR"/>
        </w:rPr>
        <w:br/>
      </w:r>
      <w:r w:rsidRPr="00F2682C">
        <w:rPr>
          <w:b/>
          <w:bCs/>
          <w:lang w:val="fr-FR"/>
        </w:rPr>
        <w:t>Examen de projets d</w:t>
      </w:r>
      <w:r w:rsidR="007C4CF3">
        <w:rPr>
          <w:b/>
          <w:bCs/>
          <w:lang w:val="fr-FR"/>
        </w:rPr>
        <w:t>’</w:t>
      </w:r>
      <w:r w:rsidRPr="00F2682C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F2682C">
        <w:rPr>
          <w:b/>
          <w:bCs/>
          <w:lang w:val="fr-FR"/>
        </w:rPr>
        <w:t>existants, soumis par le GRPE</w:t>
      </w:r>
    </w:p>
    <w:p w14:paraId="24871C70" w14:textId="77777777" w:rsidR="00392368" w:rsidRDefault="00392368" w:rsidP="0039236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10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85 (Mesure de la puissance nette et de la puissance </w:t>
      </w:r>
      <w:r>
        <w:rPr>
          <w:lang w:val="fr-FR"/>
        </w:rPr>
        <w:br/>
        <w:t>maximale sur 30 minutes)</w:t>
      </w:r>
    </w:p>
    <w:p w14:paraId="6E5ABBDE" w14:textId="77777777" w:rsidR="00392368" w:rsidRDefault="00392368" w:rsidP="00392368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392368">
        <w:t>Communication</w:t>
      </w:r>
      <w:r>
        <w:rPr>
          <w:lang w:val="fr-FR"/>
        </w:rPr>
        <w:t xml:space="preserve"> du Groupe de travail de la pollution </w:t>
      </w:r>
      <w:r>
        <w:rPr>
          <w:lang w:val="fr-FR"/>
        </w:rPr>
        <w:br/>
        <w:t>et de l</w:t>
      </w:r>
      <w:r w:rsidR="007C4CF3">
        <w:rPr>
          <w:lang w:val="fr-FR"/>
        </w:rPr>
        <w:t>’</w:t>
      </w:r>
      <w:r>
        <w:rPr>
          <w:lang w:val="fr-FR"/>
        </w:rPr>
        <w:t>énergie</w:t>
      </w:r>
      <w:r w:rsidRPr="00392368">
        <w:rPr>
          <w:rStyle w:val="FootnoteReference"/>
          <w:b w:val="0"/>
          <w:bCs/>
          <w:vertAlign w:val="baseline"/>
          <w:lang w:val="fr-FR"/>
        </w:rPr>
        <w:footnoteReference w:customMarkFollows="1" w:id="2"/>
        <w:t>*</w:t>
      </w:r>
    </w:p>
    <w:p w14:paraId="29E622EB" w14:textId="77777777" w:rsidR="00392368" w:rsidRDefault="00392368" w:rsidP="00392368">
      <w:pPr>
        <w:pStyle w:val="SingleTxtG"/>
        <w:rPr>
          <w:szCs w:val="24"/>
        </w:rPr>
      </w:pPr>
      <w:r>
        <w:rPr>
          <w:lang w:val="fr-FR"/>
        </w:rPr>
        <w:tab/>
        <w:t>Le texte ci-dessous a été adopté par le Groupe de travail de la pollution et de l</w:t>
      </w:r>
      <w:r w:rsidR="007C4CF3">
        <w:rPr>
          <w:lang w:val="fr-FR"/>
        </w:rPr>
        <w:t>’</w:t>
      </w:r>
      <w:r>
        <w:rPr>
          <w:lang w:val="fr-FR"/>
        </w:rPr>
        <w:t>énergie (GRPE) à sa soixante-dix</w:t>
      </w:r>
      <w:r>
        <w:rPr>
          <w:lang w:val="fr-FR"/>
        </w:rPr>
        <w:noBreakHyphen/>
        <w:t>neuvième session (ECE/TRANS/WP.29/GRPE/79, par. 34). Il est fondé sur le document ECE/TRANS/WP.29/GRPE/2019/11 tel que modifié et reproduit à l</w:t>
      </w:r>
      <w:r w:rsidR="007C4CF3">
        <w:rPr>
          <w:lang w:val="fr-FR"/>
        </w:rPr>
        <w:t>’</w:t>
      </w:r>
      <w:r>
        <w:rPr>
          <w:lang w:val="fr-FR"/>
        </w:rPr>
        <w:t>annexe V du rapport. Il est soumis au Forum mondial de l</w:t>
      </w:r>
      <w:r w:rsidR="007C4CF3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7C4CF3">
        <w:rPr>
          <w:lang w:val="fr-FR"/>
        </w:rPr>
        <w:t>’</w:t>
      </w:r>
      <w:r>
        <w:rPr>
          <w:lang w:val="fr-FR"/>
        </w:rPr>
        <w:t>administration (AC.1) pour examen à leurs sessions de novembre 2019.</w:t>
      </w:r>
    </w:p>
    <w:p w14:paraId="7CD6612B" w14:textId="77777777" w:rsidR="00392368" w:rsidRDefault="00392368" w:rsidP="00870D6B">
      <w:pPr>
        <w:pStyle w:val="HChG"/>
      </w:pPr>
      <w: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10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85 </w:t>
      </w:r>
      <w:r w:rsidR="00484C8C">
        <w:rPr>
          <w:lang w:val="fr-FR"/>
        </w:rPr>
        <w:br/>
      </w:r>
      <w:r>
        <w:rPr>
          <w:lang w:val="fr-FR"/>
        </w:rPr>
        <w:t xml:space="preserve">(Mesure de la puissance nette et de la puissance </w:t>
      </w:r>
      <w:r w:rsidR="00484C8C">
        <w:rPr>
          <w:lang w:val="fr-FR"/>
        </w:rPr>
        <w:br/>
      </w:r>
      <w:r>
        <w:rPr>
          <w:lang w:val="fr-FR"/>
        </w:rPr>
        <w:t>maximale sur 30 minutes)</w:t>
      </w:r>
    </w:p>
    <w:p w14:paraId="475A999E" w14:textId="77777777" w:rsidR="00392368" w:rsidRPr="00F2682C" w:rsidRDefault="00392368" w:rsidP="00870D6B">
      <w:pPr>
        <w:pStyle w:val="SingleTxtG"/>
      </w:pPr>
      <w:r w:rsidRPr="00870D6B">
        <w:rPr>
          <w:i/>
        </w:rPr>
        <w:t>Annexe 5, tableau 1, note de bas de page 9</w:t>
      </w:r>
      <w:r w:rsidRPr="00870D6B">
        <w:t>, lire</w:t>
      </w:r>
      <w:r w:rsidRPr="00F2682C">
        <w:rPr>
          <w:iCs/>
          <w:lang w:val="fr-FR"/>
        </w:rPr>
        <w:t> :</w:t>
      </w:r>
    </w:p>
    <w:p w14:paraId="79C42AEC" w14:textId="77777777" w:rsidR="00392368" w:rsidRPr="0014353F" w:rsidRDefault="00870D6B" w:rsidP="00870D6B">
      <w:pPr>
        <w:pStyle w:val="SingleTxtG"/>
        <w:rPr>
          <w:lang w:val="fr-FR"/>
        </w:rPr>
      </w:pPr>
      <w:r w:rsidRPr="00870D6B">
        <w:rPr>
          <w:lang w:val="fr-FR"/>
        </w:rPr>
        <w:t>« </w:t>
      </w:r>
      <w:r w:rsidR="00392368" w:rsidRPr="00F2682C">
        <w:rPr>
          <w:vertAlign w:val="superscript"/>
          <w:lang w:val="fr-FR"/>
        </w:rPr>
        <w:t>9</w:t>
      </w:r>
      <w:r w:rsidR="007C4CF3">
        <w:rPr>
          <w:lang w:val="fr-FR"/>
        </w:rPr>
        <w:t xml:space="preserve"> </w:t>
      </w:r>
      <w:r w:rsidR="00392368">
        <w:rPr>
          <w:lang w:val="fr-FR"/>
        </w:rPr>
        <w:t>Les moteurs suralimentés à refroidissement intermédiaire sont essayés avec les dispositifs de refroidissement de la charge, qu</w:t>
      </w:r>
      <w:r w:rsidR="007C4CF3">
        <w:rPr>
          <w:lang w:val="fr-FR"/>
        </w:rPr>
        <w:t>’</w:t>
      </w:r>
      <w:r w:rsidR="00392368">
        <w:rPr>
          <w:lang w:val="fr-FR"/>
        </w:rPr>
        <w:t>ils soient à air ou à liquide. Toutefois, si le constructeur le souhaite, une installation sur banc d</w:t>
      </w:r>
      <w:r w:rsidR="007C4CF3">
        <w:rPr>
          <w:lang w:val="fr-FR"/>
        </w:rPr>
        <w:t>’</w:t>
      </w:r>
      <w:r w:rsidR="00392368">
        <w:rPr>
          <w:lang w:val="fr-FR"/>
        </w:rPr>
        <w:t>essai peut remplacer le refroidisseur à air. Dans tous les cas, la puissance à chaque régime est mesurée d</w:t>
      </w:r>
      <w:r w:rsidR="007C4CF3">
        <w:rPr>
          <w:lang w:val="fr-FR"/>
        </w:rPr>
        <w:t>’</w:t>
      </w:r>
      <w:r w:rsidR="00392368">
        <w:rPr>
          <w:lang w:val="fr-FR"/>
        </w:rPr>
        <w:t>après la même chute de température et la même chute de pression de l</w:t>
      </w:r>
      <w:r w:rsidR="007C4CF3">
        <w:rPr>
          <w:lang w:val="fr-FR"/>
        </w:rPr>
        <w:t>’</w:t>
      </w:r>
      <w:r w:rsidR="00392368">
        <w:rPr>
          <w:lang w:val="fr-FR"/>
        </w:rPr>
        <w:t>air aspiré dans le refroidisseur sur le banc d</w:t>
      </w:r>
      <w:r w:rsidR="007C4CF3">
        <w:rPr>
          <w:lang w:val="fr-FR"/>
        </w:rPr>
        <w:t>’</w:t>
      </w:r>
      <w:r w:rsidR="00392368">
        <w:rPr>
          <w:lang w:val="fr-FR"/>
        </w:rPr>
        <w:t>essai que celles fixées par le constructeur pour le véhicule.</w:t>
      </w:r>
    </w:p>
    <w:p w14:paraId="75AF887B" w14:textId="77777777" w:rsidR="00392368" w:rsidRPr="007C4CF3" w:rsidRDefault="00392368" w:rsidP="00870D6B">
      <w:pPr>
        <w:pStyle w:val="SingleTxtG"/>
        <w:rPr>
          <w:lang w:val="fr-FR"/>
        </w:rPr>
      </w:pPr>
      <w:r w:rsidRPr="007C4CF3">
        <w:rPr>
          <w:lang w:val="fr-FR"/>
        </w:rPr>
        <w:t>À la demande du constructeur, et avec l</w:t>
      </w:r>
      <w:r w:rsidR="007C4CF3" w:rsidRPr="007C4CF3">
        <w:rPr>
          <w:lang w:val="fr-FR"/>
        </w:rPr>
        <w:t>’</w:t>
      </w:r>
      <w:r w:rsidRPr="007C4CF3">
        <w:rPr>
          <w:lang w:val="fr-FR"/>
        </w:rPr>
        <w:t>accord de l</w:t>
      </w:r>
      <w:r w:rsidR="007C4CF3" w:rsidRPr="007C4CF3">
        <w:rPr>
          <w:lang w:val="fr-FR"/>
        </w:rPr>
        <w:t>’</w:t>
      </w:r>
      <w:r w:rsidRPr="007C4CF3">
        <w:rPr>
          <w:lang w:val="fr-FR"/>
        </w:rPr>
        <w:t>autorité d</w:t>
      </w:r>
      <w:r w:rsidR="007C4CF3" w:rsidRPr="007C4CF3">
        <w:rPr>
          <w:lang w:val="fr-FR"/>
        </w:rPr>
        <w:t>’</w:t>
      </w:r>
      <w:r w:rsidRPr="007C4CF3">
        <w:rPr>
          <w:lang w:val="fr-FR"/>
        </w:rPr>
        <w:t>homologation, la mesure de la puissance (à chaque régime) peut également être réalisée dans les conditions suivantes pour la température en sortie du refroidisseur à air</w:t>
      </w:r>
      <w:r w:rsidR="00484C8C">
        <w:rPr>
          <w:lang w:val="fr-FR"/>
        </w:rPr>
        <w:t> </w:t>
      </w:r>
      <w:r w:rsidRPr="007C4CF3">
        <w:rPr>
          <w:lang w:val="fr-FR"/>
        </w:rPr>
        <w:t>:</w:t>
      </w:r>
    </w:p>
    <w:p w14:paraId="6A13D47C" w14:textId="77777777" w:rsidR="007C4CF3" w:rsidRPr="008E0C38" w:rsidRDefault="007C4CF3" w:rsidP="007C4CF3">
      <w:pPr>
        <w:pStyle w:val="SingleTxtG"/>
        <w:ind w:left="1701"/>
        <w:rPr>
          <w:lang w:val="fr-FR"/>
        </w:rPr>
      </w:pPr>
      <w:r w:rsidRPr="008E0C38">
        <w:rPr>
          <w:lang w:val="fr-FR"/>
        </w:rPr>
        <w:t>T</w:t>
      </w:r>
      <w:r w:rsidRPr="008E0C38">
        <w:rPr>
          <w:vertAlign w:val="subscript"/>
          <w:lang w:val="fr-FR"/>
        </w:rPr>
        <w:t>sortie, banc, N</w:t>
      </w:r>
      <w:r w:rsidRPr="008E0C38">
        <w:rPr>
          <w:lang w:val="fr-FR"/>
        </w:rPr>
        <w:t xml:space="preserve"> = T</w:t>
      </w:r>
      <w:r w:rsidRPr="008E0C38">
        <w:rPr>
          <w:vertAlign w:val="subscript"/>
          <w:lang w:val="fr-FR"/>
        </w:rPr>
        <w:t>sortie, véhicule, N</w:t>
      </w:r>
      <w:r w:rsidRPr="008E0C38">
        <w:rPr>
          <w:lang w:val="fr-FR"/>
        </w:rPr>
        <w:t xml:space="preserve"> - (T</w:t>
      </w:r>
      <w:r w:rsidRPr="008E0C38">
        <w:rPr>
          <w:vertAlign w:val="subscript"/>
          <w:lang w:val="fr-FR"/>
        </w:rPr>
        <w:t>amb</w:t>
      </w:r>
      <w:r w:rsidRPr="008E0C38">
        <w:rPr>
          <w:lang w:val="fr-FR"/>
        </w:rPr>
        <w:t xml:space="preserve"> – 298)</w:t>
      </w:r>
    </w:p>
    <w:p w14:paraId="15CB985A" w14:textId="77777777" w:rsidR="007C4CF3" w:rsidRPr="008E0C38" w:rsidRDefault="007C4CF3" w:rsidP="007C4CF3">
      <w:pPr>
        <w:pStyle w:val="SingleTxtG"/>
        <w:ind w:left="1701"/>
        <w:rPr>
          <w:lang w:val="fr-FR"/>
        </w:rPr>
      </w:pPr>
      <w:r w:rsidRPr="008E0C38">
        <w:rPr>
          <w:lang w:val="fr-FR"/>
        </w:rPr>
        <w:t>Où</w:t>
      </w:r>
      <w:r>
        <w:rPr>
          <w:lang w:val="fr-FR"/>
        </w:rPr>
        <w:t> </w:t>
      </w:r>
      <w:r w:rsidRPr="008E0C38">
        <w:rPr>
          <w:lang w:val="fr-FR"/>
        </w:rPr>
        <w:t>:</w:t>
      </w:r>
    </w:p>
    <w:p w14:paraId="3EA07F79" w14:textId="77777777" w:rsidR="007C4CF3" w:rsidRPr="008E0C38" w:rsidRDefault="007C4CF3" w:rsidP="007C4CF3">
      <w:pPr>
        <w:pStyle w:val="SingleTxtG"/>
        <w:ind w:left="1701"/>
        <w:rPr>
          <w:lang w:val="fr-FR"/>
        </w:rPr>
      </w:pPr>
      <w:r w:rsidRPr="008E0C38">
        <w:rPr>
          <w:lang w:val="fr-FR"/>
        </w:rPr>
        <w:t>T</w:t>
      </w:r>
      <w:r w:rsidRPr="008E0C38">
        <w:rPr>
          <w:vertAlign w:val="subscript"/>
          <w:lang w:val="fr-FR"/>
        </w:rPr>
        <w:t>sortie, banc, N</w:t>
      </w:r>
      <w:r w:rsidRPr="008E0C38">
        <w:rPr>
          <w:lang w:val="fr-FR"/>
        </w:rPr>
        <w:t xml:space="preserve"> est la température au régime moteur N durant l</w:t>
      </w:r>
      <w:r>
        <w:rPr>
          <w:lang w:val="fr-FR"/>
        </w:rPr>
        <w:t>’</w:t>
      </w:r>
      <w:r w:rsidRPr="008E0C38">
        <w:rPr>
          <w:lang w:val="fr-FR"/>
        </w:rPr>
        <w:t>essai sur banc</w:t>
      </w:r>
      <w:r>
        <w:rPr>
          <w:lang w:val="fr-FR"/>
        </w:rPr>
        <w:t xml:space="preserve"> (K)</w:t>
      </w:r>
    </w:p>
    <w:p w14:paraId="2E472970" w14:textId="77777777" w:rsidR="007C4CF3" w:rsidRPr="008E0C38" w:rsidRDefault="007C4CF3" w:rsidP="007C4CF3">
      <w:pPr>
        <w:pStyle w:val="SingleTxtG"/>
        <w:ind w:left="1701"/>
        <w:rPr>
          <w:lang w:val="fr-FR"/>
        </w:rPr>
      </w:pPr>
      <w:r w:rsidRPr="008E0C38">
        <w:rPr>
          <w:lang w:val="fr-FR"/>
        </w:rPr>
        <w:t>T</w:t>
      </w:r>
      <w:r w:rsidRPr="008E0C38">
        <w:rPr>
          <w:vertAlign w:val="subscript"/>
          <w:lang w:val="fr-FR"/>
        </w:rPr>
        <w:t>sortie, véhicule, N</w:t>
      </w:r>
      <w:r w:rsidRPr="008E0C38">
        <w:rPr>
          <w:lang w:val="fr-FR"/>
        </w:rPr>
        <w:t xml:space="preserve"> est la température mesurée au régime moteur N durant l</w:t>
      </w:r>
      <w:r>
        <w:rPr>
          <w:lang w:val="fr-FR"/>
        </w:rPr>
        <w:t>’</w:t>
      </w:r>
      <w:r w:rsidRPr="008E0C38">
        <w:rPr>
          <w:lang w:val="fr-FR"/>
        </w:rPr>
        <w:t>essai complet du véhicule (K)</w:t>
      </w:r>
    </w:p>
    <w:p w14:paraId="7B0D776A" w14:textId="77777777" w:rsidR="00F9573C" w:rsidRDefault="007C4CF3" w:rsidP="007C4CF3">
      <w:pPr>
        <w:pStyle w:val="SingleTxtG"/>
        <w:ind w:left="1701"/>
        <w:rPr>
          <w:lang w:val="fr-FR"/>
        </w:rPr>
      </w:pPr>
      <w:r w:rsidRPr="008E0C38">
        <w:rPr>
          <w:lang w:val="fr-FR"/>
        </w:rPr>
        <w:t>T</w:t>
      </w:r>
      <w:r w:rsidRPr="008E0C38">
        <w:rPr>
          <w:vertAlign w:val="subscript"/>
          <w:lang w:val="fr-FR"/>
        </w:rPr>
        <w:t>amb</w:t>
      </w:r>
      <w:r w:rsidRPr="008E0C38">
        <w:rPr>
          <w:lang w:val="fr-FR"/>
        </w:rPr>
        <w:t xml:space="preserve"> est la température ambiante durant l</w:t>
      </w:r>
      <w:r>
        <w:rPr>
          <w:lang w:val="fr-FR"/>
        </w:rPr>
        <w:t>’</w:t>
      </w:r>
      <w:r w:rsidRPr="008E0C38">
        <w:rPr>
          <w:lang w:val="fr-FR"/>
        </w:rPr>
        <w:t>essai complet du véhicule (K)</w:t>
      </w:r>
      <w:r>
        <w:rPr>
          <w:lang w:val="fr-FR"/>
        </w:rPr>
        <w:t>. ».</w:t>
      </w:r>
    </w:p>
    <w:p w14:paraId="4EAB1385" w14:textId="77777777" w:rsidR="007C4CF3" w:rsidRPr="007C4CF3" w:rsidRDefault="007C4CF3" w:rsidP="007C4CF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C4CF3" w:rsidRPr="007C4CF3" w:rsidSect="003923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50C4" w14:textId="77777777" w:rsidR="00FC02A3" w:rsidRDefault="00FC02A3" w:rsidP="00F95C08">
      <w:pPr>
        <w:spacing w:line="240" w:lineRule="auto"/>
      </w:pPr>
    </w:p>
  </w:endnote>
  <w:endnote w:type="continuationSeparator" w:id="0">
    <w:p w14:paraId="6E74F59C" w14:textId="77777777" w:rsidR="00FC02A3" w:rsidRPr="00AC3823" w:rsidRDefault="00FC02A3" w:rsidP="00AC3823">
      <w:pPr>
        <w:pStyle w:val="Footer"/>
      </w:pPr>
    </w:p>
  </w:endnote>
  <w:endnote w:type="continuationNotice" w:id="1">
    <w:p w14:paraId="3BDEDA2C" w14:textId="77777777" w:rsidR="00FC02A3" w:rsidRDefault="00FC02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7799" w14:textId="77777777" w:rsidR="00392368" w:rsidRPr="00392368" w:rsidRDefault="00392368" w:rsidP="00392368">
    <w:pPr>
      <w:pStyle w:val="Footer"/>
      <w:tabs>
        <w:tab w:val="right" w:pos="9638"/>
      </w:tabs>
    </w:pPr>
    <w:r w:rsidRPr="00392368">
      <w:rPr>
        <w:b/>
        <w:sz w:val="18"/>
      </w:rPr>
      <w:fldChar w:fldCharType="begin"/>
    </w:r>
    <w:r w:rsidRPr="00392368">
      <w:rPr>
        <w:b/>
        <w:sz w:val="18"/>
      </w:rPr>
      <w:instrText xml:space="preserve"> PAGE  \* MERGEFORMAT </w:instrText>
    </w:r>
    <w:r w:rsidRPr="00392368">
      <w:rPr>
        <w:b/>
        <w:sz w:val="18"/>
      </w:rPr>
      <w:fldChar w:fldCharType="separate"/>
    </w:r>
    <w:r w:rsidRPr="00392368">
      <w:rPr>
        <w:b/>
        <w:noProof/>
        <w:sz w:val="18"/>
      </w:rPr>
      <w:t>2</w:t>
    </w:r>
    <w:r w:rsidRPr="00392368">
      <w:rPr>
        <w:b/>
        <w:sz w:val="18"/>
      </w:rPr>
      <w:fldChar w:fldCharType="end"/>
    </w:r>
    <w:r>
      <w:rPr>
        <w:b/>
        <w:sz w:val="18"/>
      </w:rPr>
      <w:tab/>
    </w:r>
    <w:r>
      <w:t>GE.19-14565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05B3" w14:textId="77777777" w:rsidR="00392368" w:rsidRPr="00392368" w:rsidRDefault="00392368" w:rsidP="00392368">
    <w:pPr>
      <w:pStyle w:val="Footer"/>
      <w:tabs>
        <w:tab w:val="right" w:pos="9638"/>
      </w:tabs>
      <w:rPr>
        <w:b/>
        <w:sz w:val="18"/>
      </w:rPr>
    </w:pPr>
    <w:r>
      <w:t>GE.19-14565</w:t>
    </w:r>
    <w:r>
      <w:tab/>
    </w:r>
    <w:r w:rsidRPr="00392368">
      <w:rPr>
        <w:b/>
        <w:sz w:val="18"/>
      </w:rPr>
      <w:fldChar w:fldCharType="begin"/>
    </w:r>
    <w:r w:rsidRPr="00392368">
      <w:rPr>
        <w:b/>
        <w:sz w:val="18"/>
      </w:rPr>
      <w:instrText xml:space="preserve"> PAGE  \* MERGEFORMAT </w:instrText>
    </w:r>
    <w:r w:rsidRPr="00392368">
      <w:rPr>
        <w:b/>
        <w:sz w:val="18"/>
      </w:rPr>
      <w:fldChar w:fldCharType="separate"/>
    </w:r>
    <w:r w:rsidRPr="00392368">
      <w:rPr>
        <w:b/>
        <w:noProof/>
        <w:sz w:val="18"/>
      </w:rPr>
      <w:t>3</w:t>
    </w:r>
    <w:r w:rsidRPr="003923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2524" w14:textId="77777777" w:rsidR="007F20FA" w:rsidRPr="00392368" w:rsidRDefault="00392368" w:rsidP="003923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5D4F4A9" wp14:editId="15BAD03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14565  (</w:t>
    </w:r>
    <w:proofErr w:type="gramEnd"/>
    <w:r>
      <w:rPr>
        <w:sz w:val="20"/>
      </w:rPr>
      <w:t>F)    170919    240919</w:t>
    </w:r>
    <w:r>
      <w:rPr>
        <w:sz w:val="20"/>
      </w:rPr>
      <w:br/>
    </w:r>
    <w:r w:rsidRPr="00392368">
      <w:rPr>
        <w:rFonts w:ascii="C39T30Lfz" w:hAnsi="C39T30Lfz"/>
        <w:sz w:val="56"/>
      </w:rPr>
      <w:t></w:t>
    </w:r>
    <w:r w:rsidRPr="00392368">
      <w:rPr>
        <w:rFonts w:ascii="C39T30Lfz" w:hAnsi="C39T30Lfz"/>
        <w:sz w:val="56"/>
      </w:rPr>
      <w:t></w:t>
    </w:r>
    <w:r w:rsidRPr="00392368">
      <w:rPr>
        <w:rFonts w:ascii="C39T30Lfz" w:hAnsi="C39T30Lfz"/>
        <w:sz w:val="56"/>
      </w:rPr>
      <w:t></w:t>
    </w:r>
    <w:r w:rsidRPr="00392368">
      <w:rPr>
        <w:rFonts w:ascii="C39T30Lfz" w:hAnsi="C39T30Lfz"/>
        <w:sz w:val="56"/>
      </w:rPr>
      <w:t></w:t>
    </w:r>
    <w:r w:rsidRPr="00392368">
      <w:rPr>
        <w:rFonts w:ascii="C39T30Lfz" w:hAnsi="C39T30Lfz"/>
        <w:sz w:val="56"/>
      </w:rPr>
      <w:t></w:t>
    </w:r>
    <w:r w:rsidRPr="00392368">
      <w:rPr>
        <w:rFonts w:ascii="C39T30Lfz" w:hAnsi="C39T30Lfz"/>
        <w:sz w:val="56"/>
      </w:rPr>
      <w:t></w:t>
    </w:r>
    <w:r w:rsidRPr="00392368">
      <w:rPr>
        <w:rFonts w:ascii="C39T30Lfz" w:hAnsi="C39T30Lfz"/>
        <w:sz w:val="56"/>
      </w:rPr>
      <w:t></w:t>
    </w:r>
    <w:r w:rsidRPr="00392368">
      <w:rPr>
        <w:rFonts w:ascii="C39T30Lfz" w:hAnsi="C39T30Lfz"/>
        <w:sz w:val="56"/>
      </w:rPr>
      <w:t></w:t>
    </w:r>
    <w:r w:rsidRPr="0039236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472EC0C" wp14:editId="77D67CF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2800" w14:textId="77777777" w:rsidR="00FC02A3" w:rsidRPr="00AC3823" w:rsidRDefault="00FC02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D199FA" w14:textId="77777777" w:rsidR="00FC02A3" w:rsidRPr="00AC3823" w:rsidRDefault="00FC02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545961" w14:textId="77777777" w:rsidR="00FC02A3" w:rsidRPr="00AC3823" w:rsidRDefault="00FC02A3">
      <w:pPr>
        <w:spacing w:line="240" w:lineRule="auto"/>
        <w:rPr>
          <w:sz w:val="2"/>
          <w:szCs w:val="2"/>
        </w:rPr>
      </w:pPr>
    </w:p>
  </w:footnote>
  <w:footnote w:id="2">
    <w:p w14:paraId="7A844207" w14:textId="77777777" w:rsidR="00392368" w:rsidRDefault="00392368" w:rsidP="00392368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ECE/TRANS/2018/21, module 3.1), le Forum mondial a pour mission d</w:t>
      </w:r>
      <w:r w:rsidR="00870D6B">
        <w:rPr>
          <w:lang w:val="fr-FR"/>
        </w:rPr>
        <w:t>’</w:t>
      </w:r>
      <w:r>
        <w:rPr>
          <w:lang w:val="fr-FR"/>
        </w:rPr>
        <w:t>élaborer, d</w:t>
      </w:r>
      <w:r w:rsidR="00870D6B">
        <w:rPr>
          <w:lang w:val="fr-FR"/>
        </w:rPr>
        <w:t>’</w:t>
      </w:r>
      <w:r>
        <w:rPr>
          <w:lang w:val="fr-FR"/>
        </w:rPr>
        <w:t xml:space="preserve">harmoniser et de mettre à jour les Règlements ONU en </w:t>
      </w:r>
      <w:r w:rsidRPr="00392368">
        <w:t>vue</w:t>
      </w:r>
      <w:r>
        <w:rPr>
          <w:lang w:val="fr-FR"/>
        </w:rPr>
        <w:t xml:space="preserve"> d</w:t>
      </w:r>
      <w:r w:rsidR="00870D6B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F832" w14:textId="3579DD9E" w:rsidR="00392368" w:rsidRPr="00392368" w:rsidRDefault="008E798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CE52" w14:textId="3C2B1B19" w:rsidR="00392368" w:rsidRPr="00392368" w:rsidRDefault="008E7986" w:rsidP="0039236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A3"/>
    <w:rsid w:val="00017F94"/>
    <w:rsid w:val="00023842"/>
    <w:rsid w:val="000334F9"/>
    <w:rsid w:val="00045FEB"/>
    <w:rsid w:val="0007796D"/>
    <w:rsid w:val="0009163C"/>
    <w:rsid w:val="000B7790"/>
    <w:rsid w:val="00111F2F"/>
    <w:rsid w:val="0014365E"/>
    <w:rsid w:val="00143C66"/>
    <w:rsid w:val="00176178"/>
    <w:rsid w:val="001F525A"/>
    <w:rsid w:val="002015B0"/>
    <w:rsid w:val="00223272"/>
    <w:rsid w:val="0024779E"/>
    <w:rsid w:val="00257168"/>
    <w:rsid w:val="002744B8"/>
    <w:rsid w:val="002832AC"/>
    <w:rsid w:val="002D7C93"/>
    <w:rsid w:val="00305801"/>
    <w:rsid w:val="003916DE"/>
    <w:rsid w:val="00392368"/>
    <w:rsid w:val="00421996"/>
    <w:rsid w:val="00441C3B"/>
    <w:rsid w:val="00446FE5"/>
    <w:rsid w:val="00452396"/>
    <w:rsid w:val="004837D8"/>
    <w:rsid w:val="00484C8C"/>
    <w:rsid w:val="004D34CA"/>
    <w:rsid w:val="004E2EED"/>
    <w:rsid w:val="004E468C"/>
    <w:rsid w:val="005505B7"/>
    <w:rsid w:val="00573BE5"/>
    <w:rsid w:val="00586ED3"/>
    <w:rsid w:val="00596AA9"/>
    <w:rsid w:val="0071601D"/>
    <w:rsid w:val="007A62E6"/>
    <w:rsid w:val="007C4CF3"/>
    <w:rsid w:val="007F20FA"/>
    <w:rsid w:val="0080684C"/>
    <w:rsid w:val="00825295"/>
    <w:rsid w:val="00842959"/>
    <w:rsid w:val="00870D6B"/>
    <w:rsid w:val="00871C75"/>
    <w:rsid w:val="008776DC"/>
    <w:rsid w:val="008E18DF"/>
    <w:rsid w:val="008E7986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1880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3712A"/>
    <w:rsid w:val="00F660DF"/>
    <w:rsid w:val="00F94664"/>
    <w:rsid w:val="00F9573C"/>
    <w:rsid w:val="00F95C08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A69FD"/>
  <w15:docId w15:val="{B4D62B64-5204-4CB9-A188-8302A00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3923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39236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39236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paraChar">
    <w:name w:val="para Char"/>
    <w:link w:val="para"/>
    <w:locked/>
    <w:rsid w:val="00392368"/>
  </w:style>
  <w:style w:type="paragraph" w:customStyle="1" w:styleId="para">
    <w:name w:val="para"/>
    <w:basedOn w:val="Normal"/>
    <w:link w:val="paraChar"/>
    <w:qFormat/>
    <w:rsid w:val="00392368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asciiTheme="minorHAnsi" w:eastAsia="Times New Roman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ECE/TRANS/WP.29/2019/112</vt:lpstr>
      <vt:lpstr>ECE/TRANS/WP.29/2019/112</vt:lpstr>
    </vt:vector>
  </TitlesOfParts>
  <Company>DCM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ECE/TRANS/WP.29/2019/112</dc:title>
  <dc:subject/>
  <dc:creator>Isabelle VIGNY</dc:creator>
  <cp:keywords/>
  <cp:lastModifiedBy>Marie-Claude Collet</cp:lastModifiedBy>
  <cp:revision>3</cp:revision>
  <cp:lastPrinted>2019-09-25T06:10:00Z</cp:lastPrinted>
  <dcterms:created xsi:type="dcterms:W3CDTF">2019-09-25T06:10:00Z</dcterms:created>
  <dcterms:modified xsi:type="dcterms:W3CDTF">2019-09-25T06:10:00Z</dcterms:modified>
</cp:coreProperties>
</file>