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B2D3F" w:rsidRPr="00DB2D3F" w14:paraId="2635531A" w14:textId="77777777" w:rsidTr="00C97039">
        <w:trPr>
          <w:trHeight w:hRule="exact" w:val="851"/>
        </w:trPr>
        <w:tc>
          <w:tcPr>
            <w:tcW w:w="1276" w:type="dxa"/>
            <w:tcBorders>
              <w:bottom w:val="single" w:sz="4" w:space="0" w:color="auto"/>
            </w:tcBorders>
          </w:tcPr>
          <w:p w14:paraId="67F47308" w14:textId="77777777" w:rsidR="00F35BAF" w:rsidRPr="00DB2D3F" w:rsidRDefault="00F35BAF" w:rsidP="007D18BC">
            <w:bookmarkStart w:id="0" w:name="_GoBack"/>
            <w:bookmarkEnd w:id="0"/>
          </w:p>
        </w:tc>
        <w:tc>
          <w:tcPr>
            <w:tcW w:w="2268" w:type="dxa"/>
            <w:tcBorders>
              <w:bottom w:val="single" w:sz="4" w:space="0" w:color="auto"/>
            </w:tcBorders>
            <w:vAlign w:val="bottom"/>
          </w:tcPr>
          <w:p w14:paraId="27EDE821" w14:textId="77777777" w:rsidR="00F35BAF" w:rsidRPr="00DB2D3F" w:rsidRDefault="00F35BAF" w:rsidP="00C97039">
            <w:pPr>
              <w:spacing w:after="80" w:line="300" w:lineRule="exact"/>
              <w:rPr>
                <w:sz w:val="28"/>
              </w:rPr>
            </w:pPr>
            <w:r w:rsidRPr="00DB2D3F">
              <w:rPr>
                <w:sz w:val="28"/>
              </w:rPr>
              <w:t>Nations Unies</w:t>
            </w:r>
          </w:p>
        </w:tc>
        <w:tc>
          <w:tcPr>
            <w:tcW w:w="6095" w:type="dxa"/>
            <w:gridSpan w:val="2"/>
            <w:tcBorders>
              <w:bottom w:val="single" w:sz="4" w:space="0" w:color="auto"/>
            </w:tcBorders>
            <w:vAlign w:val="bottom"/>
          </w:tcPr>
          <w:p w14:paraId="6CEEF4E1" w14:textId="77777777" w:rsidR="00F35BAF" w:rsidRPr="00DB2D3F" w:rsidRDefault="007D18BC" w:rsidP="007D18BC">
            <w:pPr>
              <w:jc w:val="right"/>
            </w:pPr>
            <w:r w:rsidRPr="00DB2D3F">
              <w:rPr>
                <w:sz w:val="40"/>
              </w:rPr>
              <w:t>ECE</w:t>
            </w:r>
            <w:r w:rsidRPr="00DB2D3F">
              <w:t>/TRANS/WP.29/2019/78</w:t>
            </w:r>
          </w:p>
        </w:tc>
      </w:tr>
      <w:tr w:rsidR="00DB2D3F" w:rsidRPr="00DB2D3F" w14:paraId="670B2267" w14:textId="77777777" w:rsidTr="00C97039">
        <w:trPr>
          <w:trHeight w:hRule="exact" w:val="2835"/>
        </w:trPr>
        <w:tc>
          <w:tcPr>
            <w:tcW w:w="1276" w:type="dxa"/>
            <w:tcBorders>
              <w:top w:val="single" w:sz="4" w:space="0" w:color="auto"/>
              <w:bottom w:val="single" w:sz="12" w:space="0" w:color="auto"/>
            </w:tcBorders>
          </w:tcPr>
          <w:p w14:paraId="66C1CD8E" w14:textId="77777777" w:rsidR="00F35BAF" w:rsidRPr="00DB2D3F" w:rsidRDefault="00F35BAF" w:rsidP="00C97039">
            <w:pPr>
              <w:spacing w:before="120"/>
              <w:jc w:val="center"/>
            </w:pPr>
            <w:r w:rsidRPr="00DB2D3F">
              <w:rPr>
                <w:noProof/>
                <w:lang w:eastAsia="fr-CH"/>
              </w:rPr>
              <w:drawing>
                <wp:inline distT="0" distB="0" distL="0" distR="0" wp14:anchorId="33ED33E5" wp14:editId="2DECAEE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F7BADF" w14:textId="77777777" w:rsidR="00F35BAF" w:rsidRPr="00DB2D3F" w:rsidRDefault="00F35BAF" w:rsidP="00C97039">
            <w:pPr>
              <w:spacing w:before="120" w:line="420" w:lineRule="exact"/>
              <w:rPr>
                <w:b/>
                <w:sz w:val="40"/>
                <w:szCs w:val="40"/>
              </w:rPr>
            </w:pPr>
            <w:r w:rsidRPr="00DB2D3F">
              <w:rPr>
                <w:b/>
                <w:sz w:val="40"/>
                <w:szCs w:val="40"/>
              </w:rPr>
              <w:t>Conseil économique et social</w:t>
            </w:r>
          </w:p>
        </w:tc>
        <w:tc>
          <w:tcPr>
            <w:tcW w:w="2835" w:type="dxa"/>
            <w:tcBorders>
              <w:top w:val="single" w:sz="4" w:space="0" w:color="auto"/>
              <w:bottom w:val="single" w:sz="12" w:space="0" w:color="auto"/>
            </w:tcBorders>
          </w:tcPr>
          <w:p w14:paraId="41C8C146" w14:textId="77777777" w:rsidR="00F35BAF" w:rsidRPr="00DB2D3F" w:rsidRDefault="007D18BC" w:rsidP="00C97039">
            <w:pPr>
              <w:spacing w:before="240"/>
            </w:pPr>
            <w:r w:rsidRPr="00DB2D3F">
              <w:t xml:space="preserve">Distr. </w:t>
            </w:r>
            <w:proofErr w:type="gramStart"/>
            <w:r w:rsidRPr="00DB2D3F">
              <w:t>générale</w:t>
            </w:r>
            <w:proofErr w:type="gramEnd"/>
          </w:p>
          <w:p w14:paraId="4DAB601D" w14:textId="77777777" w:rsidR="007D18BC" w:rsidRPr="00DB2D3F" w:rsidRDefault="00DB2D3F" w:rsidP="007D18BC">
            <w:pPr>
              <w:spacing w:line="240" w:lineRule="exact"/>
            </w:pPr>
            <w:r w:rsidRPr="00DB2D3F">
              <w:t>3 septembre</w:t>
            </w:r>
            <w:r w:rsidR="007D18BC" w:rsidRPr="00DB2D3F">
              <w:t xml:space="preserve"> 2019</w:t>
            </w:r>
          </w:p>
          <w:p w14:paraId="42930F87" w14:textId="77777777" w:rsidR="007D18BC" w:rsidRPr="00DB2D3F" w:rsidRDefault="007D18BC" w:rsidP="007D18BC">
            <w:pPr>
              <w:spacing w:line="240" w:lineRule="exact"/>
            </w:pPr>
            <w:r w:rsidRPr="00DB2D3F">
              <w:t>Français</w:t>
            </w:r>
          </w:p>
          <w:p w14:paraId="1EC78377" w14:textId="77777777" w:rsidR="007D18BC" w:rsidRPr="00DB2D3F" w:rsidRDefault="007D18BC" w:rsidP="007D18BC">
            <w:pPr>
              <w:spacing w:line="240" w:lineRule="exact"/>
            </w:pPr>
            <w:r w:rsidRPr="00DB2D3F">
              <w:t>Original</w:t>
            </w:r>
            <w:r w:rsidR="00DB2D3F" w:rsidRPr="00DB2D3F">
              <w:t> :</w:t>
            </w:r>
            <w:r w:rsidRPr="00DB2D3F">
              <w:t xml:space="preserve"> anglais</w:t>
            </w:r>
          </w:p>
        </w:tc>
      </w:tr>
    </w:tbl>
    <w:p w14:paraId="3133AFC5" w14:textId="77777777" w:rsidR="007F20FA" w:rsidRPr="00DB2D3F" w:rsidRDefault="007F20FA" w:rsidP="007F20FA">
      <w:pPr>
        <w:spacing w:before="120"/>
        <w:rPr>
          <w:b/>
          <w:sz w:val="28"/>
          <w:szCs w:val="28"/>
        </w:rPr>
      </w:pPr>
      <w:r w:rsidRPr="00DB2D3F">
        <w:rPr>
          <w:b/>
          <w:sz w:val="28"/>
          <w:szCs w:val="28"/>
        </w:rPr>
        <w:t>Commission économique pour l’Europe</w:t>
      </w:r>
    </w:p>
    <w:p w14:paraId="26EAF70E" w14:textId="77777777" w:rsidR="007F20FA" w:rsidRPr="00DB2D3F" w:rsidRDefault="007F20FA" w:rsidP="007F20FA">
      <w:pPr>
        <w:spacing w:before="120"/>
        <w:rPr>
          <w:sz w:val="28"/>
          <w:szCs w:val="28"/>
        </w:rPr>
      </w:pPr>
      <w:r w:rsidRPr="00DB2D3F">
        <w:rPr>
          <w:sz w:val="28"/>
          <w:szCs w:val="28"/>
        </w:rPr>
        <w:t>Comité des transports intérieurs</w:t>
      </w:r>
    </w:p>
    <w:p w14:paraId="1F148970" w14:textId="77777777" w:rsidR="00DB2D3F" w:rsidRPr="00DB2D3F" w:rsidRDefault="00DB2D3F" w:rsidP="00DB2D3F">
      <w:pPr>
        <w:kinsoku/>
        <w:overflowPunct/>
        <w:autoSpaceDE/>
        <w:autoSpaceDN/>
        <w:adjustRightInd/>
        <w:snapToGrid/>
        <w:spacing w:before="120"/>
        <w:rPr>
          <w:rFonts w:eastAsia="Times New Roman"/>
          <w:b/>
          <w:sz w:val="24"/>
          <w:szCs w:val="24"/>
          <w:lang w:eastAsia="fr-FR"/>
        </w:rPr>
      </w:pPr>
      <w:r w:rsidRPr="00DB2D3F">
        <w:rPr>
          <w:rFonts w:eastAsia="Times New Roman"/>
          <w:b/>
          <w:sz w:val="24"/>
          <w:szCs w:val="24"/>
          <w:lang w:eastAsia="fr-FR"/>
        </w:rPr>
        <w:t xml:space="preserve">Forum mondial de l’harmonisation des Règlements </w:t>
      </w:r>
      <w:r w:rsidRPr="00DB2D3F">
        <w:rPr>
          <w:rFonts w:eastAsia="Times New Roman"/>
          <w:b/>
          <w:sz w:val="24"/>
          <w:szCs w:val="24"/>
          <w:lang w:eastAsia="fr-FR"/>
        </w:rPr>
        <w:br/>
        <w:t>concernant les véhicules</w:t>
      </w:r>
    </w:p>
    <w:p w14:paraId="71E94DC0" w14:textId="77777777" w:rsidR="00DB2D3F" w:rsidRPr="00DB2D3F" w:rsidRDefault="00DB2D3F" w:rsidP="00DB2D3F">
      <w:pPr>
        <w:tabs>
          <w:tab w:val="center" w:pos="4819"/>
        </w:tabs>
        <w:kinsoku/>
        <w:overflowPunct/>
        <w:autoSpaceDE/>
        <w:autoSpaceDN/>
        <w:adjustRightInd/>
        <w:snapToGrid/>
        <w:spacing w:before="120"/>
        <w:rPr>
          <w:rFonts w:eastAsia="Times New Roman"/>
          <w:b/>
          <w:lang w:eastAsia="fr-FR"/>
        </w:rPr>
      </w:pPr>
      <w:r w:rsidRPr="00DB2D3F">
        <w:rPr>
          <w:rFonts w:eastAsia="Times New Roman"/>
          <w:b/>
          <w:lang w:eastAsia="fr-FR"/>
        </w:rPr>
        <w:t>179</w:t>
      </w:r>
      <w:r w:rsidRPr="00DB2D3F">
        <w:rPr>
          <w:rFonts w:eastAsia="Times New Roman"/>
          <w:b/>
          <w:vertAlign w:val="superscript"/>
          <w:lang w:eastAsia="fr-FR"/>
        </w:rPr>
        <w:t>e</w:t>
      </w:r>
      <w:r w:rsidRPr="00DB2D3F">
        <w:rPr>
          <w:rFonts w:eastAsia="Times New Roman"/>
          <w:b/>
          <w:lang w:eastAsia="fr-FR"/>
        </w:rPr>
        <w:t> session</w:t>
      </w:r>
    </w:p>
    <w:p w14:paraId="1E58A435" w14:textId="77777777" w:rsidR="00DB2D3F" w:rsidRPr="00DB2D3F" w:rsidRDefault="00DB2D3F" w:rsidP="00DB2D3F">
      <w:pPr>
        <w:kinsoku/>
        <w:overflowPunct/>
        <w:autoSpaceDE/>
        <w:autoSpaceDN/>
        <w:adjustRightInd/>
        <w:snapToGrid/>
        <w:rPr>
          <w:rFonts w:eastAsia="Times New Roman"/>
          <w:lang w:eastAsia="fr-FR"/>
        </w:rPr>
      </w:pPr>
      <w:r w:rsidRPr="00DB2D3F">
        <w:rPr>
          <w:rFonts w:eastAsia="Times New Roman"/>
          <w:lang w:eastAsia="fr-FR"/>
        </w:rPr>
        <w:t>Genève, 12-14 novembre 2019</w:t>
      </w:r>
    </w:p>
    <w:p w14:paraId="49A036A2" w14:textId="77777777" w:rsidR="00DB2D3F" w:rsidRPr="00DB2D3F" w:rsidRDefault="00DB2D3F" w:rsidP="00DB2D3F">
      <w:pPr>
        <w:kinsoku/>
        <w:overflowPunct/>
        <w:autoSpaceDE/>
        <w:autoSpaceDN/>
        <w:adjustRightInd/>
        <w:snapToGrid/>
        <w:rPr>
          <w:rFonts w:eastAsia="Times New Roman"/>
          <w:lang w:eastAsia="fr-FR"/>
        </w:rPr>
      </w:pPr>
      <w:r w:rsidRPr="00DB2D3F">
        <w:rPr>
          <w:rFonts w:eastAsia="Times New Roman"/>
          <w:lang w:eastAsia="fr-FR"/>
        </w:rPr>
        <w:t>Point 4.5 de l’ordre du jour provisoire</w:t>
      </w:r>
    </w:p>
    <w:p w14:paraId="225CB33B" w14:textId="77777777" w:rsidR="00DB2D3F" w:rsidRPr="00DB2D3F" w:rsidRDefault="00DB2D3F" w:rsidP="00DB2D3F">
      <w:pPr>
        <w:kinsoku/>
        <w:overflowPunct/>
        <w:autoSpaceDE/>
        <w:autoSpaceDN/>
        <w:adjustRightInd/>
        <w:snapToGrid/>
        <w:rPr>
          <w:rFonts w:eastAsia="Times New Roman"/>
          <w:b/>
          <w:lang w:eastAsia="fr-FR"/>
        </w:rPr>
      </w:pPr>
      <w:r w:rsidRPr="00DB2D3F">
        <w:rPr>
          <w:rFonts w:eastAsia="Times New Roman"/>
          <w:b/>
          <w:lang w:eastAsia="fr-FR"/>
        </w:rPr>
        <w:t>Accord de 1958 :</w:t>
      </w:r>
      <w:r w:rsidRPr="00DB2D3F">
        <w:rPr>
          <w:rFonts w:eastAsia="Times New Roman"/>
          <w:b/>
          <w:lang w:eastAsia="fr-FR"/>
        </w:rPr>
        <w:br/>
      </w:r>
      <w:r w:rsidRPr="00DB2D3F">
        <w:rPr>
          <w:rFonts w:eastAsia="Times New Roman"/>
          <w:b/>
          <w:bCs/>
          <w:lang w:eastAsia="fr-FR"/>
        </w:rPr>
        <w:t>Élaboration d’une base de données pour</w:t>
      </w:r>
      <w:r w:rsidR="00C56044">
        <w:rPr>
          <w:rFonts w:eastAsia="Times New Roman"/>
          <w:b/>
          <w:bCs/>
          <w:lang w:eastAsia="fr-FR"/>
        </w:rPr>
        <w:t xml:space="preserve"> </w:t>
      </w:r>
      <w:r w:rsidRPr="00DB2D3F">
        <w:rPr>
          <w:rFonts w:eastAsia="Times New Roman"/>
          <w:b/>
          <w:bCs/>
          <w:lang w:eastAsia="fr-FR"/>
        </w:rPr>
        <w:t xml:space="preserve">l’échange d’informations </w:t>
      </w:r>
      <w:r w:rsidR="00C56044">
        <w:rPr>
          <w:rFonts w:eastAsia="Times New Roman"/>
          <w:b/>
          <w:bCs/>
          <w:lang w:eastAsia="fr-FR"/>
        </w:rPr>
        <w:br/>
      </w:r>
      <w:r w:rsidRPr="00DB2D3F">
        <w:rPr>
          <w:rFonts w:eastAsia="Times New Roman"/>
          <w:b/>
          <w:bCs/>
          <w:lang w:eastAsia="fr-FR"/>
        </w:rPr>
        <w:t>concernant l’homologation de type (DETA)</w:t>
      </w:r>
    </w:p>
    <w:p w14:paraId="595491C2" w14:textId="77777777" w:rsidR="00DB2D3F" w:rsidRPr="00DB2D3F" w:rsidRDefault="00DB2D3F" w:rsidP="00DB2D3F">
      <w:pPr>
        <w:pStyle w:val="HChG"/>
        <w:rPr>
          <w:bCs/>
          <w:szCs w:val="28"/>
          <w:lang w:eastAsia="fr-FR"/>
        </w:rPr>
      </w:pPr>
      <w:r w:rsidRPr="00DB2D3F">
        <w:rPr>
          <w:lang w:eastAsia="fr-FR"/>
        </w:rPr>
        <w:tab/>
      </w:r>
      <w:r w:rsidRPr="00DB2D3F">
        <w:rPr>
          <w:lang w:eastAsia="fr-FR"/>
        </w:rPr>
        <w:tab/>
        <w:t>Proposition de spécifications et de lignes directrices relatives à l’application pour le module de déclaration de conformité</w:t>
      </w:r>
    </w:p>
    <w:p w14:paraId="1C68A994" w14:textId="77777777" w:rsidR="00DB2D3F" w:rsidRPr="00DB2D3F" w:rsidRDefault="00DB2D3F" w:rsidP="00DB2D3F">
      <w:pPr>
        <w:pStyle w:val="H1G"/>
        <w:rPr>
          <w:lang w:eastAsia="fr-FR"/>
        </w:rPr>
      </w:pPr>
      <w:r w:rsidRPr="00DB2D3F">
        <w:rPr>
          <w:lang w:eastAsia="fr-FR"/>
        </w:rPr>
        <w:tab/>
      </w:r>
      <w:r w:rsidRPr="00DB2D3F">
        <w:rPr>
          <w:lang w:eastAsia="fr-FR"/>
        </w:rPr>
        <w:tab/>
        <w:t>Communication des experts du groupe de travail informel de la base de données pour l’échange d’informations concernant l’homologation de type</w:t>
      </w:r>
      <w:r w:rsidRPr="00DB2D3F">
        <w:rPr>
          <w:b w:val="0"/>
          <w:sz w:val="20"/>
          <w:lang w:eastAsia="fr-FR"/>
        </w:rPr>
        <w:footnoteReference w:customMarkFollows="1" w:id="2"/>
        <w:t>*</w:t>
      </w:r>
    </w:p>
    <w:p w14:paraId="763E4E08" w14:textId="77777777" w:rsidR="00DB2D3F" w:rsidRPr="00DB2D3F" w:rsidRDefault="00DB2D3F" w:rsidP="00DB2D3F">
      <w:pPr>
        <w:pStyle w:val="SingleTxtG"/>
        <w:ind w:firstLine="567"/>
        <w:rPr>
          <w:lang w:eastAsia="fr-FR"/>
        </w:rPr>
      </w:pPr>
      <w:r w:rsidRPr="00DB2D3F">
        <w:rPr>
          <w:lang w:eastAsia="fr-FR"/>
        </w:rPr>
        <w:t>Le texte reproduit ci-après a été présenté par le groupe de travail informel de la base de données pour l’échange d’informations concernant l’homologation de type (DETA) à la 178</w:t>
      </w:r>
      <w:r w:rsidRPr="00DB2D3F">
        <w:rPr>
          <w:vertAlign w:val="superscript"/>
          <w:lang w:eastAsia="fr-FR"/>
        </w:rPr>
        <w:t>e</w:t>
      </w:r>
      <w:r w:rsidRPr="00DB2D3F">
        <w:rPr>
          <w:lang w:eastAsia="fr-FR"/>
        </w:rPr>
        <w:t> session (ECE/TRANS/WP.29/1147, par. 85) du Forum mondial de l’harmonisation des Règlements concernant les véhicules (WP.29). Il est fondé sur les documents WP</w:t>
      </w:r>
      <w:r w:rsidR="0002444B">
        <w:rPr>
          <w:lang w:eastAsia="fr-FR"/>
        </w:rPr>
        <w:t>.</w:t>
      </w:r>
      <w:r w:rsidRPr="00DB2D3F">
        <w:rPr>
          <w:lang w:eastAsia="fr-FR"/>
        </w:rPr>
        <w:t>29</w:t>
      </w:r>
      <w:r w:rsidRPr="00DB2D3F">
        <w:rPr>
          <w:lang w:eastAsia="fr-FR"/>
        </w:rPr>
        <w:noBreakHyphen/>
        <w:t>178-25 et WP.29-178-26/Rev.1, et soumis au WP.29 pour examen à sa session de novembre 2019.</w:t>
      </w:r>
    </w:p>
    <w:p w14:paraId="4F447CBF" w14:textId="77777777" w:rsidR="00DB2D3F" w:rsidRPr="00DB2D3F" w:rsidRDefault="00DB2D3F" w:rsidP="00DB2D3F">
      <w:pPr>
        <w:pStyle w:val="HChG"/>
        <w:rPr>
          <w:lang w:eastAsia="fr-FR"/>
        </w:rPr>
      </w:pPr>
      <w:r w:rsidRPr="00DB2D3F">
        <w:rPr>
          <w:lang w:eastAsia="fr-FR"/>
        </w:rPr>
        <w:br w:type="page"/>
      </w:r>
      <w:r w:rsidRPr="00DB2D3F">
        <w:rPr>
          <w:lang w:eastAsia="fr-FR"/>
        </w:rPr>
        <w:lastRenderedPageBreak/>
        <w:tab/>
        <w:t>I.</w:t>
      </w:r>
      <w:r w:rsidRPr="00DB2D3F">
        <w:rPr>
          <w:lang w:eastAsia="fr-FR"/>
        </w:rPr>
        <w:tab/>
        <w:t>Module de déclaration de conformité</w:t>
      </w:r>
    </w:p>
    <w:p w14:paraId="11727E56" w14:textId="77777777" w:rsidR="00DB2D3F" w:rsidRPr="00DB2D3F" w:rsidRDefault="00DB2D3F" w:rsidP="00DB2D3F">
      <w:pPr>
        <w:pStyle w:val="H1G"/>
        <w:rPr>
          <w:lang w:eastAsia="fr-FR"/>
        </w:rPr>
      </w:pPr>
      <w:r w:rsidRPr="00DB2D3F">
        <w:rPr>
          <w:lang w:eastAsia="fr-FR"/>
        </w:rPr>
        <w:tab/>
        <w:t>A.</w:t>
      </w:r>
      <w:r w:rsidRPr="00DB2D3F">
        <w:rPr>
          <w:lang w:eastAsia="fr-FR"/>
        </w:rPr>
        <w:tab/>
        <w:t>Spécification des fonctions propres à la déclaration de conformité dans la base de données pour l’échange d’informations concernant l’homologation de type (DETA)</w:t>
      </w:r>
    </w:p>
    <w:p w14:paraId="70655FA3" w14:textId="77777777" w:rsidR="00DB2D3F" w:rsidRPr="00DB2D3F" w:rsidRDefault="00DB2D3F" w:rsidP="00DB2D3F">
      <w:pPr>
        <w:pStyle w:val="SingleTxtG"/>
        <w:rPr>
          <w:lang w:eastAsia="fr-FR"/>
        </w:rPr>
      </w:pPr>
      <w:r w:rsidRPr="00DB2D3F">
        <w:rPr>
          <w:lang w:eastAsia="fr-FR"/>
        </w:rPr>
        <w:t>1.</w:t>
      </w:r>
      <w:r w:rsidRPr="00DB2D3F">
        <w:rPr>
          <w:lang w:eastAsia="fr-FR"/>
        </w:rPr>
        <w:tab/>
        <w:t>La déclaration de conformité sera transmise aux formats XML et RTF.</w:t>
      </w:r>
    </w:p>
    <w:p w14:paraId="7C12EB78" w14:textId="77777777" w:rsidR="00DB2D3F" w:rsidRPr="00DB2D3F" w:rsidRDefault="00DB2D3F" w:rsidP="00DB2D3F">
      <w:pPr>
        <w:pStyle w:val="SingleTxtG"/>
        <w:rPr>
          <w:lang w:eastAsia="fr-FR"/>
        </w:rPr>
      </w:pPr>
      <w:r w:rsidRPr="00DB2D3F">
        <w:rPr>
          <w:lang w:eastAsia="fr-FR"/>
        </w:rPr>
        <w:t>2.</w:t>
      </w:r>
      <w:r w:rsidRPr="00DB2D3F">
        <w:rPr>
          <w:lang w:eastAsia="fr-FR"/>
        </w:rPr>
        <w:tab/>
      </w:r>
      <w:bookmarkStart w:id="1" w:name="OLE_LINK2"/>
      <w:bookmarkStart w:id="2" w:name="OLE_LINK3"/>
      <w:r w:rsidRPr="00DB2D3F">
        <w:rPr>
          <w:lang w:eastAsia="fr-FR"/>
        </w:rPr>
        <w:t>En ce qui concerne le format XML</w:t>
      </w:r>
      <w:bookmarkEnd w:id="1"/>
      <w:bookmarkEnd w:id="2"/>
      <w:r w:rsidRPr="00DB2D3F">
        <w:rPr>
          <w:lang w:eastAsia="fr-FR"/>
        </w:rPr>
        <w:t>, un fichier de définition de la structure XML (XSD) sera inclus dans le dossier transmis.</w:t>
      </w:r>
    </w:p>
    <w:p w14:paraId="7CE05326" w14:textId="77777777" w:rsidR="00DB2D3F" w:rsidRPr="00DB2D3F" w:rsidRDefault="00DB2D3F" w:rsidP="00DB2D3F">
      <w:pPr>
        <w:pStyle w:val="SingleTxtG"/>
        <w:rPr>
          <w:lang w:eastAsia="fr-FR"/>
        </w:rPr>
      </w:pPr>
      <w:r w:rsidRPr="00DB2D3F">
        <w:rPr>
          <w:lang w:eastAsia="fr-FR"/>
        </w:rPr>
        <w:t>3.</w:t>
      </w:r>
      <w:r w:rsidRPr="00DB2D3F">
        <w:rPr>
          <w:lang w:eastAsia="fr-FR"/>
        </w:rPr>
        <w:tab/>
        <w:t>La déclaration de conformité au format RTF devra être conforme à l’exemple donné à…</w:t>
      </w:r>
    </w:p>
    <w:p w14:paraId="44E2E30C" w14:textId="77777777" w:rsidR="00DB2D3F" w:rsidRPr="00DB2D3F" w:rsidRDefault="00DB2D3F" w:rsidP="00DB2D3F">
      <w:pPr>
        <w:pStyle w:val="SingleTxtG"/>
        <w:rPr>
          <w:lang w:eastAsia="fr-FR"/>
        </w:rPr>
      </w:pPr>
      <w:r w:rsidRPr="00DB2D3F">
        <w:rPr>
          <w:lang w:eastAsia="fr-FR"/>
        </w:rPr>
        <w:t>4.</w:t>
      </w:r>
      <w:r w:rsidRPr="00DB2D3F">
        <w:rPr>
          <w:lang w:eastAsia="fr-FR"/>
        </w:rPr>
        <w:tab/>
        <w:t xml:space="preserve">Dans les deux formats (XML et RTF), le numéro de version et la date de la dernière modification des données relatives au numéro d’identification du véhicule (VIN) demandé seront précisés (respectivement en tant que données XML et dans le pied </w:t>
      </w:r>
      <w:bookmarkStart w:id="3" w:name="_Hlk19959460"/>
      <w:r w:rsidRPr="00DB2D3F">
        <w:rPr>
          <w:lang w:eastAsia="fr-FR"/>
        </w:rPr>
        <w:t>d</w:t>
      </w:r>
      <w:bookmarkEnd w:id="3"/>
      <w:r w:rsidRPr="00DB2D3F">
        <w:rPr>
          <w:lang w:eastAsia="fr-FR"/>
        </w:rPr>
        <w:t>e page du document).</w:t>
      </w:r>
    </w:p>
    <w:p w14:paraId="4F2D2225" w14:textId="77777777" w:rsidR="00DB2D3F" w:rsidRPr="00DB2D3F" w:rsidRDefault="00DB2D3F" w:rsidP="00DB2D3F">
      <w:pPr>
        <w:pStyle w:val="SingleTxtG"/>
        <w:rPr>
          <w:lang w:eastAsia="fr-FR"/>
        </w:rPr>
      </w:pPr>
      <w:r w:rsidRPr="00DB2D3F">
        <w:rPr>
          <w:lang w:eastAsia="fr-FR"/>
        </w:rPr>
        <w:t>5.</w:t>
      </w:r>
      <w:r w:rsidRPr="00DB2D3F">
        <w:rPr>
          <w:lang w:eastAsia="fr-FR"/>
        </w:rPr>
        <w:tab/>
        <w:t>Contenu</w:t>
      </w:r>
    </w:p>
    <w:p w14:paraId="1183B6AB" w14:textId="77777777" w:rsidR="00DB2D3F" w:rsidRPr="00DB2D3F" w:rsidRDefault="00DB2D3F" w:rsidP="00DB2D3F">
      <w:pPr>
        <w:pStyle w:val="SingleTxtG"/>
        <w:rPr>
          <w:lang w:eastAsia="fr-FR"/>
        </w:rPr>
      </w:pPr>
      <w:r w:rsidRPr="00DB2D3F">
        <w:rPr>
          <w:lang w:eastAsia="fr-FR"/>
        </w:rPr>
        <w:t>5.1</w:t>
      </w:r>
      <w:r w:rsidRPr="00DB2D3F">
        <w:rPr>
          <w:lang w:eastAsia="fr-FR"/>
        </w:rPr>
        <w:tab/>
        <w:t>Les éléments (« champs de données ») suivants figureront dans la déclaration de conformité :</w:t>
      </w:r>
    </w:p>
    <w:tbl>
      <w:tblPr>
        <w:tblStyle w:val="Grilledutableau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68"/>
        <w:gridCol w:w="2550"/>
      </w:tblGrid>
      <w:tr w:rsidR="00DB2D3F" w:rsidRPr="005E3B2D" w14:paraId="4198B11F" w14:textId="77777777" w:rsidTr="005E3B2D">
        <w:trPr>
          <w:tblHeader/>
        </w:trPr>
        <w:tc>
          <w:tcPr>
            <w:tcW w:w="2552" w:type="dxa"/>
            <w:tcBorders>
              <w:top w:val="single" w:sz="4" w:space="0" w:color="auto"/>
              <w:bottom w:val="single" w:sz="12" w:space="0" w:color="auto"/>
            </w:tcBorders>
            <w:shd w:val="clear" w:color="auto" w:fill="auto"/>
            <w:vAlign w:val="bottom"/>
          </w:tcPr>
          <w:p w14:paraId="05036DB4" w14:textId="77777777" w:rsidR="00DB2D3F" w:rsidRPr="005E3B2D" w:rsidRDefault="00DB2D3F" w:rsidP="005E3B2D">
            <w:pPr>
              <w:suppressAutoHyphens w:val="0"/>
              <w:spacing w:before="80" w:after="80" w:line="200" w:lineRule="exact"/>
              <w:rPr>
                <w:i/>
                <w:sz w:val="16"/>
              </w:rPr>
            </w:pPr>
            <w:r w:rsidRPr="005E3B2D">
              <w:rPr>
                <w:i/>
                <w:sz w:val="16"/>
              </w:rPr>
              <w:t>Champs de données</w:t>
            </w:r>
          </w:p>
        </w:tc>
        <w:tc>
          <w:tcPr>
            <w:tcW w:w="2268" w:type="dxa"/>
            <w:tcBorders>
              <w:top w:val="single" w:sz="4" w:space="0" w:color="auto"/>
              <w:bottom w:val="single" w:sz="12" w:space="0" w:color="auto"/>
            </w:tcBorders>
            <w:shd w:val="clear" w:color="auto" w:fill="auto"/>
            <w:vAlign w:val="bottom"/>
          </w:tcPr>
          <w:p w14:paraId="6F9452FA" w14:textId="77777777" w:rsidR="00DB2D3F" w:rsidRPr="005E3B2D" w:rsidRDefault="00DB2D3F" w:rsidP="005E3B2D">
            <w:pPr>
              <w:suppressAutoHyphens w:val="0"/>
              <w:spacing w:before="80" w:after="80" w:line="200" w:lineRule="exact"/>
              <w:jc w:val="right"/>
              <w:rPr>
                <w:i/>
                <w:sz w:val="16"/>
              </w:rPr>
            </w:pPr>
            <w:r w:rsidRPr="005E3B2D">
              <w:rPr>
                <w:i/>
                <w:sz w:val="16"/>
              </w:rPr>
              <w:t>Sources des données</w:t>
            </w:r>
          </w:p>
        </w:tc>
        <w:tc>
          <w:tcPr>
            <w:tcW w:w="2550" w:type="dxa"/>
            <w:tcBorders>
              <w:top w:val="single" w:sz="4" w:space="0" w:color="auto"/>
              <w:bottom w:val="single" w:sz="12" w:space="0" w:color="auto"/>
            </w:tcBorders>
            <w:shd w:val="clear" w:color="auto" w:fill="auto"/>
            <w:vAlign w:val="bottom"/>
          </w:tcPr>
          <w:p w14:paraId="284030B1" w14:textId="77777777" w:rsidR="00DB2D3F" w:rsidRPr="005E3B2D" w:rsidRDefault="00DB2D3F" w:rsidP="005E3B2D">
            <w:pPr>
              <w:suppressAutoHyphens w:val="0"/>
              <w:spacing w:before="80" w:after="80" w:line="200" w:lineRule="exact"/>
              <w:jc w:val="right"/>
              <w:rPr>
                <w:i/>
                <w:sz w:val="16"/>
              </w:rPr>
            </w:pPr>
          </w:p>
        </w:tc>
      </w:tr>
      <w:tr w:rsidR="00DB2D3F" w:rsidRPr="005E3B2D" w14:paraId="68386D52" w14:textId="77777777" w:rsidTr="005E3B2D">
        <w:tc>
          <w:tcPr>
            <w:tcW w:w="2552" w:type="dxa"/>
            <w:tcBorders>
              <w:top w:val="single" w:sz="12" w:space="0" w:color="auto"/>
            </w:tcBorders>
            <w:shd w:val="clear" w:color="auto" w:fill="auto"/>
          </w:tcPr>
          <w:p w14:paraId="19CFBC4B" w14:textId="77777777" w:rsidR="00DB2D3F" w:rsidRPr="005E3B2D" w:rsidRDefault="00DB2D3F" w:rsidP="005E3B2D">
            <w:pPr>
              <w:suppressAutoHyphens w:val="0"/>
              <w:spacing w:before="40" w:after="40" w:line="220" w:lineRule="exact"/>
              <w:rPr>
                <w:sz w:val="18"/>
              </w:rPr>
            </w:pPr>
            <w:r w:rsidRPr="005E3B2D">
              <w:rPr>
                <w:sz w:val="18"/>
              </w:rPr>
              <w:t>Numéro d’homologation</w:t>
            </w:r>
          </w:p>
        </w:tc>
        <w:tc>
          <w:tcPr>
            <w:tcW w:w="2268" w:type="dxa"/>
            <w:tcBorders>
              <w:top w:val="single" w:sz="12" w:space="0" w:color="auto"/>
            </w:tcBorders>
            <w:shd w:val="clear" w:color="auto" w:fill="auto"/>
            <w:vAlign w:val="bottom"/>
          </w:tcPr>
          <w:p w14:paraId="51774E67" w14:textId="77777777" w:rsidR="00DB2D3F" w:rsidRPr="005E3B2D" w:rsidRDefault="00DB2D3F" w:rsidP="005E3B2D">
            <w:pPr>
              <w:suppressAutoHyphens w:val="0"/>
              <w:spacing w:before="40" w:after="40" w:line="220" w:lineRule="exact"/>
              <w:jc w:val="right"/>
              <w:rPr>
                <w:sz w:val="18"/>
              </w:rPr>
            </w:pPr>
            <w:r w:rsidRPr="005E3B2D">
              <w:rPr>
                <w:sz w:val="18"/>
              </w:rPr>
              <w:t xml:space="preserve">Document d’homologation dans la DETA </w:t>
            </w:r>
          </w:p>
        </w:tc>
        <w:tc>
          <w:tcPr>
            <w:tcW w:w="2550" w:type="dxa"/>
            <w:tcBorders>
              <w:top w:val="single" w:sz="12" w:space="0" w:color="auto"/>
            </w:tcBorders>
            <w:shd w:val="clear" w:color="auto" w:fill="auto"/>
            <w:vAlign w:val="bottom"/>
          </w:tcPr>
          <w:p w14:paraId="6907B85B" w14:textId="77777777" w:rsidR="00DB2D3F" w:rsidRPr="005E3B2D" w:rsidRDefault="00DB2D3F" w:rsidP="005E3B2D">
            <w:pPr>
              <w:suppressAutoHyphens w:val="0"/>
              <w:spacing w:before="40" w:after="40" w:line="220" w:lineRule="exact"/>
              <w:jc w:val="right"/>
              <w:rPr>
                <w:sz w:val="18"/>
              </w:rPr>
            </w:pPr>
          </w:p>
        </w:tc>
      </w:tr>
      <w:tr w:rsidR="00DB2D3F" w:rsidRPr="005E3B2D" w14:paraId="710C6AC3" w14:textId="77777777" w:rsidTr="005E3B2D">
        <w:tc>
          <w:tcPr>
            <w:tcW w:w="2552" w:type="dxa"/>
            <w:shd w:val="clear" w:color="auto" w:fill="auto"/>
          </w:tcPr>
          <w:p w14:paraId="57C6E311" w14:textId="77777777" w:rsidR="00DB2D3F" w:rsidRPr="005E3B2D" w:rsidRDefault="00DB2D3F" w:rsidP="005E3B2D">
            <w:pPr>
              <w:suppressAutoHyphens w:val="0"/>
              <w:spacing w:before="40" w:after="40" w:line="220" w:lineRule="exact"/>
              <w:rPr>
                <w:sz w:val="18"/>
              </w:rPr>
            </w:pPr>
            <w:r w:rsidRPr="005E3B2D">
              <w:rPr>
                <w:sz w:val="18"/>
              </w:rPr>
              <w:t>Date de délivrance</w:t>
            </w:r>
          </w:p>
        </w:tc>
        <w:tc>
          <w:tcPr>
            <w:tcW w:w="2268" w:type="dxa"/>
            <w:shd w:val="clear" w:color="auto" w:fill="auto"/>
            <w:vAlign w:val="bottom"/>
          </w:tcPr>
          <w:p w14:paraId="0401DBD2" w14:textId="77777777" w:rsidR="00DB2D3F" w:rsidRPr="005E3B2D" w:rsidRDefault="00DB2D3F" w:rsidP="005E3B2D">
            <w:pPr>
              <w:suppressAutoHyphens w:val="0"/>
              <w:spacing w:before="40" w:after="40" w:line="220" w:lineRule="exact"/>
              <w:jc w:val="right"/>
              <w:rPr>
                <w:sz w:val="18"/>
              </w:rPr>
            </w:pPr>
            <w:r w:rsidRPr="005E3B2D">
              <w:rPr>
                <w:sz w:val="18"/>
              </w:rPr>
              <w:t>Document d’homologation dans la DETA</w:t>
            </w:r>
          </w:p>
        </w:tc>
        <w:tc>
          <w:tcPr>
            <w:tcW w:w="2550" w:type="dxa"/>
            <w:shd w:val="clear" w:color="auto" w:fill="auto"/>
            <w:vAlign w:val="bottom"/>
          </w:tcPr>
          <w:p w14:paraId="565AB631" w14:textId="77777777" w:rsidR="00DB2D3F" w:rsidRPr="005E3B2D" w:rsidRDefault="00DB2D3F" w:rsidP="005E3B2D">
            <w:pPr>
              <w:suppressAutoHyphens w:val="0"/>
              <w:spacing w:before="40" w:after="40" w:line="220" w:lineRule="exact"/>
              <w:jc w:val="right"/>
              <w:rPr>
                <w:sz w:val="18"/>
              </w:rPr>
            </w:pPr>
          </w:p>
        </w:tc>
      </w:tr>
      <w:tr w:rsidR="00DB2D3F" w:rsidRPr="005E3B2D" w14:paraId="655CDB2A" w14:textId="77777777" w:rsidTr="005E3B2D">
        <w:tc>
          <w:tcPr>
            <w:tcW w:w="2552" w:type="dxa"/>
            <w:shd w:val="clear" w:color="auto" w:fill="auto"/>
          </w:tcPr>
          <w:p w14:paraId="0468A970" w14:textId="77777777" w:rsidR="00DB2D3F" w:rsidRPr="005E3B2D" w:rsidRDefault="00DB2D3F" w:rsidP="005E3B2D">
            <w:pPr>
              <w:suppressAutoHyphens w:val="0"/>
              <w:spacing w:before="40" w:after="40" w:line="220" w:lineRule="exact"/>
              <w:rPr>
                <w:sz w:val="18"/>
              </w:rPr>
            </w:pPr>
            <w:r w:rsidRPr="005E3B2D">
              <w:rPr>
                <w:sz w:val="18"/>
              </w:rPr>
              <w:t>Numéro d’identification du</w:t>
            </w:r>
            <w:r w:rsidR="005E3B2D">
              <w:rPr>
                <w:sz w:val="18"/>
              </w:rPr>
              <w:t> </w:t>
            </w:r>
            <w:r w:rsidRPr="005E3B2D">
              <w:rPr>
                <w:sz w:val="18"/>
              </w:rPr>
              <w:t>véhicule (VIN)</w:t>
            </w:r>
          </w:p>
        </w:tc>
        <w:tc>
          <w:tcPr>
            <w:tcW w:w="2268" w:type="dxa"/>
            <w:shd w:val="clear" w:color="auto" w:fill="auto"/>
            <w:vAlign w:val="bottom"/>
          </w:tcPr>
          <w:p w14:paraId="3E38E50F" w14:textId="77777777" w:rsidR="00DB2D3F" w:rsidRPr="005E3B2D" w:rsidRDefault="00DB2D3F" w:rsidP="005E3B2D">
            <w:pPr>
              <w:suppressAutoHyphens w:val="0"/>
              <w:spacing w:before="40" w:after="40" w:line="220" w:lineRule="exact"/>
              <w:jc w:val="right"/>
              <w:rPr>
                <w:sz w:val="18"/>
              </w:rPr>
            </w:pPr>
            <w:r w:rsidRPr="005E3B2D">
              <w:rPr>
                <w:sz w:val="18"/>
              </w:rPr>
              <w:t xml:space="preserve">Entité ayant délivré le VIN </w:t>
            </w:r>
          </w:p>
        </w:tc>
        <w:tc>
          <w:tcPr>
            <w:tcW w:w="2550" w:type="dxa"/>
            <w:shd w:val="clear" w:color="auto" w:fill="auto"/>
            <w:vAlign w:val="bottom"/>
          </w:tcPr>
          <w:p w14:paraId="27B85335" w14:textId="77777777" w:rsidR="00DB2D3F" w:rsidRPr="005E3B2D" w:rsidRDefault="00DB2D3F" w:rsidP="005E3B2D">
            <w:pPr>
              <w:suppressAutoHyphens w:val="0"/>
              <w:spacing w:before="40" w:after="40" w:line="220" w:lineRule="exact"/>
              <w:jc w:val="right"/>
              <w:rPr>
                <w:sz w:val="18"/>
                <w:highlight w:val="yellow"/>
              </w:rPr>
            </w:pPr>
            <w:bookmarkStart w:id="4" w:name="OLE_LINK13"/>
            <w:bookmarkStart w:id="5" w:name="OLE_LINK14"/>
            <w:r w:rsidRPr="005E3B2D">
              <w:rPr>
                <w:sz w:val="18"/>
              </w:rPr>
              <w:t xml:space="preserve">À partir des données chargées </w:t>
            </w:r>
            <w:bookmarkEnd w:id="4"/>
            <w:bookmarkEnd w:id="5"/>
          </w:p>
        </w:tc>
      </w:tr>
      <w:tr w:rsidR="00DB2D3F" w:rsidRPr="005E3B2D" w14:paraId="695C2D60" w14:textId="77777777" w:rsidTr="005E3B2D">
        <w:tc>
          <w:tcPr>
            <w:tcW w:w="2552" w:type="dxa"/>
            <w:shd w:val="clear" w:color="auto" w:fill="auto"/>
          </w:tcPr>
          <w:p w14:paraId="3650BBF7" w14:textId="77777777" w:rsidR="00DB2D3F" w:rsidRPr="005E3B2D" w:rsidRDefault="00DB2D3F" w:rsidP="005E3B2D">
            <w:pPr>
              <w:suppressAutoHyphens w:val="0"/>
              <w:spacing w:before="40" w:after="40" w:line="220" w:lineRule="exact"/>
              <w:rPr>
                <w:sz w:val="18"/>
              </w:rPr>
            </w:pPr>
            <w:r w:rsidRPr="005E3B2D">
              <w:rPr>
                <w:sz w:val="18"/>
              </w:rPr>
              <w:t>Classe IWVTA</w:t>
            </w:r>
          </w:p>
        </w:tc>
        <w:tc>
          <w:tcPr>
            <w:tcW w:w="2268" w:type="dxa"/>
            <w:shd w:val="clear" w:color="auto" w:fill="auto"/>
            <w:vAlign w:val="bottom"/>
          </w:tcPr>
          <w:p w14:paraId="5247C72D" w14:textId="77777777" w:rsidR="00DB2D3F" w:rsidRPr="005E3B2D" w:rsidRDefault="00DB2D3F" w:rsidP="005E3B2D">
            <w:pPr>
              <w:suppressAutoHyphens w:val="0"/>
              <w:spacing w:before="40" w:after="40" w:line="220" w:lineRule="exact"/>
              <w:jc w:val="right"/>
              <w:rPr>
                <w:sz w:val="18"/>
              </w:rPr>
            </w:pPr>
            <w:r w:rsidRPr="005E3B2D">
              <w:rPr>
                <w:sz w:val="18"/>
              </w:rPr>
              <w:t xml:space="preserve">Entité ayant délivré l’IWVTA </w:t>
            </w:r>
          </w:p>
        </w:tc>
        <w:tc>
          <w:tcPr>
            <w:tcW w:w="2550" w:type="dxa"/>
            <w:shd w:val="clear" w:color="auto" w:fill="auto"/>
            <w:vAlign w:val="bottom"/>
          </w:tcPr>
          <w:p w14:paraId="26B0D806" w14:textId="77777777" w:rsidR="00DB2D3F" w:rsidRPr="005E3B2D" w:rsidRDefault="00DB2D3F" w:rsidP="005E3B2D">
            <w:pPr>
              <w:suppressAutoHyphens w:val="0"/>
              <w:spacing w:before="40" w:after="40" w:line="220" w:lineRule="exact"/>
              <w:jc w:val="right"/>
              <w:rPr>
                <w:sz w:val="18"/>
                <w:highlight w:val="yellow"/>
              </w:rPr>
            </w:pPr>
            <w:r w:rsidRPr="005E3B2D">
              <w:rPr>
                <w:sz w:val="18"/>
              </w:rPr>
              <w:t>À partir des données chargées</w:t>
            </w:r>
          </w:p>
        </w:tc>
      </w:tr>
      <w:tr w:rsidR="00DB2D3F" w:rsidRPr="005E3B2D" w14:paraId="0D109763" w14:textId="77777777" w:rsidTr="005E3B2D">
        <w:tc>
          <w:tcPr>
            <w:tcW w:w="2552" w:type="dxa"/>
            <w:shd w:val="clear" w:color="auto" w:fill="auto"/>
          </w:tcPr>
          <w:p w14:paraId="1045BBDB" w14:textId="77777777" w:rsidR="00DB2D3F" w:rsidRPr="005E3B2D" w:rsidRDefault="00DB2D3F" w:rsidP="005E3B2D">
            <w:pPr>
              <w:suppressAutoHyphens w:val="0"/>
              <w:spacing w:before="40" w:after="40" w:line="220" w:lineRule="exact"/>
              <w:rPr>
                <w:sz w:val="18"/>
              </w:rPr>
            </w:pPr>
            <w:r w:rsidRPr="005E3B2D">
              <w:rPr>
                <w:sz w:val="18"/>
              </w:rPr>
              <w:t>Type IWVTA</w:t>
            </w:r>
          </w:p>
        </w:tc>
        <w:tc>
          <w:tcPr>
            <w:tcW w:w="2268" w:type="dxa"/>
            <w:shd w:val="clear" w:color="auto" w:fill="auto"/>
            <w:vAlign w:val="bottom"/>
          </w:tcPr>
          <w:p w14:paraId="5E447D53" w14:textId="77777777" w:rsidR="00DB2D3F" w:rsidRPr="005E3B2D" w:rsidRDefault="00DB2D3F" w:rsidP="005E3B2D">
            <w:pPr>
              <w:suppressAutoHyphens w:val="0"/>
              <w:spacing w:before="40" w:after="40" w:line="220" w:lineRule="exact"/>
              <w:jc w:val="right"/>
              <w:rPr>
                <w:sz w:val="18"/>
              </w:rPr>
            </w:pPr>
            <w:r w:rsidRPr="005E3B2D">
              <w:rPr>
                <w:sz w:val="18"/>
              </w:rPr>
              <w:t>Entité ayant délivré l’IWVTA</w:t>
            </w:r>
          </w:p>
        </w:tc>
        <w:tc>
          <w:tcPr>
            <w:tcW w:w="2550" w:type="dxa"/>
            <w:shd w:val="clear" w:color="auto" w:fill="auto"/>
            <w:vAlign w:val="bottom"/>
          </w:tcPr>
          <w:p w14:paraId="0488BEE9" w14:textId="77777777" w:rsidR="00DB2D3F" w:rsidRPr="005E3B2D" w:rsidRDefault="00DB2D3F" w:rsidP="005E3B2D">
            <w:pPr>
              <w:suppressAutoHyphens w:val="0"/>
              <w:spacing w:before="40" w:after="40" w:line="220" w:lineRule="exact"/>
              <w:jc w:val="right"/>
              <w:rPr>
                <w:sz w:val="18"/>
                <w:highlight w:val="yellow"/>
              </w:rPr>
            </w:pPr>
            <w:r w:rsidRPr="005E3B2D">
              <w:rPr>
                <w:sz w:val="18"/>
              </w:rPr>
              <w:t>À partir des données chargées</w:t>
            </w:r>
          </w:p>
        </w:tc>
      </w:tr>
      <w:tr w:rsidR="00DB2D3F" w:rsidRPr="005E3B2D" w14:paraId="1183C048" w14:textId="77777777" w:rsidTr="005E3B2D">
        <w:tc>
          <w:tcPr>
            <w:tcW w:w="2552" w:type="dxa"/>
            <w:shd w:val="clear" w:color="auto" w:fill="auto"/>
          </w:tcPr>
          <w:p w14:paraId="508C60EB" w14:textId="77777777" w:rsidR="00DB2D3F" w:rsidRPr="005E3B2D" w:rsidRDefault="00DB2D3F" w:rsidP="005E3B2D">
            <w:pPr>
              <w:suppressAutoHyphens w:val="0"/>
              <w:spacing w:before="40" w:after="40" w:line="220" w:lineRule="exact"/>
              <w:rPr>
                <w:sz w:val="18"/>
              </w:rPr>
            </w:pPr>
            <w:r w:rsidRPr="005E3B2D">
              <w:rPr>
                <w:sz w:val="18"/>
              </w:rPr>
              <w:t>Catégorie du véhicule</w:t>
            </w:r>
          </w:p>
        </w:tc>
        <w:tc>
          <w:tcPr>
            <w:tcW w:w="2268" w:type="dxa"/>
            <w:shd w:val="clear" w:color="auto" w:fill="auto"/>
            <w:vAlign w:val="bottom"/>
          </w:tcPr>
          <w:p w14:paraId="346EFACD" w14:textId="77777777" w:rsidR="00DB2D3F" w:rsidRPr="005E3B2D" w:rsidRDefault="00DB2D3F" w:rsidP="005E3B2D">
            <w:pPr>
              <w:suppressAutoHyphens w:val="0"/>
              <w:spacing w:before="40" w:after="40" w:line="220" w:lineRule="exact"/>
              <w:jc w:val="right"/>
              <w:rPr>
                <w:sz w:val="18"/>
              </w:rPr>
            </w:pPr>
            <w:r w:rsidRPr="005E3B2D">
              <w:rPr>
                <w:sz w:val="18"/>
              </w:rPr>
              <w:t>Entité ayant délivré le VIN</w:t>
            </w:r>
          </w:p>
        </w:tc>
        <w:tc>
          <w:tcPr>
            <w:tcW w:w="2550" w:type="dxa"/>
            <w:shd w:val="clear" w:color="auto" w:fill="auto"/>
            <w:vAlign w:val="bottom"/>
          </w:tcPr>
          <w:p w14:paraId="209865BD" w14:textId="77777777" w:rsidR="00DB2D3F" w:rsidRPr="005E3B2D" w:rsidRDefault="00DB2D3F" w:rsidP="005E3B2D">
            <w:pPr>
              <w:suppressAutoHyphens w:val="0"/>
              <w:spacing w:before="40" w:after="40" w:line="220" w:lineRule="exact"/>
              <w:jc w:val="right"/>
              <w:rPr>
                <w:sz w:val="18"/>
                <w:highlight w:val="yellow"/>
              </w:rPr>
            </w:pPr>
            <w:r w:rsidRPr="005E3B2D">
              <w:rPr>
                <w:sz w:val="18"/>
              </w:rPr>
              <w:t>À partir des données chargées</w:t>
            </w:r>
          </w:p>
        </w:tc>
      </w:tr>
      <w:tr w:rsidR="00DB2D3F" w:rsidRPr="005E3B2D" w14:paraId="52128A4A" w14:textId="77777777" w:rsidTr="005E3B2D">
        <w:tc>
          <w:tcPr>
            <w:tcW w:w="2552" w:type="dxa"/>
            <w:shd w:val="clear" w:color="auto" w:fill="auto"/>
          </w:tcPr>
          <w:p w14:paraId="06743B9D" w14:textId="77777777" w:rsidR="00DB2D3F" w:rsidRPr="005E3B2D" w:rsidRDefault="00DB2D3F" w:rsidP="005E3B2D">
            <w:pPr>
              <w:suppressAutoHyphens w:val="0"/>
              <w:spacing w:before="40" w:after="40" w:line="220" w:lineRule="exact"/>
              <w:rPr>
                <w:sz w:val="18"/>
              </w:rPr>
            </w:pPr>
            <w:r w:rsidRPr="005E3B2D">
              <w:rPr>
                <w:sz w:val="18"/>
              </w:rPr>
              <w:t>Nom du constructeur</w:t>
            </w:r>
          </w:p>
        </w:tc>
        <w:tc>
          <w:tcPr>
            <w:tcW w:w="2268" w:type="dxa"/>
            <w:shd w:val="clear" w:color="auto" w:fill="auto"/>
            <w:vAlign w:val="bottom"/>
          </w:tcPr>
          <w:p w14:paraId="341FA504" w14:textId="77777777" w:rsidR="00DB2D3F" w:rsidRPr="005E3B2D" w:rsidRDefault="00DB2D3F" w:rsidP="005E3B2D">
            <w:pPr>
              <w:suppressAutoHyphens w:val="0"/>
              <w:spacing w:before="40" w:after="40" w:line="220" w:lineRule="exact"/>
              <w:jc w:val="right"/>
              <w:rPr>
                <w:sz w:val="18"/>
              </w:rPr>
            </w:pPr>
            <w:r w:rsidRPr="005E3B2D">
              <w:rPr>
                <w:sz w:val="18"/>
              </w:rPr>
              <w:t>Entité ayant délivré l’IWVTA</w:t>
            </w:r>
          </w:p>
        </w:tc>
        <w:tc>
          <w:tcPr>
            <w:tcW w:w="2550" w:type="dxa"/>
            <w:shd w:val="clear" w:color="auto" w:fill="auto"/>
            <w:vAlign w:val="bottom"/>
          </w:tcPr>
          <w:p w14:paraId="3D0A6006" w14:textId="77777777" w:rsidR="00DB2D3F" w:rsidRPr="005E3B2D" w:rsidRDefault="00DB2D3F" w:rsidP="005E3B2D">
            <w:pPr>
              <w:suppressAutoHyphens w:val="0"/>
              <w:spacing w:before="40" w:after="40" w:line="220" w:lineRule="exact"/>
              <w:jc w:val="right"/>
              <w:rPr>
                <w:sz w:val="18"/>
                <w:highlight w:val="yellow"/>
              </w:rPr>
            </w:pPr>
            <w:r w:rsidRPr="005E3B2D">
              <w:rPr>
                <w:sz w:val="18"/>
              </w:rPr>
              <w:t>À partir des données chargées</w:t>
            </w:r>
          </w:p>
        </w:tc>
      </w:tr>
      <w:tr w:rsidR="00DB2D3F" w:rsidRPr="005E3B2D" w14:paraId="18D6FCC6" w14:textId="77777777" w:rsidTr="005E3B2D">
        <w:tc>
          <w:tcPr>
            <w:tcW w:w="2552" w:type="dxa"/>
            <w:tcBorders>
              <w:bottom w:val="single" w:sz="12" w:space="0" w:color="auto"/>
            </w:tcBorders>
            <w:shd w:val="clear" w:color="auto" w:fill="auto"/>
          </w:tcPr>
          <w:p w14:paraId="2C5016FF" w14:textId="77777777" w:rsidR="00DB2D3F" w:rsidRPr="005E3B2D" w:rsidRDefault="00DB2D3F" w:rsidP="005E3B2D">
            <w:pPr>
              <w:suppressAutoHyphens w:val="0"/>
              <w:spacing w:before="40" w:after="40" w:line="220" w:lineRule="exact"/>
              <w:rPr>
                <w:sz w:val="18"/>
              </w:rPr>
            </w:pPr>
            <w:r w:rsidRPr="005E3B2D">
              <w:rPr>
                <w:sz w:val="18"/>
              </w:rPr>
              <w:t>Liste de conformité</w:t>
            </w:r>
          </w:p>
        </w:tc>
        <w:tc>
          <w:tcPr>
            <w:tcW w:w="2268" w:type="dxa"/>
            <w:tcBorders>
              <w:bottom w:val="single" w:sz="12" w:space="0" w:color="auto"/>
            </w:tcBorders>
            <w:shd w:val="clear" w:color="auto" w:fill="auto"/>
            <w:vAlign w:val="bottom"/>
          </w:tcPr>
          <w:p w14:paraId="178EED83" w14:textId="77777777" w:rsidR="00DB2D3F" w:rsidRPr="005E3B2D" w:rsidRDefault="00DB2D3F" w:rsidP="005E3B2D">
            <w:pPr>
              <w:suppressAutoHyphens w:val="0"/>
              <w:spacing w:before="40" w:after="40" w:line="220" w:lineRule="exact"/>
              <w:jc w:val="right"/>
              <w:rPr>
                <w:sz w:val="18"/>
              </w:rPr>
            </w:pPr>
            <w:r w:rsidRPr="005E3B2D">
              <w:rPr>
                <w:sz w:val="18"/>
              </w:rPr>
              <w:t>Entité ayant délivré l’IWVTA</w:t>
            </w:r>
          </w:p>
        </w:tc>
        <w:tc>
          <w:tcPr>
            <w:tcW w:w="2550" w:type="dxa"/>
            <w:tcBorders>
              <w:bottom w:val="single" w:sz="12" w:space="0" w:color="auto"/>
            </w:tcBorders>
            <w:shd w:val="clear" w:color="auto" w:fill="auto"/>
            <w:vAlign w:val="bottom"/>
          </w:tcPr>
          <w:p w14:paraId="613A68E5" w14:textId="77777777" w:rsidR="00DB2D3F" w:rsidRPr="005E3B2D" w:rsidRDefault="00DB2D3F" w:rsidP="005E3B2D">
            <w:pPr>
              <w:suppressAutoHyphens w:val="0"/>
              <w:spacing w:before="40" w:after="40" w:line="220" w:lineRule="exact"/>
              <w:jc w:val="right"/>
              <w:rPr>
                <w:sz w:val="18"/>
                <w:highlight w:val="yellow"/>
              </w:rPr>
            </w:pPr>
            <w:r w:rsidRPr="005E3B2D">
              <w:rPr>
                <w:sz w:val="18"/>
              </w:rPr>
              <w:t>À partir des données chargées</w:t>
            </w:r>
          </w:p>
        </w:tc>
      </w:tr>
    </w:tbl>
    <w:p w14:paraId="0AABFAC5" w14:textId="77777777" w:rsidR="00DB2D3F" w:rsidRPr="00DB2D3F" w:rsidRDefault="00DB2D3F" w:rsidP="005E3B2D">
      <w:pPr>
        <w:pStyle w:val="SingleTxtG"/>
        <w:spacing w:before="120"/>
        <w:rPr>
          <w:lang w:eastAsia="fr-FR"/>
        </w:rPr>
      </w:pPr>
      <w:r w:rsidRPr="00DB2D3F">
        <w:rPr>
          <w:lang w:eastAsia="fr-FR"/>
        </w:rPr>
        <w:t>5.2</w:t>
      </w:r>
      <w:r w:rsidRPr="00DB2D3F">
        <w:rPr>
          <w:lang w:eastAsia="fr-FR"/>
        </w:rPr>
        <w:tab/>
        <w:t>La liste de conformité comprend plusieurs éléments mis en regard avec un numéro de Règlement ONU et un numéro de série d’amendements, qui font partie des éléments chargés concernant l’IWVTA.</w:t>
      </w:r>
    </w:p>
    <w:p w14:paraId="02C00BF2" w14:textId="77777777" w:rsidR="00DB2D3F" w:rsidRPr="00DB2D3F" w:rsidRDefault="00DB2D3F" w:rsidP="005E3B2D">
      <w:pPr>
        <w:pStyle w:val="H1G"/>
        <w:rPr>
          <w:lang w:eastAsia="fr-FR"/>
        </w:rPr>
      </w:pPr>
      <w:r w:rsidRPr="00DB2D3F">
        <w:rPr>
          <w:lang w:eastAsia="fr-FR"/>
        </w:rPr>
        <w:tab/>
        <w:t>B.</w:t>
      </w:r>
      <w:r w:rsidRPr="00DB2D3F">
        <w:rPr>
          <w:lang w:eastAsia="fr-FR"/>
        </w:rPr>
        <w:tab/>
        <w:t>Consultation</w:t>
      </w:r>
    </w:p>
    <w:p w14:paraId="1C96F51E" w14:textId="77777777" w:rsidR="00DB2D3F" w:rsidRPr="00DB2D3F" w:rsidRDefault="00DB2D3F" w:rsidP="005E3B2D">
      <w:pPr>
        <w:pStyle w:val="SingleTxtG"/>
        <w:rPr>
          <w:lang w:eastAsia="fr-FR"/>
        </w:rPr>
      </w:pPr>
      <w:r w:rsidRPr="00DB2D3F">
        <w:rPr>
          <w:lang w:eastAsia="fr-FR"/>
        </w:rPr>
        <w:t>6.</w:t>
      </w:r>
      <w:r w:rsidRPr="00DB2D3F">
        <w:rPr>
          <w:lang w:eastAsia="fr-FR"/>
        </w:rPr>
        <w:tab/>
        <w:t>Une déclaration de conformité peut être consultée de deux façons :</w:t>
      </w:r>
    </w:p>
    <w:p w14:paraId="66464E33" w14:textId="77777777" w:rsidR="00DB2D3F" w:rsidRPr="00DB2D3F" w:rsidRDefault="00DB2D3F" w:rsidP="005E3B2D">
      <w:pPr>
        <w:pStyle w:val="SingleTxtG"/>
        <w:rPr>
          <w:lang w:eastAsia="fr-FR"/>
        </w:rPr>
      </w:pPr>
      <w:r w:rsidRPr="00DB2D3F">
        <w:rPr>
          <w:lang w:eastAsia="fr-FR"/>
        </w:rPr>
        <w:t>a)</w:t>
      </w:r>
      <w:r w:rsidRPr="00DB2D3F">
        <w:rPr>
          <w:lang w:eastAsia="fr-FR"/>
        </w:rPr>
        <w:tab/>
        <w:t>L’interface utilisateur de la DETA comprendra une rubrique intitulée « Déclaration de conformité » (</w:t>
      </w:r>
      <w:proofErr w:type="spellStart"/>
      <w:r w:rsidRPr="00DB2D3F">
        <w:rPr>
          <w:lang w:val="fr-FR" w:eastAsia="fr-FR"/>
        </w:rPr>
        <w:t>DoC</w:t>
      </w:r>
      <w:proofErr w:type="spellEnd"/>
      <w:r w:rsidRPr="00DB2D3F">
        <w:rPr>
          <w:lang w:val="fr-FR" w:eastAsia="fr-FR"/>
        </w:rPr>
        <w:t xml:space="preserve"> en anglais</w:t>
      </w:r>
      <w:r w:rsidRPr="00DB2D3F">
        <w:rPr>
          <w:lang w:eastAsia="fr-FR"/>
        </w:rPr>
        <w:t>), dans laquelle les utilisateurs pourront demander l’accès à une déclaration de conformité (soit au format XML, soit au format RTF) pour un VIN donné.</w:t>
      </w:r>
    </w:p>
    <w:p w14:paraId="3232E441" w14:textId="77777777" w:rsidR="00DB2D3F" w:rsidRPr="00DB2D3F" w:rsidRDefault="00DB2D3F" w:rsidP="005E3B2D">
      <w:pPr>
        <w:pStyle w:val="SingleTxtG"/>
        <w:rPr>
          <w:lang w:eastAsia="fr-FR"/>
        </w:rPr>
      </w:pPr>
      <w:r w:rsidRPr="00DB2D3F">
        <w:rPr>
          <w:lang w:eastAsia="fr-FR"/>
        </w:rPr>
        <w:t>b)</w:t>
      </w:r>
      <w:r w:rsidRPr="00DB2D3F">
        <w:rPr>
          <w:lang w:eastAsia="fr-FR"/>
        </w:rPr>
        <w:tab/>
        <w:t>Une plateforme en ligne permettra aux utilisateurs de télécharger une déclaration de conformité depuis une page autre que celle de la DETA. Parmi les fonctionnalités proposées, il sera possible de télécharger des déclarations de conformité (soit au format XML, soit au format RTF) pour un nombre limité de VIN, ce paramètre étant inclus dans la demande de service Web. La limitation du nombre de VIN peut être configurée et dépend des restrictions techniques propres à l’installation (bande passante du réseau ; limite du nombre de jeux de données</w:t>
      </w:r>
      <w:r w:rsidR="005E3B2D">
        <w:rPr>
          <w:lang w:eastAsia="fr-FR"/>
        </w:rPr>
        <w:t>…</w:t>
      </w:r>
      <w:r w:rsidRPr="00DB2D3F">
        <w:rPr>
          <w:lang w:eastAsia="fr-FR"/>
        </w:rPr>
        <w:t xml:space="preserve">). Le format de la demande de service Web se trouvera dans le dossier transmis. L’accès au service de téléchargement requiert l’emploi de comptes utilisateur spéciaux, lesquels n’ont pas le droit d’accès à </w:t>
      </w:r>
      <w:bookmarkStart w:id="6" w:name="OLE_LINK15"/>
      <w:bookmarkStart w:id="7" w:name="OLE_LINK16"/>
      <w:r w:rsidRPr="00DB2D3F">
        <w:rPr>
          <w:lang w:eastAsia="fr-FR"/>
        </w:rPr>
        <w:t>l’interface utilisateur de la DETA</w:t>
      </w:r>
      <w:bookmarkEnd w:id="6"/>
      <w:bookmarkEnd w:id="7"/>
      <w:r w:rsidRPr="00DB2D3F">
        <w:rPr>
          <w:lang w:eastAsia="fr-FR"/>
        </w:rPr>
        <w:t>.</w:t>
      </w:r>
    </w:p>
    <w:p w14:paraId="656B5067" w14:textId="77777777" w:rsidR="00DB2D3F" w:rsidRPr="00DB2D3F" w:rsidRDefault="00DB2D3F" w:rsidP="005E3B2D">
      <w:pPr>
        <w:pStyle w:val="SingleTxtG"/>
        <w:rPr>
          <w:lang w:eastAsia="fr-FR"/>
        </w:rPr>
      </w:pPr>
      <w:r w:rsidRPr="00DB2D3F">
        <w:rPr>
          <w:lang w:eastAsia="fr-FR"/>
        </w:rPr>
        <w:t>7.</w:t>
      </w:r>
      <w:r w:rsidRPr="00DB2D3F">
        <w:rPr>
          <w:lang w:eastAsia="fr-FR"/>
        </w:rPr>
        <w:tab/>
        <w:t>Les droits d’accès seront définis par le WP.29.</w:t>
      </w:r>
    </w:p>
    <w:p w14:paraId="60F8617F" w14:textId="77777777" w:rsidR="00DB2D3F" w:rsidRPr="00DB2D3F" w:rsidRDefault="00DB2D3F" w:rsidP="005E3B2D">
      <w:pPr>
        <w:pStyle w:val="H1G"/>
        <w:rPr>
          <w:lang w:eastAsia="fr-FR"/>
        </w:rPr>
      </w:pPr>
      <w:r w:rsidRPr="00DB2D3F">
        <w:rPr>
          <w:lang w:eastAsia="fr-FR"/>
        </w:rPr>
        <w:lastRenderedPageBreak/>
        <w:tab/>
        <w:t>C.</w:t>
      </w:r>
      <w:r w:rsidRPr="00DB2D3F">
        <w:rPr>
          <w:lang w:eastAsia="fr-FR"/>
        </w:rPr>
        <w:tab/>
        <w:t>Historique des demandes</w:t>
      </w:r>
    </w:p>
    <w:p w14:paraId="33C13C6C" w14:textId="77777777" w:rsidR="00DB2D3F" w:rsidRPr="00DB2D3F" w:rsidRDefault="00DB2D3F" w:rsidP="005E3B2D">
      <w:pPr>
        <w:pStyle w:val="SingleTxtG"/>
        <w:rPr>
          <w:lang w:eastAsia="fr-FR"/>
        </w:rPr>
      </w:pPr>
      <w:r w:rsidRPr="00DB2D3F">
        <w:rPr>
          <w:lang w:eastAsia="fr-FR"/>
        </w:rPr>
        <w:t>8.</w:t>
      </w:r>
      <w:r w:rsidRPr="00DB2D3F">
        <w:rPr>
          <w:lang w:eastAsia="fr-FR"/>
        </w:rPr>
        <w:tab/>
        <w:t xml:space="preserve">Le </w:t>
      </w:r>
      <w:bookmarkStart w:id="8" w:name="OLE_LINK1"/>
      <w:r w:rsidRPr="00DB2D3F">
        <w:rPr>
          <w:lang w:eastAsia="fr-FR"/>
        </w:rPr>
        <w:t xml:space="preserve">système de la </w:t>
      </w:r>
      <w:bookmarkEnd w:id="8"/>
      <w:r w:rsidRPr="00DB2D3F">
        <w:rPr>
          <w:lang w:eastAsia="fr-FR"/>
        </w:rPr>
        <w:t>DETA conservera la trace de tous les téléchargements de déclarations de conformité effectués au moyen de l’interface utilisateur de la DETA ou de la plateforme Web, à des fins de contrôle. Par exemple, l’administrateur du système peut utiliser ces renseignements afin de vérifier le contenu des déclarations de conformité téléchargées.</w:t>
      </w:r>
    </w:p>
    <w:p w14:paraId="1737DBAB" w14:textId="77777777" w:rsidR="00DB2D3F" w:rsidRPr="00DB2D3F" w:rsidRDefault="00DB2D3F" w:rsidP="005E3B2D">
      <w:pPr>
        <w:pStyle w:val="SingleTxtG"/>
        <w:rPr>
          <w:lang w:eastAsia="fr-FR"/>
        </w:rPr>
      </w:pPr>
      <w:r w:rsidRPr="00DB2D3F">
        <w:rPr>
          <w:lang w:eastAsia="fr-FR"/>
        </w:rPr>
        <w:t>9.</w:t>
      </w:r>
      <w:r w:rsidRPr="00DB2D3F">
        <w:rPr>
          <w:lang w:eastAsia="fr-FR"/>
        </w:rPr>
        <w:tab/>
        <w:t>Afin d’éviter une croissance démesurée de la base de données, le système de la DETA peut être paramétré de sorte à supprimer l’historique des demandes après un certain délai (deux options : informations contenues dans les déclarations de conformité ou documents seuls, ou les deux).</w:t>
      </w:r>
    </w:p>
    <w:p w14:paraId="54F30031" w14:textId="77777777" w:rsidR="00DB2D3F" w:rsidRPr="00DB2D3F" w:rsidRDefault="00DB2D3F" w:rsidP="005E3B2D">
      <w:pPr>
        <w:pStyle w:val="H1G"/>
        <w:rPr>
          <w:lang w:eastAsia="fr-FR"/>
        </w:rPr>
      </w:pPr>
      <w:r w:rsidRPr="00DB2D3F">
        <w:rPr>
          <w:lang w:eastAsia="fr-FR"/>
        </w:rPr>
        <w:tab/>
        <w:t>D.</w:t>
      </w:r>
      <w:r w:rsidRPr="00DB2D3F">
        <w:rPr>
          <w:lang w:eastAsia="fr-FR"/>
        </w:rPr>
        <w:tab/>
        <w:t>Chargement des données relatives au VIN et à l’IWVTA</w:t>
      </w:r>
    </w:p>
    <w:p w14:paraId="095B462C" w14:textId="77777777" w:rsidR="00DB2D3F" w:rsidRPr="00DB2D3F" w:rsidRDefault="00DB2D3F" w:rsidP="005E3B2D">
      <w:pPr>
        <w:pStyle w:val="H23G"/>
        <w:rPr>
          <w:lang w:eastAsia="fr-FR"/>
        </w:rPr>
      </w:pPr>
      <w:r w:rsidRPr="00DB2D3F">
        <w:rPr>
          <w:lang w:eastAsia="fr-FR"/>
        </w:rPr>
        <w:tab/>
        <w:t>a)</w:t>
      </w:r>
      <w:r w:rsidRPr="00DB2D3F">
        <w:rPr>
          <w:lang w:eastAsia="fr-FR"/>
        </w:rPr>
        <w:tab/>
        <w:t>Format</w:t>
      </w:r>
    </w:p>
    <w:p w14:paraId="0D9FCED1" w14:textId="77777777" w:rsidR="00DB2D3F" w:rsidRPr="00DB2D3F" w:rsidRDefault="00DB2D3F" w:rsidP="005E3B2D">
      <w:pPr>
        <w:pStyle w:val="SingleTxtG"/>
        <w:rPr>
          <w:lang w:eastAsia="fr-FR"/>
        </w:rPr>
      </w:pPr>
      <w:r w:rsidRPr="00DB2D3F">
        <w:rPr>
          <w:lang w:eastAsia="fr-FR"/>
        </w:rPr>
        <w:t>10.</w:t>
      </w:r>
      <w:r w:rsidRPr="00DB2D3F">
        <w:rPr>
          <w:lang w:eastAsia="fr-FR"/>
        </w:rPr>
        <w:tab/>
        <w:t>Les données relatives au VIN et à l’IWVTA exportées vers la plateforme en ligne de chargement des fichiers devront être au format XML.</w:t>
      </w:r>
    </w:p>
    <w:p w14:paraId="46CDF0AE" w14:textId="77777777" w:rsidR="00DB2D3F" w:rsidRPr="00DB2D3F" w:rsidRDefault="00DB2D3F" w:rsidP="005E3B2D">
      <w:pPr>
        <w:pStyle w:val="SingleTxtG"/>
        <w:rPr>
          <w:lang w:eastAsia="fr-FR"/>
        </w:rPr>
      </w:pPr>
      <w:r w:rsidRPr="00DB2D3F">
        <w:rPr>
          <w:lang w:eastAsia="fr-FR"/>
        </w:rPr>
        <w:t>11.</w:t>
      </w:r>
      <w:r w:rsidRPr="00DB2D3F">
        <w:rPr>
          <w:lang w:eastAsia="fr-FR"/>
        </w:rPr>
        <w:tab/>
        <w:t>En ce qui concerne le format XML, un fichier de définition de la structure XML (XSD) sera fourni dans le dossier transmis.</w:t>
      </w:r>
    </w:p>
    <w:p w14:paraId="65972B5C" w14:textId="77777777" w:rsidR="00DB2D3F" w:rsidRPr="00DB2D3F" w:rsidRDefault="00DB2D3F" w:rsidP="005E3B2D">
      <w:pPr>
        <w:pStyle w:val="H23G"/>
        <w:rPr>
          <w:lang w:eastAsia="fr-FR"/>
        </w:rPr>
      </w:pPr>
      <w:r w:rsidRPr="00DB2D3F">
        <w:rPr>
          <w:lang w:eastAsia="fr-FR"/>
        </w:rPr>
        <w:tab/>
        <w:t>b)</w:t>
      </w:r>
      <w:r w:rsidRPr="00DB2D3F">
        <w:rPr>
          <w:lang w:eastAsia="fr-FR"/>
        </w:rPr>
        <w:tab/>
        <w:t>Contenu</w:t>
      </w:r>
    </w:p>
    <w:p w14:paraId="736754B1" w14:textId="77777777" w:rsidR="00DB2D3F" w:rsidRPr="00DB2D3F" w:rsidRDefault="00DB2D3F" w:rsidP="005E3B2D">
      <w:pPr>
        <w:pStyle w:val="SingleTxtG"/>
        <w:rPr>
          <w:lang w:eastAsia="fr-FR"/>
        </w:rPr>
      </w:pPr>
      <w:r w:rsidRPr="00DB2D3F">
        <w:rPr>
          <w:lang w:eastAsia="fr-FR"/>
        </w:rPr>
        <w:t>12.</w:t>
      </w:r>
      <w:r w:rsidRPr="00DB2D3F">
        <w:rPr>
          <w:lang w:eastAsia="fr-FR"/>
        </w:rPr>
        <w:tab/>
        <w:t xml:space="preserve">Les données exportées </w:t>
      </w:r>
      <w:bookmarkStart w:id="9" w:name="OLE_LINK4"/>
      <w:bookmarkStart w:id="10" w:name="OLE_LINK5"/>
      <w:r w:rsidRPr="00DB2D3F">
        <w:rPr>
          <w:lang w:eastAsia="fr-FR"/>
        </w:rPr>
        <w:t xml:space="preserve">vers la </w:t>
      </w:r>
      <w:bookmarkEnd w:id="9"/>
      <w:bookmarkEnd w:id="10"/>
      <w:r w:rsidRPr="00DB2D3F">
        <w:rPr>
          <w:lang w:eastAsia="fr-FR"/>
        </w:rPr>
        <w:t>plateforme en ligne peuvent tout aussi bien être des données relatives à des VIN et à des IWVTA.</w:t>
      </w:r>
    </w:p>
    <w:p w14:paraId="5E28F632" w14:textId="77777777" w:rsidR="00DB2D3F" w:rsidRPr="00DB2D3F" w:rsidRDefault="00DB2D3F" w:rsidP="005E3B2D">
      <w:pPr>
        <w:pStyle w:val="SingleTxtG"/>
        <w:keepNext/>
        <w:rPr>
          <w:lang w:eastAsia="fr-FR"/>
        </w:rPr>
      </w:pPr>
      <w:r w:rsidRPr="00DB2D3F">
        <w:rPr>
          <w:lang w:eastAsia="fr-FR"/>
        </w:rPr>
        <w:t>13.</w:t>
      </w:r>
      <w:r w:rsidRPr="00DB2D3F">
        <w:rPr>
          <w:lang w:eastAsia="fr-FR"/>
        </w:rPr>
        <w:tab/>
        <w:t>En ce qui concerne les données relatives aux IWVTA, les éléments (champs de données) requis sont les suivants :</w:t>
      </w:r>
    </w:p>
    <w:p w14:paraId="6479CB95" w14:textId="77777777" w:rsidR="00DB2D3F" w:rsidRPr="00DB2D3F" w:rsidRDefault="00DB2D3F" w:rsidP="005E3B2D">
      <w:pPr>
        <w:pStyle w:val="Bullet1G"/>
        <w:rPr>
          <w:lang w:eastAsia="de-DE"/>
        </w:rPr>
      </w:pPr>
      <w:bookmarkStart w:id="11" w:name="OLE_LINK6"/>
      <w:r w:rsidRPr="00DB2D3F">
        <w:rPr>
          <w:lang w:eastAsia="de-DE"/>
        </w:rPr>
        <w:t xml:space="preserve">Numéro d’homologation </w:t>
      </w:r>
      <w:bookmarkEnd w:id="11"/>
      <w:r w:rsidRPr="00DB2D3F">
        <w:rPr>
          <w:lang w:eastAsia="de-DE"/>
        </w:rPr>
        <w:t xml:space="preserve">(champ de la </w:t>
      </w:r>
      <w:r w:rsidR="005E3B2D">
        <w:rPr>
          <w:lang w:eastAsia="de-DE"/>
        </w:rPr>
        <w:t>clef</w:t>
      </w:r>
      <w:r w:rsidRPr="00DB2D3F">
        <w:rPr>
          <w:lang w:eastAsia="de-DE"/>
        </w:rPr>
        <w:t>)</w:t>
      </w:r>
      <w:r w:rsidR="005E3B2D">
        <w:rPr>
          <w:lang w:eastAsia="de-DE"/>
        </w:rPr>
        <w:t> ;</w:t>
      </w:r>
    </w:p>
    <w:p w14:paraId="2F83F0CA" w14:textId="77777777" w:rsidR="00DB2D3F" w:rsidRPr="00DB2D3F" w:rsidRDefault="00DB2D3F" w:rsidP="005E3B2D">
      <w:pPr>
        <w:pStyle w:val="Bullet1G"/>
        <w:rPr>
          <w:lang w:eastAsia="de-DE"/>
        </w:rPr>
      </w:pPr>
      <w:r w:rsidRPr="00DB2D3F">
        <w:rPr>
          <w:lang w:eastAsia="de-DE"/>
        </w:rPr>
        <w:t>Classe IWVTA</w:t>
      </w:r>
      <w:r w:rsidR="005E3B2D">
        <w:rPr>
          <w:lang w:eastAsia="de-DE"/>
        </w:rPr>
        <w:t> ;</w:t>
      </w:r>
    </w:p>
    <w:p w14:paraId="73B9512B" w14:textId="77777777" w:rsidR="00DB2D3F" w:rsidRPr="00DB2D3F" w:rsidRDefault="00DB2D3F" w:rsidP="005E3B2D">
      <w:pPr>
        <w:pStyle w:val="Bullet1G"/>
        <w:rPr>
          <w:lang w:eastAsia="de-DE"/>
        </w:rPr>
      </w:pPr>
      <w:r w:rsidRPr="00DB2D3F">
        <w:rPr>
          <w:lang w:eastAsia="de-DE"/>
        </w:rPr>
        <w:t>Type IWVTA</w:t>
      </w:r>
      <w:r w:rsidR="005E3B2D">
        <w:rPr>
          <w:lang w:eastAsia="de-DE"/>
        </w:rPr>
        <w:t> ;</w:t>
      </w:r>
    </w:p>
    <w:p w14:paraId="276BCC05" w14:textId="77777777" w:rsidR="00DB2D3F" w:rsidRPr="00DB2D3F" w:rsidRDefault="00DB2D3F" w:rsidP="005E3B2D">
      <w:pPr>
        <w:pStyle w:val="Bullet1G"/>
        <w:rPr>
          <w:lang w:eastAsia="de-DE"/>
        </w:rPr>
      </w:pPr>
      <w:r w:rsidRPr="00DB2D3F">
        <w:rPr>
          <w:lang w:eastAsia="de-DE"/>
        </w:rPr>
        <w:t>Nom du constructeur</w:t>
      </w:r>
      <w:r w:rsidR="005E3B2D">
        <w:rPr>
          <w:lang w:eastAsia="de-DE"/>
        </w:rPr>
        <w:t> ;</w:t>
      </w:r>
    </w:p>
    <w:p w14:paraId="6D7E96C8" w14:textId="77777777" w:rsidR="00DB2D3F" w:rsidRPr="00DB2D3F" w:rsidRDefault="00DB2D3F" w:rsidP="005E3B2D">
      <w:pPr>
        <w:pStyle w:val="Bullet1G"/>
        <w:rPr>
          <w:lang w:eastAsia="de-DE"/>
        </w:rPr>
      </w:pPr>
      <w:r w:rsidRPr="00DB2D3F">
        <w:rPr>
          <w:lang w:eastAsia="de-DE"/>
        </w:rPr>
        <w:t>Liste de conformité (</w:t>
      </w:r>
      <w:r w:rsidRPr="00DB2D3F">
        <w:rPr>
          <w:rFonts w:ascii="Tele-GroteskNor" w:hAnsi="Tele-GroteskNor"/>
          <w:lang w:eastAsia="de-DE"/>
        </w:rPr>
        <w:t>éléments mis en regard avec un numéro de Règlement ONU et un numéro de série d’amendements</w:t>
      </w:r>
      <w:r w:rsidRPr="00DB2D3F">
        <w:rPr>
          <w:lang w:eastAsia="de-DE"/>
        </w:rPr>
        <w:t>)</w:t>
      </w:r>
      <w:r w:rsidR="005E3B2D">
        <w:rPr>
          <w:lang w:eastAsia="de-DE"/>
        </w:rPr>
        <w:t>.</w:t>
      </w:r>
    </w:p>
    <w:p w14:paraId="2C6B74FD" w14:textId="77777777" w:rsidR="00DB2D3F" w:rsidRPr="00DB2D3F" w:rsidRDefault="00DB2D3F" w:rsidP="005E3B2D">
      <w:pPr>
        <w:pStyle w:val="SingleTxtG"/>
        <w:keepNext/>
        <w:rPr>
          <w:rFonts w:asciiTheme="majorBidi" w:hAnsiTheme="majorBidi" w:cstheme="majorBidi"/>
          <w:lang w:eastAsia="fr-FR"/>
        </w:rPr>
      </w:pPr>
      <w:r w:rsidRPr="00DB2D3F">
        <w:rPr>
          <w:rFonts w:asciiTheme="majorBidi" w:hAnsiTheme="majorBidi" w:cstheme="majorBidi"/>
          <w:lang w:eastAsia="fr-FR"/>
        </w:rPr>
        <w:t>14.</w:t>
      </w:r>
      <w:r w:rsidRPr="00DB2D3F">
        <w:rPr>
          <w:rFonts w:asciiTheme="majorBidi" w:hAnsiTheme="majorBidi" w:cstheme="majorBidi"/>
          <w:lang w:eastAsia="fr-FR"/>
        </w:rPr>
        <w:tab/>
      </w:r>
      <w:r w:rsidRPr="00DB2D3F">
        <w:rPr>
          <w:lang w:eastAsia="fr-FR"/>
        </w:rPr>
        <w:t xml:space="preserve">En ce qui concerne les données relatives aux </w:t>
      </w:r>
      <w:r w:rsidRPr="00DB2D3F">
        <w:rPr>
          <w:rFonts w:asciiTheme="majorBidi" w:hAnsiTheme="majorBidi" w:cstheme="majorBidi"/>
          <w:lang w:eastAsia="fr-FR"/>
        </w:rPr>
        <w:t xml:space="preserve">VIN, </w:t>
      </w:r>
      <w:r w:rsidRPr="00DB2D3F">
        <w:rPr>
          <w:lang w:eastAsia="fr-FR"/>
        </w:rPr>
        <w:t>les éléments (champs de données) requis sont les suivants :</w:t>
      </w:r>
    </w:p>
    <w:p w14:paraId="3173CAFA" w14:textId="77777777" w:rsidR="00DB2D3F" w:rsidRPr="00DB2D3F" w:rsidRDefault="00DB2D3F" w:rsidP="005E3B2D">
      <w:pPr>
        <w:pStyle w:val="Bullet1G"/>
        <w:rPr>
          <w:lang w:eastAsia="de-DE"/>
        </w:rPr>
      </w:pPr>
      <w:r w:rsidRPr="00DB2D3F">
        <w:rPr>
          <w:lang w:eastAsia="de-DE"/>
        </w:rPr>
        <w:t>VIN (champ de la cl</w:t>
      </w:r>
      <w:r w:rsidR="005E3B2D">
        <w:rPr>
          <w:lang w:eastAsia="de-DE"/>
        </w:rPr>
        <w:t>ef</w:t>
      </w:r>
      <w:r w:rsidRPr="00DB2D3F">
        <w:rPr>
          <w:lang w:eastAsia="de-DE"/>
        </w:rPr>
        <w:t>)</w:t>
      </w:r>
      <w:r w:rsidR="005E3B2D">
        <w:rPr>
          <w:lang w:eastAsia="de-DE"/>
        </w:rPr>
        <w:t> ;</w:t>
      </w:r>
    </w:p>
    <w:p w14:paraId="423EB415" w14:textId="77777777" w:rsidR="00DB2D3F" w:rsidRPr="00DB2D3F" w:rsidRDefault="00DB2D3F" w:rsidP="005E3B2D">
      <w:pPr>
        <w:pStyle w:val="Bullet1G"/>
        <w:rPr>
          <w:lang w:eastAsia="de-DE"/>
        </w:rPr>
      </w:pPr>
      <w:r w:rsidRPr="00DB2D3F">
        <w:rPr>
          <w:lang w:eastAsia="de-DE"/>
        </w:rPr>
        <w:t xml:space="preserve">Numéro </w:t>
      </w:r>
      <w:bookmarkStart w:id="12" w:name="OLE_LINK7"/>
      <w:bookmarkStart w:id="13" w:name="OLE_LINK8"/>
      <w:r w:rsidRPr="00DB2D3F">
        <w:rPr>
          <w:lang w:eastAsia="de-DE"/>
        </w:rPr>
        <w:t>d</w:t>
      </w:r>
      <w:bookmarkEnd w:id="12"/>
      <w:bookmarkEnd w:id="13"/>
      <w:r w:rsidRPr="00DB2D3F">
        <w:rPr>
          <w:lang w:eastAsia="de-DE"/>
        </w:rPr>
        <w:t xml:space="preserve">’homologation (de l’IWVTA </w:t>
      </w:r>
      <w:r w:rsidR="005E3B2D">
        <w:rPr>
          <w:lang w:eastAsia="de-DE"/>
        </w:rPr>
        <w:t>−</w:t>
      </w:r>
      <w:r w:rsidRPr="00DB2D3F">
        <w:rPr>
          <w:lang w:eastAsia="de-DE"/>
        </w:rPr>
        <w:t xml:space="preserve"> champ de cl</w:t>
      </w:r>
      <w:r w:rsidR="005E3B2D">
        <w:rPr>
          <w:lang w:eastAsia="de-DE"/>
        </w:rPr>
        <w:t>ef</w:t>
      </w:r>
      <w:r w:rsidRPr="00DB2D3F">
        <w:rPr>
          <w:lang w:eastAsia="de-DE"/>
        </w:rPr>
        <w:t xml:space="preserve"> étrangère)</w:t>
      </w:r>
      <w:r w:rsidR="005E3B2D">
        <w:rPr>
          <w:lang w:eastAsia="de-DE"/>
        </w:rPr>
        <w:t> ;</w:t>
      </w:r>
    </w:p>
    <w:p w14:paraId="7A8F6C9B" w14:textId="77777777" w:rsidR="00DB2D3F" w:rsidRPr="00DB2D3F" w:rsidRDefault="00DB2D3F" w:rsidP="005E3B2D">
      <w:pPr>
        <w:pStyle w:val="Bullet1G"/>
        <w:rPr>
          <w:lang w:eastAsia="de-DE"/>
        </w:rPr>
      </w:pPr>
      <w:r w:rsidRPr="00DB2D3F">
        <w:rPr>
          <w:lang w:eastAsia="de-DE"/>
        </w:rPr>
        <w:t>Catégorie du véhicule</w:t>
      </w:r>
      <w:r w:rsidR="005E3B2D">
        <w:rPr>
          <w:lang w:eastAsia="de-DE"/>
        </w:rPr>
        <w:t>.</w:t>
      </w:r>
    </w:p>
    <w:p w14:paraId="6B46747C" w14:textId="77777777" w:rsidR="00DB2D3F" w:rsidRPr="00DB2D3F" w:rsidRDefault="00DB2D3F" w:rsidP="005E3B2D">
      <w:pPr>
        <w:pStyle w:val="H23G"/>
        <w:rPr>
          <w:lang w:eastAsia="fr-FR"/>
        </w:rPr>
      </w:pPr>
      <w:r w:rsidRPr="00DB2D3F">
        <w:rPr>
          <w:lang w:eastAsia="fr-FR"/>
        </w:rPr>
        <w:tab/>
        <w:t>c)</w:t>
      </w:r>
      <w:r w:rsidRPr="00DB2D3F">
        <w:rPr>
          <w:lang w:eastAsia="fr-FR"/>
        </w:rPr>
        <w:tab/>
        <w:t>Chargement proprement dit</w:t>
      </w:r>
    </w:p>
    <w:p w14:paraId="08EFB4C2" w14:textId="77777777" w:rsidR="00DB2D3F" w:rsidRPr="00DB2D3F" w:rsidRDefault="00DB2D3F" w:rsidP="005E3B2D">
      <w:pPr>
        <w:pStyle w:val="SingleTxtG"/>
        <w:rPr>
          <w:lang w:eastAsia="fr-FR"/>
        </w:rPr>
      </w:pPr>
      <w:r w:rsidRPr="00DB2D3F">
        <w:rPr>
          <w:lang w:eastAsia="fr-FR"/>
        </w:rPr>
        <w:t>15.</w:t>
      </w:r>
      <w:r w:rsidRPr="00DB2D3F">
        <w:rPr>
          <w:lang w:eastAsia="fr-FR"/>
        </w:rPr>
        <w:tab/>
        <w:t>La plateforme en ligne offre plusieurs fonctions pour charger des données relatives à des IWVTA et des VIN pour la première fois (ajout), modifier les données (actualisation) ou les supprimer du système (suppression ; uniquement pour les données relatives aux VIN).</w:t>
      </w:r>
    </w:p>
    <w:p w14:paraId="6EF625C1" w14:textId="77777777" w:rsidR="00DB2D3F" w:rsidRPr="00DB2D3F" w:rsidRDefault="00DB2D3F" w:rsidP="005E3B2D">
      <w:pPr>
        <w:pStyle w:val="SingleTxtG"/>
        <w:keepNext/>
        <w:rPr>
          <w:lang w:eastAsia="fr-FR"/>
        </w:rPr>
      </w:pPr>
      <w:r w:rsidRPr="00DB2D3F">
        <w:rPr>
          <w:lang w:eastAsia="fr-FR"/>
        </w:rPr>
        <w:t>16.</w:t>
      </w:r>
      <w:r w:rsidRPr="00DB2D3F">
        <w:rPr>
          <w:lang w:eastAsia="fr-FR"/>
        </w:rPr>
        <w:tab/>
        <w:t>En fonction de l’opération sélectionnée, il est vérifié que les données chargées satisfont aux conditions suivantes :</w:t>
      </w:r>
    </w:p>
    <w:p w14:paraId="74134E8D" w14:textId="77777777" w:rsidR="00DB2D3F" w:rsidRPr="00DB2D3F" w:rsidRDefault="00DB2D3F" w:rsidP="005E3B2D">
      <w:pPr>
        <w:pStyle w:val="Bullet1G"/>
        <w:rPr>
          <w:lang w:eastAsia="de-DE"/>
        </w:rPr>
      </w:pPr>
      <w:r w:rsidRPr="00DB2D3F">
        <w:rPr>
          <w:lang w:eastAsia="de-DE"/>
        </w:rPr>
        <w:t>Ajout :</w:t>
      </w:r>
      <w:r w:rsidRPr="00DB2D3F">
        <w:rPr>
          <w:lang w:eastAsia="de-DE"/>
        </w:rPr>
        <w:br/>
        <w:t>La cl</w:t>
      </w:r>
      <w:r w:rsidR="005E3B2D">
        <w:rPr>
          <w:lang w:eastAsia="de-DE"/>
        </w:rPr>
        <w:t>ef</w:t>
      </w:r>
      <w:r w:rsidRPr="00DB2D3F">
        <w:rPr>
          <w:lang w:eastAsia="de-DE"/>
        </w:rPr>
        <w:t xml:space="preserve"> correspondant à l’élément de données chargé ne doit pas encore exister dans le système.</w:t>
      </w:r>
    </w:p>
    <w:p w14:paraId="23B977BA" w14:textId="77777777" w:rsidR="00DB2D3F" w:rsidRPr="00DB2D3F" w:rsidRDefault="00DB2D3F" w:rsidP="005E3B2D">
      <w:pPr>
        <w:pStyle w:val="Bullet1G"/>
        <w:rPr>
          <w:lang w:eastAsia="de-DE"/>
        </w:rPr>
      </w:pPr>
      <w:r w:rsidRPr="00DB2D3F">
        <w:rPr>
          <w:lang w:eastAsia="de-DE"/>
        </w:rPr>
        <w:t>Actualisation :</w:t>
      </w:r>
      <w:r w:rsidRPr="00DB2D3F">
        <w:rPr>
          <w:lang w:eastAsia="de-DE"/>
        </w:rPr>
        <w:br/>
        <w:t>La cl</w:t>
      </w:r>
      <w:r w:rsidR="005E3B2D">
        <w:rPr>
          <w:lang w:eastAsia="de-DE"/>
        </w:rPr>
        <w:t>ef</w:t>
      </w:r>
      <w:r w:rsidRPr="00DB2D3F">
        <w:rPr>
          <w:lang w:eastAsia="de-DE"/>
        </w:rPr>
        <w:t xml:space="preserve"> correspondant à l’élément de données chargé </w:t>
      </w:r>
      <w:bookmarkStart w:id="14" w:name="OLE_LINK11"/>
      <w:bookmarkStart w:id="15" w:name="OLE_LINK12"/>
      <w:r w:rsidRPr="00DB2D3F">
        <w:rPr>
          <w:lang w:eastAsia="de-DE"/>
        </w:rPr>
        <w:t>doit déjà se trouver dans le système</w:t>
      </w:r>
      <w:bookmarkEnd w:id="14"/>
      <w:bookmarkEnd w:id="15"/>
      <w:r w:rsidRPr="00DB2D3F">
        <w:rPr>
          <w:lang w:eastAsia="de-DE"/>
        </w:rPr>
        <w:t>.</w:t>
      </w:r>
    </w:p>
    <w:p w14:paraId="1D32E1D4" w14:textId="77777777" w:rsidR="00DB2D3F" w:rsidRPr="00DB2D3F" w:rsidRDefault="00DB2D3F" w:rsidP="005E3B2D">
      <w:pPr>
        <w:pStyle w:val="Bullet1G"/>
        <w:rPr>
          <w:lang w:eastAsia="fr-FR"/>
        </w:rPr>
      </w:pPr>
      <w:r w:rsidRPr="00DB2D3F">
        <w:rPr>
          <w:lang w:eastAsia="fr-FR"/>
        </w:rPr>
        <w:lastRenderedPageBreak/>
        <w:t>Suppression :</w:t>
      </w:r>
      <w:r w:rsidRPr="00DB2D3F">
        <w:rPr>
          <w:lang w:eastAsia="fr-FR"/>
        </w:rPr>
        <w:br/>
        <w:t>La cl</w:t>
      </w:r>
      <w:r w:rsidR="005E3B2D">
        <w:rPr>
          <w:lang w:eastAsia="fr-FR"/>
        </w:rPr>
        <w:t>ef</w:t>
      </w:r>
      <w:r w:rsidRPr="00DB2D3F">
        <w:rPr>
          <w:lang w:eastAsia="fr-FR"/>
        </w:rPr>
        <w:t xml:space="preserve"> correspondant à l’élément de données chargé (VIN uniquement ; les données relatives aux IWVTA ne peuvent pas être supprimées) doit déjà se trouver dans le système.</w:t>
      </w:r>
    </w:p>
    <w:p w14:paraId="440E51E4" w14:textId="77777777" w:rsidR="00DB2D3F" w:rsidRPr="00DB2D3F" w:rsidRDefault="00DB2D3F" w:rsidP="005E3B2D">
      <w:pPr>
        <w:pStyle w:val="SingleTxtG"/>
        <w:keepNext/>
        <w:rPr>
          <w:lang w:eastAsia="fr-FR"/>
        </w:rPr>
      </w:pPr>
      <w:r w:rsidRPr="00DB2D3F">
        <w:rPr>
          <w:lang w:eastAsia="fr-FR"/>
        </w:rPr>
        <w:t>17.</w:t>
      </w:r>
      <w:r w:rsidRPr="00DB2D3F">
        <w:rPr>
          <w:lang w:eastAsia="fr-FR"/>
        </w:rPr>
        <w:tab/>
        <w:t>Traitement particulier des données relatives aux VIN qui ont été supprimées</w:t>
      </w:r>
      <w:r w:rsidR="005E3B2D">
        <w:rPr>
          <w:lang w:eastAsia="fr-FR"/>
        </w:rPr>
        <w:t> :</w:t>
      </w:r>
    </w:p>
    <w:p w14:paraId="7468636E" w14:textId="77777777" w:rsidR="00DB2D3F" w:rsidRPr="00DB2D3F" w:rsidRDefault="00DB2D3F" w:rsidP="005E3B2D">
      <w:pPr>
        <w:pStyle w:val="Bullet1G"/>
        <w:rPr>
          <w:lang w:eastAsia="fr-FR"/>
        </w:rPr>
      </w:pPr>
      <w:r w:rsidRPr="00DB2D3F">
        <w:rPr>
          <w:lang w:eastAsia="fr-FR"/>
        </w:rPr>
        <w:t>La suppression d’un VIN n’éliminera pas totalement les données du système ; le numéro d’identification sera indiqué comme ayant été supprimé et il sera inaccessible pour les demandes de déclaration de conformité. L’actualisation d’un VIN supprimé sera considérée comme une erreur ; l’opération « ajout » sera toutefois autorisée pour un VIN supprimé.</w:t>
      </w:r>
    </w:p>
    <w:p w14:paraId="63BB575D" w14:textId="77777777" w:rsidR="00DB2D3F" w:rsidRPr="00DB2D3F" w:rsidRDefault="00DB2D3F" w:rsidP="005E3B2D">
      <w:pPr>
        <w:pStyle w:val="SingleTxtG"/>
        <w:rPr>
          <w:lang w:eastAsia="fr-FR"/>
        </w:rPr>
      </w:pPr>
      <w:r w:rsidRPr="00DB2D3F">
        <w:rPr>
          <w:lang w:eastAsia="fr-FR"/>
        </w:rPr>
        <w:t>18.</w:t>
      </w:r>
      <w:r w:rsidRPr="00DB2D3F">
        <w:rPr>
          <w:lang w:eastAsia="fr-FR"/>
        </w:rPr>
        <w:tab/>
        <w:t>À chaque chargement d’un élément de données (ajout, actualisation ou suppression), la date et l’heure de la modification seront stockées et associées à l’élément en question, et le compteur de version passera au numéro suivant.</w:t>
      </w:r>
    </w:p>
    <w:p w14:paraId="251373E9" w14:textId="77777777" w:rsidR="00DB2D3F" w:rsidRPr="00DB2D3F" w:rsidRDefault="00DB2D3F" w:rsidP="005E3B2D">
      <w:pPr>
        <w:pStyle w:val="SingleTxtG"/>
        <w:keepNext/>
        <w:rPr>
          <w:lang w:eastAsia="fr-FR"/>
        </w:rPr>
      </w:pPr>
      <w:r w:rsidRPr="00DB2D3F">
        <w:rPr>
          <w:lang w:eastAsia="fr-FR"/>
        </w:rPr>
        <w:t>19.</w:t>
      </w:r>
      <w:r w:rsidRPr="00DB2D3F">
        <w:rPr>
          <w:lang w:eastAsia="fr-FR"/>
        </w:rPr>
        <w:tab/>
        <w:t>Indépendamment de l’opération sélectionnée, il est vérifié que les données chargées satisfont aux conditions suivantes :</w:t>
      </w:r>
    </w:p>
    <w:p w14:paraId="76528569" w14:textId="77777777" w:rsidR="00DB2D3F" w:rsidRPr="00DB2D3F" w:rsidRDefault="00DB2D3F" w:rsidP="005E3B2D">
      <w:pPr>
        <w:pStyle w:val="Bullet1G"/>
        <w:rPr>
          <w:lang w:eastAsia="fr-FR"/>
        </w:rPr>
      </w:pPr>
      <w:r w:rsidRPr="00DB2D3F">
        <w:rPr>
          <w:lang w:eastAsia="fr-FR"/>
        </w:rPr>
        <w:t xml:space="preserve">Les chargements de données par les constructeurs </w:t>
      </w:r>
      <w:bookmarkStart w:id="16" w:name="OLE_LINK17"/>
      <w:r w:rsidRPr="00DB2D3F">
        <w:rPr>
          <w:lang w:eastAsia="fr-FR"/>
        </w:rPr>
        <w:t xml:space="preserve">sont autorisés uniquement pour les données relatives aux IWVTA et VIN qui correspondent aux homologations </w:t>
      </w:r>
      <w:bookmarkEnd w:id="16"/>
      <w:r w:rsidRPr="00DB2D3F">
        <w:rPr>
          <w:lang w:eastAsia="fr-FR"/>
        </w:rPr>
        <w:t>et aux véhicules desdits constructeurs.</w:t>
      </w:r>
    </w:p>
    <w:p w14:paraId="56D51031" w14:textId="77777777" w:rsidR="00DB2D3F" w:rsidRPr="00DB2D3F" w:rsidRDefault="00DB2D3F" w:rsidP="005E3B2D">
      <w:pPr>
        <w:pStyle w:val="Bullet1G"/>
        <w:rPr>
          <w:lang w:eastAsia="fr-FR"/>
        </w:rPr>
      </w:pPr>
      <w:r w:rsidRPr="00DB2D3F">
        <w:rPr>
          <w:lang w:eastAsia="fr-FR"/>
        </w:rPr>
        <w:t>Les chargements de données par les autorités d’homologation de type sont autorisés uniquement pour les données relatives aux IWVTA et VIN qui correspondent aux homologations que ces autorités ont accordées et aux véhicules qui sont visés par ces homologations.</w:t>
      </w:r>
    </w:p>
    <w:p w14:paraId="46DB1C2A" w14:textId="77777777" w:rsidR="00DB2D3F" w:rsidRPr="00DB2D3F" w:rsidRDefault="00DB2D3F" w:rsidP="005E3B2D">
      <w:pPr>
        <w:pStyle w:val="SingleTxtG"/>
        <w:rPr>
          <w:lang w:eastAsia="fr-FR"/>
        </w:rPr>
      </w:pPr>
      <w:r w:rsidRPr="00DB2D3F">
        <w:rPr>
          <w:lang w:eastAsia="fr-FR"/>
        </w:rPr>
        <w:t>20.</w:t>
      </w:r>
      <w:r w:rsidRPr="00DB2D3F">
        <w:rPr>
          <w:lang w:eastAsia="fr-FR"/>
        </w:rPr>
        <w:tab/>
        <w:t>L’accès au service de chargement requiert l’emploi de comptes utilisateur spéciaux, lesquels n’ont pas le droit d’accès à l’interface utilisateur de la DETA.</w:t>
      </w:r>
    </w:p>
    <w:p w14:paraId="5ED45478" w14:textId="77777777" w:rsidR="00DB2D3F" w:rsidRPr="00DB2D3F" w:rsidRDefault="00DB2D3F" w:rsidP="005E3B2D">
      <w:pPr>
        <w:pStyle w:val="H23G"/>
        <w:rPr>
          <w:lang w:eastAsia="fr-FR"/>
        </w:rPr>
      </w:pPr>
      <w:r w:rsidRPr="00DB2D3F">
        <w:rPr>
          <w:lang w:eastAsia="fr-FR"/>
        </w:rPr>
        <w:tab/>
        <w:t>d)</w:t>
      </w:r>
      <w:r w:rsidRPr="00DB2D3F">
        <w:rPr>
          <w:lang w:eastAsia="fr-FR"/>
        </w:rPr>
        <w:tab/>
        <w:t>Rapport (messages « OK</w:t>
      </w:r>
      <w:proofErr w:type="gramStart"/>
      <w:r w:rsidRPr="00DB2D3F">
        <w:rPr>
          <w:lang w:eastAsia="fr-FR"/>
        </w:rPr>
        <w:t> »/</w:t>
      </w:r>
      <w:proofErr w:type="gramEnd"/>
      <w:r w:rsidRPr="00DB2D3F">
        <w:rPr>
          <w:lang w:eastAsia="fr-FR"/>
        </w:rPr>
        <w:t>« Erreur »)</w:t>
      </w:r>
    </w:p>
    <w:p w14:paraId="12B957F0" w14:textId="77777777" w:rsidR="00DB2D3F" w:rsidRPr="00DB2D3F" w:rsidRDefault="00DB2D3F" w:rsidP="005E3B2D">
      <w:pPr>
        <w:pStyle w:val="SingleTxtG"/>
        <w:rPr>
          <w:lang w:eastAsia="fr-FR"/>
        </w:rPr>
      </w:pPr>
      <w:r w:rsidRPr="00DB2D3F">
        <w:rPr>
          <w:lang w:eastAsia="fr-FR"/>
        </w:rPr>
        <w:t>21.</w:t>
      </w:r>
      <w:r w:rsidRPr="00DB2D3F">
        <w:rPr>
          <w:lang w:eastAsia="fr-FR"/>
        </w:rPr>
        <w:tab/>
        <w:t>Pour chaque chargement de données sur la plateforme en ligne, l’exactitude structurelle (conformité avec la définition XSD) ainsi que la cohérence intrinsèque et la cohérence avec la DETA seront vérifiées.</w:t>
      </w:r>
    </w:p>
    <w:p w14:paraId="6B6F4B95" w14:textId="77777777" w:rsidR="00DB2D3F" w:rsidRPr="00DB2D3F" w:rsidRDefault="00DB2D3F" w:rsidP="005E3B2D">
      <w:pPr>
        <w:pStyle w:val="SingleTxtG"/>
        <w:rPr>
          <w:lang w:eastAsia="fr-FR"/>
        </w:rPr>
      </w:pPr>
      <w:r w:rsidRPr="00DB2D3F">
        <w:rPr>
          <w:lang w:eastAsia="fr-FR"/>
        </w:rPr>
        <w:t>22.</w:t>
      </w:r>
      <w:r w:rsidRPr="00DB2D3F">
        <w:rPr>
          <w:lang w:eastAsia="fr-FR"/>
        </w:rPr>
        <w:tab/>
        <w:t>Si les données chargées ne sont pas conformes à la définition XSD, le chargement sera rejeté dans sa totalité.</w:t>
      </w:r>
    </w:p>
    <w:p w14:paraId="27B37237" w14:textId="77777777" w:rsidR="00DB2D3F" w:rsidRPr="00DB2D3F" w:rsidRDefault="00DB2D3F" w:rsidP="005E3B2D">
      <w:pPr>
        <w:pStyle w:val="SingleTxtG"/>
        <w:rPr>
          <w:lang w:eastAsia="fr-FR"/>
        </w:rPr>
      </w:pPr>
      <w:r w:rsidRPr="00DB2D3F">
        <w:rPr>
          <w:lang w:eastAsia="fr-FR"/>
        </w:rPr>
        <w:t>23.</w:t>
      </w:r>
      <w:r w:rsidRPr="00DB2D3F">
        <w:rPr>
          <w:lang w:eastAsia="fr-FR"/>
        </w:rPr>
        <w:tab/>
        <w:t>Les données chargées qui sont incorrectes (par exemple doublons, ou données VIN renvoyant à une IWVTA inexistante) ne seront pas importées dans la DETA.</w:t>
      </w:r>
    </w:p>
    <w:p w14:paraId="2A316ECA" w14:textId="77777777" w:rsidR="00DB2D3F" w:rsidRPr="00DB2D3F" w:rsidRDefault="00DB2D3F" w:rsidP="005E3B2D">
      <w:pPr>
        <w:pStyle w:val="SingleTxtG"/>
        <w:rPr>
          <w:lang w:eastAsia="fr-FR"/>
        </w:rPr>
      </w:pPr>
      <w:r w:rsidRPr="00DB2D3F">
        <w:rPr>
          <w:lang w:eastAsia="fr-FR"/>
        </w:rPr>
        <w:t>24.</w:t>
      </w:r>
      <w:r w:rsidRPr="00DB2D3F">
        <w:rPr>
          <w:lang w:eastAsia="fr-FR"/>
        </w:rPr>
        <w:tab/>
        <w:t>Pour chaque demande de service Web, un rapport de chargement sera généré ; y</w:t>
      </w:r>
      <w:r w:rsidR="005E3B2D">
        <w:rPr>
          <w:lang w:eastAsia="fr-FR"/>
        </w:rPr>
        <w:t> </w:t>
      </w:r>
      <w:r w:rsidRPr="00DB2D3F">
        <w:rPr>
          <w:lang w:eastAsia="fr-FR"/>
        </w:rPr>
        <w:t>seront précisées quelles parties du chargement ont été importées et quelles parties n’ont pas pu l’être en raison des erreurs qu’elles contenaient. Pour toute erreur figurant dans le rapport de chargement, le motif du rejet des données sera toujours précisé.</w:t>
      </w:r>
    </w:p>
    <w:p w14:paraId="457407CF" w14:textId="77777777" w:rsidR="00DB2D3F" w:rsidRPr="00DB2D3F" w:rsidRDefault="00DB2D3F" w:rsidP="005E3B2D">
      <w:pPr>
        <w:pStyle w:val="SingleTxtG"/>
        <w:rPr>
          <w:lang w:eastAsia="fr-FR"/>
        </w:rPr>
      </w:pPr>
      <w:r w:rsidRPr="00DB2D3F">
        <w:rPr>
          <w:lang w:eastAsia="fr-FR"/>
        </w:rPr>
        <w:t>25.</w:t>
      </w:r>
      <w:r w:rsidRPr="00DB2D3F">
        <w:rPr>
          <w:lang w:eastAsia="fr-FR"/>
        </w:rPr>
        <w:tab/>
        <w:t>Le rapport de chargement doit être transmis au format XML, le fichier de définition de la structure XML (XSD) étant inclus dans le dossier transmis.</w:t>
      </w:r>
    </w:p>
    <w:p w14:paraId="0F5C7488" w14:textId="77777777" w:rsidR="00DB2D3F" w:rsidRPr="00DB2D3F" w:rsidRDefault="00DB2D3F" w:rsidP="005E3B2D">
      <w:pPr>
        <w:pStyle w:val="H23G"/>
        <w:rPr>
          <w:lang w:eastAsia="fr-FR"/>
        </w:rPr>
      </w:pPr>
      <w:r w:rsidRPr="00DB2D3F">
        <w:rPr>
          <w:lang w:eastAsia="fr-FR"/>
        </w:rPr>
        <w:tab/>
        <w:t>e)</w:t>
      </w:r>
      <w:r w:rsidRPr="00DB2D3F">
        <w:rPr>
          <w:lang w:eastAsia="fr-FR"/>
        </w:rPr>
        <w:tab/>
        <w:t>Protocole de chargement</w:t>
      </w:r>
    </w:p>
    <w:p w14:paraId="68EF4132" w14:textId="77777777" w:rsidR="00DB2D3F" w:rsidRPr="00DB2D3F" w:rsidRDefault="00DB2D3F" w:rsidP="005E3B2D">
      <w:pPr>
        <w:pStyle w:val="SingleTxtG"/>
        <w:rPr>
          <w:lang w:eastAsia="fr-FR"/>
        </w:rPr>
      </w:pPr>
      <w:r w:rsidRPr="00DB2D3F">
        <w:rPr>
          <w:lang w:eastAsia="fr-FR"/>
        </w:rPr>
        <w:t>26.</w:t>
      </w:r>
      <w:r w:rsidRPr="00DB2D3F">
        <w:rPr>
          <w:lang w:eastAsia="fr-FR"/>
        </w:rPr>
        <w:tab/>
        <w:t>Le système de la DETA conservera la trace de toutes les données relatives aux VIN/IWVTA chargées au moyen de la plateforme en ligne.</w:t>
      </w:r>
    </w:p>
    <w:p w14:paraId="3DA5196B" w14:textId="77777777" w:rsidR="00DB2D3F" w:rsidRPr="00DB2D3F" w:rsidRDefault="00DB2D3F" w:rsidP="005E3B2D">
      <w:pPr>
        <w:pStyle w:val="SingleTxtG"/>
        <w:rPr>
          <w:lang w:eastAsia="fr-FR"/>
        </w:rPr>
      </w:pPr>
      <w:r w:rsidRPr="00DB2D3F">
        <w:rPr>
          <w:lang w:eastAsia="fr-FR"/>
        </w:rPr>
        <w:t>27.</w:t>
      </w:r>
      <w:r w:rsidRPr="00DB2D3F">
        <w:rPr>
          <w:lang w:eastAsia="fr-FR"/>
        </w:rPr>
        <w:tab/>
        <w:t>Les constructeurs et les autorités d’homologation de type ayant chargé des données relatives à des VIN/IWVTA peuvent consulter la liste de leurs chargements, et télécharger les fichiers qu’ils ont chargés, en passant par l’interface utilisateur de la DETA.</w:t>
      </w:r>
    </w:p>
    <w:p w14:paraId="01CCFA30" w14:textId="77777777" w:rsidR="00DB2D3F" w:rsidRPr="00DB2D3F" w:rsidRDefault="00DB2D3F" w:rsidP="005E3B2D">
      <w:pPr>
        <w:pStyle w:val="SingleTxtG"/>
        <w:rPr>
          <w:lang w:eastAsia="fr-FR"/>
        </w:rPr>
      </w:pPr>
      <w:r w:rsidRPr="00DB2D3F">
        <w:rPr>
          <w:lang w:eastAsia="fr-FR"/>
        </w:rPr>
        <w:t>28.</w:t>
      </w:r>
      <w:r w:rsidRPr="00DB2D3F">
        <w:rPr>
          <w:lang w:eastAsia="fr-FR"/>
        </w:rPr>
        <w:tab/>
        <w:t>Afin d’éviter une croissance démesurée de la base de données, le système de la DETA peut être paramétré de sorte à supprimer les données relatives au protocole de chargement après un certain délai.</w:t>
      </w:r>
    </w:p>
    <w:p w14:paraId="2FA6AE86" w14:textId="77777777" w:rsidR="00DB2D3F" w:rsidRPr="00DB2D3F" w:rsidRDefault="00DB2D3F" w:rsidP="005E3B2D">
      <w:pPr>
        <w:pStyle w:val="H23G"/>
        <w:rPr>
          <w:lang w:eastAsia="fr-FR"/>
        </w:rPr>
      </w:pPr>
      <w:r w:rsidRPr="00DB2D3F">
        <w:rPr>
          <w:lang w:eastAsia="fr-FR"/>
        </w:rPr>
        <w:lastRenderedPageBreak/>
        <w:tab/>
        <w:t>f)</w:t>
      </w:r>
      <w:r w:rsidRPr="00DB2D3F">
        <w:rPr>
          <w:lang w:eastAsia="fr-FR"/>
        </w:rPr>
        <w:tab/>
        <w:t xml:space="preserve">Extension de la DETA </w:t>
      </w:r>
      <w:r w:rsidR="005E3B2D">
        <w:rPr>
          <w:lang w:eastAsia="fr-FR"/>
        </w:rPr>
        <w:t>−</w:t>
      </w:r>
      <w:r w:rsidRPr="00DB2D3F">
        <w:rPr>
          <w:lang w:eastAsia="fr-FR"/>
        </w:rPr>
        <w:t xml:space="preserve"> type de partie de document libellé « OTHER »</w:t>
      </w:r>
    </w:p>
    <w:p w14:paraId="28820F2B" w14:textId="77777777" w:rsidR="00DB2D3F" w:rsidRPr="00DB2D3F" w:rsidRDefault="00DB2D3F" w:rsidP="005E3B2D">
      <w:pPr>
        <w:pStyle w:val="SingleTxtG"/>
        <w:rPr>
          <w:lang w:eastAsia="fr-FR"/>
        </w:rPr>
      </w:pPr>
      <w:r w:rsidRPr="00DB2D3F">
        <w:rPr>
          <w:lang w:eastAsia="fr-FR"/>
        </w:rPr>
        <w:t>29.</w:t>
      </w:r>
      <w:r w:rsidRPr="00DB2D3F">
        <w:rPr>
          <w:lang w:eastAsia="fr-FR"/>
        </w:rPr>
        <w:tab/>
        <w:t xml:space="preserve">En plus des types « CERT » (document d’homologation), « IF » (« information folder » </w:t>
      </w:r>
      <w:r w:rsidR="005E3B2D">
        <w:rPr>
          <w:lang w:eastAsia="fr-FR"/>
        </w:rPr>
        <w:t>−</w:t>
      </w:r>
      <w:r w:rsidRPr="00DB2D3F">
        <w:rPr>
          <w:lang w:eastAsia="fr-FR"/>
        </w:rPr>
        <w:t xml:space="preserve"> dossier d’information) et « TR » (« test report » </w:t>
      </w:r>
      <w:r w:rsidR="005E3B2D">
        <w:rPr>
          <w:lang w:eastAsia="fr-FR"/>
        </w:rPr>
        <w:t>−</w:t>
      </w:r>
      <w:r w:rsidRPr="00DB2D3F">
        <w:rPr>
          <w:lang w:eastAsia="fr-FR"/>
        </w:rPr>
        <w:t xml:space="preserve"> rapport d’essai) pour les différentes parties de document, un nouveau type « OTHER » sera introduit (pour tous les autres types de documents).</w:t>
      </w:r>
    </w:p>
    <w:p w14:paraId="208CAFDA" w14:textId="77777777" w:rsidR="00DB2D3F" w:rsidRPr="00DB2D3F" w:rsidRDefault="00DB2D3F" w:rsidP="005E3B2D">
      <w:pPr>
        <w:pStyle w:val="HChG"/>
        <w:rPr>
          <w:lang w:eastAsia="fr-FR"/>
        </w:rPr>
      </w:pPr>
      <w:r w:rsidRPr="00DB2D3F">
        <w:rPr>
          <w:lang w:eastAsia="fr-FR"/>
        </w:rPr>
        <w:tab/>
        <w:t>II.</w:t>
      </w:r>
      <w:r w:rsidRPr="00DB2D3F">
        <w:rPr>
          <w:lang w:eastAsia="fr-FR"/>
        </w:rPr>
        <w:tab/>
        <w:t>Lignes directrices relatives à l’application</w:t>
      </w:r>
    </w:p>
    <w:p w14:paraId="5042FFC2" w14:textId="77777777" w:rsidR="00DB2D3F" w:rsidRPr="00DB2D3F" w:rsidRDefault="00DB2D3F" w:rsidP="005E3B2D">
      <w:pPr>
        <w:pStyle w:val="SingleTxtG"/>
        <w:rPr>
          <w:lang w:eastAsia="fr-FR"/>
        </w:rPr>
      </w:pPr>
      <w:r w:rsidRPr="00DB2D3F">
        <w:rPr>
          <w:lang w:eastAsia="fr-FR"/>
        </w:rPr>
        <w:t>30.</w:t>
      </w:r>
      <w:r w:rsidRPr="00DB2D3F">
        <w:rPr>
          <w:lang w:eastAsia="fr-FR"/>
        </w:rPr>
        <w:tab/>
        <w:t>Les modalités relatives à l’application sont définies dans le Règlement ONU n</w:t>
      </w:r>
      <w:r w:rsidRPr="00DB2D3F">
        <w:rPr>
          <w:vertAlign w:val="superscript"/>
          <w:lang w:eastAsia="fr-FR"/>
        </w:rPr>
        <w:t>o</w:t>
      </w:r>
      <w:r w:rsidRPr="00DB2D3F">
        <w:rPr>
          <w:lang w:eastAsia="fr-FR"/>
        </w:rPr>
        <w:t> 0.</w:t>
      </w:r>
    </w:p>
    <w:p w14:paraId="355A8CD8" w14:textId="77777777" w:rsidR="00F9573C" w:rsidRPr="00DB2D3F" w:rsidRDefault="00DB2D3F" w:rsidP="00DB2D3F">
      <w:pPr>
        <w:pStyle w:val="SingleTxtG"/>
        <w:spacing w:before="240" w:after="0"/>
        <w:jc w:val="center"/>
        <w:rPr>
          <w:u w:val="single"/>
        </w:rPr>
      </w:pPr>
      <w:r w:rsidRPr="00DB2D3F">
        <w:rPr>
          <w:u w:val="single"/>
        </w:rPr>
        <w:tab/>
      </w:r>
      <w:r w:rsidRPr="00DB2D3F">
        <w:rPr>
          <w:u w:val="single"/>
        </w:rPr>
        <w:tab/>
      </w:r>
      <w:r w:rsidRPr="00DB2D3F">
        <w:rPr>
          <w:u w:val="single"/>
        </w:rPr>
        <w:tab/>
      </w:r>
    </w:p>
    <w:sectPr w:rsidR="00F9573C" w:rsidRPr="00DB2D3F" w:rsidSect="007D18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9B8AA" w14:textId="77777777" w:rsidR="000252E9" w:rsidRDefault="000252E9" w:rsidP="00F95C08">
      <w:pPr>
        <w:spacing w:line="240" w:lineRule="auto"/>
      </w:pPr>
    </w:p>
  </w:endnote>
  <w:endnote w:type="continuationSeparator" w:id="0">
    <w:p w14:paraId="31C336C5" w14:textId="77777777" w:rsidR="000252E9" w:rsidRPr="00AC3823" w:rsidRDefault="000252E9" w:rsidP="00AC3823">
      <w:pPr>
        <w:pStyle w:val="Footer"/>
      </w:pPr>
    </w:p>
  </w:endnote>
  <w:endnote w:type="continuationNotice" w:id="1">
    <w:p w14:paraId="3E59B4FB" w14:textId="77777777" w:rsidR="000252E9" w:rsidRDefault="000252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le-GroteskNor">
    <w:altName w:val="Times New Roman"/>
    <w:charset w:val="00"/>
    <w:family w:val="auto"/>
    <w:pitch w:val="variable"/>
    <w:sig w:usb0="00000001" w:usb1="1000204B" w:usb2="00000000" w:usb3="00000000" w:csb0="00000097"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4A81" w14:textId="77777777" w:rsidR="007D18BC" w:rsidRPr="007D18BC" w:rsidRDefault="007D18BC" w:rsidP="007D18BC">
    <w:pPr>
      <w:pStyle w:val="Footer"/>
      <w:tabs>
        <w:tab w:val="right" w:pos="9638"/>
      </w:tabs>
    </w:pPr>
    <w:r w:rsidRPr="007D18BC">
      <w:rPr>
        <w:b/>
        <w:sz w:val="18"/>
      </w:rPr>
      <w:fldChar w:fldCharType="begin"/>
    </w:r>
    <w:r w:rsidRPr="007D18BC">
      <w:rPr>
        <w:b/>
        <w:sz w:val="18"/>
      </w:rPr>
      <w:instrText xml:space="preserve"> PAGE  \* MERGEFORMAT </w:instrText>
    </w:r>
    <w:r w:rsidRPr="007D18BC">
      <w:rPr>
        <w:b/>
        <w:sz w:val="18"/>
      </w:rPr>
      <w:fldChar w:fldCharType="separate"/>
    </w:r>
    <w:r w:rsidRPr="007D18BC">
      <w:rPr>
        <w:b/>
        <w:noProof/>
        <w:sz w:val="18"/>
      </w:rPr>
      <w:t>2</w:t>
    </w:r>
    <w:r w:rsidRPr="007D18BC">
      <w:rPr>
        <w:b/>
        <w:sz w:val="18"/>
      </w:rPr>
      <w:fldChar w:fldCharType="end"/>
    </w:r>
    <w:r>
      <w:rPr>
        <w:b/>
        <w:sz w:val="18"/>
      </w:rPr>
      <w:tab/>
    </w:r>
    <w:r>
      <w:t>GE.19-14835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A451" w14:textId="77777777" w:rsidR="007D18BC" w:rsidRPr="007D18BC" w:rsidRDefault="007D18BC" w:rsidP="007D18BC">
    <w:pPr>
      <w:pStyle w:val="Footer"/>
      <w:tabs>
        <w:tab w:val="right" w:pos="9638"/>
      </w:tabs>
      <w:rPr>
        <w:b/>
        <w:sz w:val="18"/>
      </w:rPr>
    </w:pPr>
    <w:r>
      <w:t>GE.19-14835</w:t>
    </w:r>
    <w:r>
      <w:tab/>
    </w:r>
    <w:r w:rsidRPr="007D18BC">
      <w:rPr>
        <w:b/>
        <w:sz w:val="18"/>
      </w:rPr>
      <w:fldChar w:fldCharType="begin"/>
    </w:r>
    <w:r w:rsidRPr="007D18BC">
      <w:rPr>
        <w:b/>
        <w:sz w:val="18"/>
      </w:rPr>
      <w:instrText xml:space="preserve"> PAGE  \* MERGEFORMAT </w:instrText>
    </w:r>
    <w:r w:rsidRPr="007D18BC">
      <w:rPr>
        <w:b/>
        <w:sz w:val="18"/>
      </w:rPr>
      <w:fldChar w:fldCharType="separate"/>
    </w:r>
    <w:r w:rsidRPr="007D18BC">
      <w:rPr>
        <w:b/>
        <w:noProof/>
        <w:sz w:val="18"/>
      </w:rPr>
      <w:t>3</w:t>
    </w:r>
    <w:r w:rsidRPr="007D18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3E6E" w14:textId="77777777" w:rsidR="007F20FA" w:rsidRPr="007D18BC" w:rsidRDefault="007D18BC" w:rsidP="007D18BC">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795A4AB1" wp14:editId="17F0615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14835  (</w:t>
    </w:r>
    <w:proofErr w:type="gramEnd"/>
    <w:r>
      <w:rPr>
        <w:sz w:val="20"/>
      </w:rPr>
      <w:t>F)    260919    270919</w:t>
    </w:r>
    <w:r>
      <w:rPr>
        <w:sz w:val="20"/>
      </w:rPr>
      <w:br/>
    </w:r>
    <w:r w:rsidRPr="007D18BC">
      <w:rPr>
        <w:rFonts w:ascii="C39T30Lfz" w:hAnsi="C39T30Lfz"/>
        <w:sz w:val="56"/>
      </w:rPr>
      <w:t></w:t>
    </w:r>
    <w:r w:rsidRPr="007D18BC">
      <w:rPr>
        <w:rFonts w:ascii="C39T30Lfz" w:hAnsi="C39T30Lfz"/>
        <w:sz w:val="56"/>
      </w:rPr>
      <w:t></w:t>
    </w:r>
    <w:r w:rsidRPr="007D18BC">
      <w:rPr>
        <w:rFonts w:ascii="C39T30Lfz" w:hAnsi="C39T30Lfz"/>
        <w:sz w:val="56"/>
      </w:rPr>
      <w:t></w:t>
    </w:r>
    <w:r w:rsidRPr="007D18BC">
      <w:rPr>
        <w:rFonts w:ascii="C39T30Lfz" w:hAnsi="C39T30Lfz"/>
        <w:sz w:val="56"/>
      </w:rPr>
      <w:t></w:t>
    </w:r>
    <w:r w:rsidRPr="007D18BC">
      <w:rPr>
        <w:rFonts w:ascii="C39T30Lfz" w:hAnsi="C39T30Lfz"/>
        <w:sz w:val="56"/>
      </w:rPr>
      <w:t></w:t>
    </w:r>
    <w:r w:rsidRPr="007D18BC">
      <w:rPr>
        <w:rFonts w:ascii="C39T30Lfz" w:hAnsi="C39T30Lfz"/>
        <w:sz w:val="56"/>
      </w:rPr>
      <w:t></w:t>
    </w:r>
    <w:r w:rsidRPr="007D18BC">
      <w:rPr>
        <w:rFonts w:ascii="C39T30Lfz" w:hAnsi="C39T30Lfz"/>
        <w:sz w:val="56"/>
      </w:rPr>
      <w:t></w:t>
    </w:r>
    <w:r w:rsidRPr="007D18BC">
      <w:rPr>
        <w:rFonts w:ascii="C39T30Lfz" w:hAnsi="C39T30Lfz"/>
        <w:sz w:val="56"/>
      </w:rPr>
      <w:t></w:t>
    </w:r>
    <w:r w:rsidRPr="007D18BC">
      <w:rPr>
        <w:rFonts w:ascii="C39T30Lfz" w:hAnsi="C39T30Lfz"/>
        <w:sz w:val="56"/>
      </w:rPr>
      <w:t></w:t>
    </w:r>
    <w:r>
      <w:rPr>
        <w:noProof/>
        <w:sz w:val="20"/>
      </w:rPr>
      <w:drawing>
        <wp:anchor distT="0" distB="0" distL="114300" distR="114300" simplePos="0" relativeHeight="251658240" behindDoc="0" locked="0" layoutInCell="1" allowOverlap="1" wp14:anchorId="6A6BCC1E" wp14:editId="448290E9">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7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7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DF402" w14:textId="77777777" w:rsidR="000252E9" w:rsidRPr="00AC3823" w:rsidRDefault="000252E9" w:rsidP="00AC3823">
      <w:pPr>
        <w:pStyle w:val="Footer"/>
        <w:tabs>
          <w:tab w:val="right" w:pos="2155"/>
        </w:tabs>
        <w:spacing w:after="80" w:line="240" w:lineRule="atLeast"/>
        <w:ind w:left="680"/>
        <w:rPr>
          <w:u w:val="single"/>
        </w:rPr>
      </w:pPr>
      <w:r>
        <w:rPr>
          <w:u w:val="single"/>
        </w:rPr>
        <w:tab/>
      </w:r>
    </w:p>
  </w:footnote>
  <w:footnote w:type="continuationSeparator" w:id="0">
    <w:p w14:paraId="38F5CD51" w14:textId="77777777" w:rsidR="000252E9" w:rsidRPr="00AC3823" w:rsidRDefault="000252E9" w:rsidP="00AC3823">
      <w:pPr>
        <w:pStyle w:val="Footer"/>
        <w:tabs>
          <w:tab w:val="right" w:pos="2155"/>
        </w:tabs>
        <w:spacing w:after="80" w:line="240" w:lineRule="atLeast"/>
        <w:ind w:left="680"/>
        <w:rPr>
          <w:u w:val="single"/>
        </w:rPr>
      </w:pPr>
      <w:r>
        <w:rPr>
          <w:u w:val="single"/>
        </w:rPr>
        <w:tab/>
      </w:r>
    </w:p>
  </w:footnote>
  <w:footnote w:type="continuationNotice" w:id="1">
    <w:p w14:paraId="4B2A163B" w14:textId="77777777" w:rsidR="000252E9" w:rsidRPr="00AC3823" w:rsidRDefault="000252E9">
      <w:pPr>
        <w:spacing w:line="240" w:lineRule="auto"/>
        <w:rPr>
          <w:sz w:val="2"/>
          <w:szCs w:val="2"/>
        </w:rPr>
      </w:pPr>
    </w:p>
  </w:footnote>
  <w:footnote w:id="2">
    <w:p w14:paraId="5FFE232B" w14:textId="77777777" w:rsidR="00DB2D3F" w:rsidRPr="003A4ED8" w:rsidRDefault="00DB2D3F" w:rsidP="00DB2D3F">
      <w:pPr>
        <w:pStyle w:val="FootnoteText"/>
      </w:pPr>
      <w:r w:rsidRPr="003A4ED8">
        <w:tab/>
      </w:r>
      <w:r w:rsidRPr="003A4ED8">
        <w:rPr>
          <w:sz w:val="20"/>
        </w:rPr>
        <w:t>*</w:t>
      </w:r>
      <w:r w:rsidRPr="003A4ED8">
        <w:tab/>
      </w:r>
      <w:r w:rsidRPr="00DB2D3F">
        <w:rPr>
          <w:spacing w:val="-1"/>
        </w:rPr>
        <w:t>Conformément au programme de travail du Comité des transports intérieurs pour la période 2018-2019</w:t>
      </w:r>
      <w:r w:rsidRPr="003A4ED8">
        <w:t xml:space="preserve"> (ECE/TRANS/274, par.</w:t>
      </w:r>
      <w:r>
        <w:t> </w:t>
      </w:r>
      <w:r w:rsidRPr="003A4ED8">
        <w:t>123</w:t>
      </w:r>
      <w:r>
        <w:t>,</w:t>
      </w:r>
      <w:r w:rsidRPr="003A4ED8">
        <w:t xml:space="preserve"> </w:t>
      </w:r>
      <w:r>
        <w:t>et</w:t>
      </w:r>
      <w:r w:rsidRPr="003A4ED8">
        <w:t xml:space="preserve"> ECE/TRANS/2018/21/Add.1, </w:t>
      </w:r>
      <w:r>
        <w:t>module</w:t>
      </w:r>
      <w:r w:rsidRPr="003A4ED8">
        <w:t xml:space="preserve"> 3.1), </w:t>
      </w:r>
      <w:r>
        <w:t>l</w:t>
      </w:r>
      <w:r w:rsidRPr="003A4ED8">
        <w:t xml:space="preserve">e Forum </w:t>
      </w:r>
      <w:r>
        <w:t>mondial a pour mission d’élaborer, d’</w:t>
      </w:r>
      <w:r w:rsidRPr="003A4ED8">
        <w:t>harmoni</w:t>
      </w:r>
      <w:r>
        <w:t>s</w:t>
      </w:r>
      <w:r w:rsidRPr="003A4ED8">
        <w:t>e</w:t>
      </w:r>
      <w:r>
        <w:t>r</w:t>
      </w:r>
      <w:r w:rsidRPr="003A4ED8">
        <w:t xml:space="preserve"> </w:t>
      </w:r>
      <w:r>
        <w:t>et de mettre à jour les Règlements ONU en vue d’améliorer les caractéristiques fonctionnelles des véhicules</w:t>
      </w:r>
      <w:r w:rsidRPr="003A4ED8">
        <w:t xml:space="preserve">. </w:t>
      </w:r>
      <w:r>
        <w:t xml:space="preserve">Le </w:t>
      </w:r>
      <w:r w:rsidRPr="003A4ED8">
        <w:t>pr</w:t>
      </w:r>
      <w:r>
        <w:t>é</w:t>
      </w:r>
      <w:r w:rsidRPr="003A4ED8">
        <w:t xml:space="preserve">sent document </w:t>
      </w:r>
      <w:r>
        <w:t>e</w:t>
      </w:r>
      <w:r w:rsidRPr="003A4ED8">
        <w:t>s</w:t>
      </w:r>
      <w:r>
        <w:t>t</w:t>
      </w:r>
      <w:r w:rsidRPr="003A4ED8">
        <w:t xml:space="preserve"> </w:t>
      </w:r>
      <w:r>
        <w:t>soumis en vertu de ce mandat</w:t>
      </w:r>
      <w:r w:rsidRPr="003A4E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7788" w14:textId="2E9FDABF" w:rsidR="007D18BC" w:rsidRPr="007D18BC" w:rsidRDefault="00960655">
    <w:pPr>
      <w:pStyle w:val="Header"/>
    </w:pPr>
    <w:fldSimple w:instr=" TITLE  \* MERGEFORMAT ">
      <w:r w:rsidR="001C65B9">
        <w:t>ECE/TRANS/WP.29/2019/78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C891" w14:textId="62469325" w:rsidR="007D18BC" w:rsidRPr="007D18BC" w:rsidRDefault="00960655" w:rsidP="007D18BC">
    <w:pPr>
      <w:pStyle w:val="Header"/>
      <w:jc w:val="right"/>
    </w:pPr>
    <w:fldSimple w:instr=" TITLE  \* MERGEFORMAT ">
      <w:r w:rsidR="001C65B9">
        <w:t>ECE/TRANS/WP.29/2019/78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97C69DE"/>
    <w:multiLevelType w:val="hybridMultilevel"/>
    <w:tmpl w:val="94C6E4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EE716E4"/>
    <w:multiLevelType w:val="hybridMultilevel"/>
    <w:tmpl w:val="B98A6B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7A9196A"/>
    <w:multiLevelType w:val="hybridMultilevel"/>
    <w:tmpl w:val="525E71F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B997F0F"/>
    <w:multiLevelType w:val="hybridMultilevel"/>
    <w:tmpl w:val="570E0E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1"/>
  </w:num>
  <w:num w:numId="18">
    <w:abstractNumId w:val="16"/>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E9"/>
    <w:rsid w:val="00017F94"/>
    <w:rsid w:val="00023842"/>
    <w:rsid w:val="0002444B"/>
    <w:rsid w:val="000252E9"/>
    <w:rsid w:val="000334F9"/>
    <w:rsid w:val="00045FEB"/>
    <w:rsid w:val="0007796D"/>
    <w:rsid w:val="000B7790"/>
    <w:rsid w:val="00111F2F"/>
    <w:rsid w:val="0014365E"/>
    <w:rsid w:val="00143C66"/>
    <w:rsid w:val="00176178"/>
    <w:rsid w:val="001C65B9"/>
    <w:rsid w:val="001F525A"/>
    <w:rsid w:val="00223272"/>
    <w:rsid w:val="0024779E"/>
    <w:rsid w:val="00257168"/>
    <w:rsid w:val="002744B8"/>
    <w:rsid w:val="002832AC"/>
    <w:rsid w:val="002D7C93"/>
    <w:rsid w:val="002F4A31"/>
    <w:rsid w:val="00305801"/>
    <w:rsid w:val="003916DE"/>
    <w:rsid w:val="00421996"/>
    <w:rsid w:val="00441C3B"/>
    <w:rsid w:val="00446FE5"/>
    <w:rsid w:val="00452396"/>
    <w:rsid w:val="004837D8"/>
    <w:rsid w:val="004E2EED"/>
    <w:rsid w:val="004E468C"/>
    <w:rsid w:val="005505B7"/>
    <w:rsid w:val="00573BE5"/>
    <w:rsid w:val="00586ED3"/>
    <w:rsid w:val="00596AA9"/>
    <w:rsid w:val="005E3B2D"/>
    <w:rsid w:val="0071601D"/>
    <w:rsid w:val="007A62E6"/>
    <w:rsid w:val="007D18BC"/>
    <w:rsid w:val="007F20FA"/>
    <w:rsid w:val="0080684C"/>
    <w:rsid w:val="00871C75"/>
    <w:rsid w:val="008776DC"/>
    <w:rsid w:val="008B25C8"/>
    <w:rsid w:val="009446C0"/>
    <w:rsid w:val="00960655"/>
    <w:rsid w:val="009705C8"/>
    <w:rsid w:val="009C1CF4"/>
    <w:rsid w:val="009F15C3"/>
    <w:rsid w:val="009F6B74"/>
    <w:rsid w:val="00A3029F"/>
    <w:rsid w:val="00A30353"/>
    <w:rsid w:val="00AC3823"/>
    <w:rsid w:val="00AE323C"/>
    <w:rsid w:val="00AF0CB5"/>
    <w:rsid w:val="00B00181"/>
    <w:rsid w:val="00B00B0D"/>
    <w:rsid w:val="00B45F2E"/>
    <w:rsid w:val="00B765F7"/>
    <w:rsid w:val="00BA0CA9"/>
    <w:rsid w:val="00C02897"/>
    <w:rsid w:val="00C56044"/>
    <w:rsid w:val="00C97039"/>
    <w:rsid w:val="00D3439C"/>
    <w:rsid w:val="00DB1831"/>
    <w:rsid w:val="00DB2D3F"/>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FE634"/>
  <w15:docId w15:val="{2A54EB70-5F37-4837-B94D-48B38C3D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1">
    <w:name w:val="Grille du tableau1"/>
    <w:basedOn w:val="TableNormal"/>
    <w:next w:val="TableGrid"/>
    <w:semiHidden/>
    <w:rsid w:val="00DB2D3F"/>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1516</Words>
  <Characters>8644</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ECE/TRANS/WP.29/2019/78</vt:lpstr>
      <vt:lpstr>ECE/TRANS/WP.29/2019/78</vt:lpstr>
    </vt:vector>
  </TitlesOfParts>
  <Company>DCM</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ECE/TRANS/WP.29/2019/78</dc:title>
  <dc:subject/>
  <dc:creator>Nicolas MORIN</dc:creator>
  <cp:keywords/>
  <cp:lastModifiedBy>Marie-Claude Collet</cp:lastModifiedBy>
  <cp:revision>4</cp:revision>
  <cp:lastPrinted>2019-10-01T11:35:00Z</cp:lastPrinted>
  <dcterms:created xsi:type="dcterms:W3CDTF">2019-10-01T11:31:00Z</dcterms:created>
  <dcterms:modified xsi:type="dcterms:W3CDTF">2019-10-01T11:35:00Z</dcterms:modified>
</cp:coreProperties>
</file>