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000" w:firstRow="0" w:lastRow="0" w:firstColumn="0" w:lastColumn="0" w:noHBand="0" w:noVBand="0"/>
      </w:tblPr>
      <w:tblGrid>
        <w:gridCol w:w="5812"/>
        <w:gridCol w:w="3827"/>
      </w:tblGrid>
      <w:tr w:rsidR="00AF06B5" w:rsidRPr="007E7949" w:rsidTr="00AF06B5">
        <w:trPr>
          <w:trHeight w:val="855"/>
        </w:trPr>
        <w:tc>
          <w:tcPr>
            <w:tcW w:w="5812" w:type="dxa"/>
            <w:vAlign w:val="center"/>
          </w:tcPr>
          <w:p w:rsidR="00AF06B5" w:rsidRPr="00715587" w:rsidRDefault="00AF06B5" w:rsidP="007314E3">
            <w:pPr>
              <w:rPr>
                <w:caps/>
                <w:lang w:val="en-US"/>
              </w:rPr>
            </w:pPr>
            <w:r w:rsidRPr="00715587">
              <w:rPr>
                <w:lang w:val="en-US"/>
              </w:rPr>
              <w:t xml:space="preserve">Transmitted by </w:t>
            </w:r>
            <w:r w:rsidR="008F307D">
              <w:rPr>
                <w:lang w:val="en-US"/>
              </w:rPr>
              <w:t xml:space="preserve">the </w:t>
            </w:r>
            <w:r w:rsidR="00534DCC">
              <w:rPr>
                <w:lang w:val="en-US"/>
              </w:rPr>
              <w:t xml:space="preserve">representative of </w:t>
            </w:r>
            <w:r w:rsidR="00F5051A">
              <w:rPr>
                <w:lang w:val="en-US"/>
              </w:rPr>
              <w:t>OICA</w:t>
            </w:r>
            <w:r w:rsidRPr="00715587">
              <w:rPr>
                <w:lang w:val="en-US"/>
              </w:rPr>
              <w:t xml:space="preserve"> </w:t>
            </w:r>
          </w:p>
          <w:p w:rsidR="00AF06B5" w:rsidRPr="00715587" w:rsidRDefault="00AF06B5" w:rsidP="00C41C1B">
            <w:pPr>
              <w:tabs>
                <w:tab w:val="center" w:pos="4677"/>
                <w:tab w:val="right" w:pos="9355"/>
              </w:tabs>
              <w:ind w:left="-108"/>
              <w:rPr>
                <w:lang w:val="en-US"/>
              </w:rPr>
            </w:pPr>
          </w:p>
        </w:tc>
        <w:tc>
          <w:tcPr>
            <w:tcW w:w="3827" w:type="dxa"/>
          </w:tcPr>
          <w:p w:rsidR="008F307D" w:rsidRPr="00BE0DF3" w:rsidRDefault="008F307D" w:rsidP="008F307D">
            <w:pPr>
              <w:ind w:right="-108"/>
              <w:rPr>
                <w:b/>
                <w:bCs/>
                <w:lang w:val="en-GB" w:eastAsia="ar-SA"/>
              </w:rPr>
            </w:pPr>
            <w:r w:rsidRPr="00BE0DF3">
              <w:rPr>
                <w:u w:val="single"/>
                <w:lang w:val="en-GB" w:eastAsia="ar-SA"/>
              </w:rPr>
              <w:t xml:space="preserve">Informal document </w:t>
            </w:r>
            <w:r w:rsidR="003648D6" w:rsidRPr="00BE0DF3">
              <w:rPr>
                <w:b/>
                <w:bCs/>
                <w:lang w:val="en-GB" w:eastAsia="ar-SA"/>
              </w:rPr>
              <w:t>WP.29-17</w:t>
            </w:r>
            <w:r w:rsidR="007564E7">
              <w:rPr>
                <w:b/>
                <w:bCs/>
                <w:lang w:val="en-GB" w:eastAsia="ar-SA"/>
              </w:rPr>
              <w:t>1</w:t>
            </w:r>
            <w:r w:rsidR="00F5051A">
              <w:rPr>
                <w:b/>
                <w:bCs/>
                <w:lang w:val="en-GB" w:eastAsia="ar-SA"/>
              </w:rPr>
              <w:t>-</w:t>
            </w:r>
            <w:r w:rsidR="007E7949">
              <w:rPr>
                <w:b/>
                <w:bCs/>
                <w:lang w:val="en-GB" w:eastAsia="ar-SA"/>
              </w:rPr>
              <w:t>14</w:t>
            </w:r>
          </w:p>
          <w:p w:rsidR="00AF06B5" w:rsidRPr="00715587" w:rsidRDefault="003648D6" w:rsidP="007564E7">
            <w:pPr>
              <w:rPr>
                <w:bCs/>
                <w:lang w:val="en-US"/>
              </w:rPr>
            </w:pPr>
            <w:r>
              <w:rPr>
                <w:lang w:val="pt-BR"/>
              </w:rPr>
              <w:t>(17</w:t>
            </w:r>
            <w:r w:rsidR="007564E7">
              <w:rPr>
                <w:lang w:val="pt-BR"/>
              </w:rPr>
              <w:t>1st</w:t>
            </w:r>
            <w:r>
              <w:rPr>
                <w:lang w:val="pt-BR"/>
              </w:rPr>
              <w:t xml:space="preserve"> WP.29, 1</w:t>
            </w:r>
            <w:r w:rsidR="007564E7">
              <w:rPr>
                <w:lang w:val="pt-BR"/>
              </w:rPr>
              <w:t>4</w:t>
            </w:r>
            <w:r>
              <w:rPr>
                <w:lang w:val="pt-BR"/>
              </w:rPr>
              <w:t>-1</w:t>
            </w:r>
            <w:r w:rsidR="007564E7">
              <w:rPr>
                <w:lang w:val="pt-BR"/>
              </w:rPr>
              <w:t>7</w:t>
            </w:r>
            <w:r>
              <w:rPr>
                <w:lang w:val="pt-BR"/>
              </w:rPr>
              <w:t xml:space="preserve"> </w:t>
            </w:r>
            <w:r w:rsidR="007564E7">
              <w:rPr>
                <w:lang w:val="pt-BR"/>
              </w:rPr>
              <w:t>March 2017</w:t>
            </w:r>
            <w:r w:rsidR="008F307D" w:rsidRPr="008B3FED">
              <w:rPr>
                <w:lang w:val="pt-BR"/>
              </w:rPr>
              <w:t>,</w:t>
            </w:r>
            <w:r w:rsidR="008F307D" w:rsidRPr="008B3FED">
              <w:rPr>
                <w:lang w:val="pt-BR"/>
              </w:rPr>
              <w:br/>
              <w:t xml:space="preserve">agenda item </w:t>
            </w:r>
            <w:r w:rsidR="00D321DC">
              <w:rPr>
                <w:lang w:val="pt-BR"/>
              </w:rPr>
              <w:t>17</w:t>
            </w:r>
            <w:r w:rsidR="008F307D" w:rsidRPr="008B3FED">
              <w:rPr>
                <w:lang w:val="pt-BR"/>
              </w:rPr>
              <w:t>)</w:t>
            </w:r>
          </w:p>
        </w:tc>
      </w:tr>
    </w:tbl>
    <w:p w:rsidR="00CC1841" w:rsidRPr="00CC1841" w:rsidRDefault="00FC4E60" w:rsidP="00CC1841">
      <w:pPr>
        <w:pStyle w:val="HChG"/>
        <w:tabs>
          <w:tab w:val="clear" w:pos="851"/>
        </w:tabs>
        <w:spacing w:line="240" w:lineRule="auto"/>
        <w:ind w:left="567" w:right="708" w:firstLine="0"/>
        <w:rPr>
          <w:lang w:val="en-US"/>
        </w:rPr>
      </w:pPr>
      <w:r>
        <w:rPr>
          <w:lang w:val="en-GB"/>
        </w:rPr>
        <w:t>Work programme of the 1998 Agreement</w:t>
      </w:r>
      <w:r w:rsidR="00F5051A">
        <w:rPr>
          <w:lang w:val="en-GB"/>
        </w:rPr>
        <w:t xml:space="preserve"> </w:t>
      </w:r>
    </w:p>
    <w:p w:rsidR="008A05B4" w:rsidRDefault="008A05B4" w:rsidP="008A05B4">
      <w:pPr>
        <w:ind w:left="567"/>
        <w:rPr>
          <w:lang w:val="en-US"/>
        </w:rPr>
      </w:pPr>
    </w:p>
    <w:p w:rsidR="008A05B4" w:rsidRPr="008A05B4" w:rsidRDefault="008A05B4" w:rsidP="000157DA">
      <w:pPr>
        <w:spacing w:after="120"/>
        <w:ind w:left="567" w:right="819"/>
        <w:jc w:val="both"/>
        <w:rPr>
          <w:lang w:val="en-US"/>
        </w:rPr>
      </w:pPr>
      <w:r w:rsidRPr="008A05B4">
        <w:rPr>
          <w:lang w:val="en-US"/>
        </w:rPr>
        <w:t>OICA herewith would like to give some input regarding the work programme of the 98 Agreement.</w:t>
      </w:r>
    </w:p>
    <w:p w:rsidR="008A05B4" w:rsidRPr="008A05B4" w:rsidRDefault="008A05B4" w:rsidP="000157DA">
      <w:pPr>
        <w:spacing w:after="120"/>
        <w:ind w:left="567" w:right="819"/>
        <w:jc w:val="both"/>
        <w:rPr>
          <w:lang w:val="en-US"/>
        </w:rPr>
      </w:pPr>
      <w:r w:rsidRPr="008A05B4">
        <w:rPr>
          <w:lang w:val="en-US"/>
        </w:rPr>
        <w:t>A lot of work has been achieved already, and more is underway.  The time is ripe to assess what t</w:t>
      </w:r>
      <w:bookmarkStart w:id="0" w:name="_GoBack"/>
      <w:bookmarkEnd w:id="0"/>
      <w:r w:rsidRPr="008A05B4">
        <w:rPr>
          <w:lang w:val="en-US"/>
        </w:rPr>
        <w:t>he future tasks under the 98 Agreement could be.</w:t>
      </w:r>
    </w:p>
    <w:p w:rsidR="008A05B4" w:rsidRDefault="008A05B4" w:rsidP="000157DA">
      <w:pPr>
        <w:spacing w:after="120"/>
        <w:ind w:left="567" w:right="819"/>
        <w:jc w:val="both"/>
        <w:rPr>
          <w:lang w:val="en-US"/>
        </w:rPr>
      </w:pPr>
      <w:r w:rsidRPr="008A05B4">
        <w:rPr>
          <w:lang w:val="en-US"/>
        </w:rPr>
        <w:t>OICA has carefully considered the current regulatory priorities in various regions of the world and presents the following suggestions:</w:t>
      </w:r>
    </w:p>
    <w:p w:rsidR="007564E7" w:rsidRPr="008A05B4" w:rsidRDefault="007564E7" w:rsidP="000157DA">
      <w:pPr>
        <w:spacing w:after="120"/>
        <w:ind w:left="567" w:right="819"/>
        <w:jc w:val="both"/>
        <w:rPr>
          <w:lang w:val="en-US"/>
        </w:rPr>
      </w:pPr>
    </w:p>
    <w:p w:rsidR="008A05B4" w:rsidRPr="008A05B4" w:rsidRDefault="008A05B4" w:rsidP="000157DA">
      <w:pPr>
        <w:pStyle w:val="ListParagraph"/>
        <w:numPr>
          <w:ilvl w:val="0"/>
          <w:numId w:val="39"/>
        </w:numPr>
        <w:spacing w:after="120" w:line="240" w:lineRule="atLeast"/>
        <w:ind w:left="927" w:right="819"/>
        <w:contextualSpacing w:val="0"/>
        <w:jc w:val="both"/>
        <w:rPr>
          <w:rFonts w:ascii="Times New Roman" w:hAnsi="Times New Roman" w:cs="Times New Roman"/>
          <w:sz w:val="20"/>
          <w:szCs w:val="20"/>
        </w:rPr>
      </w:pPr>
      <w:r w:rsidRPr="008A05B4">
        <w:rPr>
          <w:rFonts w:ascii="Times New Roman" w:hAnsi="Times New Roman" w:cs="Times New Roman"/>
          <w:sz w:val="20"/>
          <w:szCs w:val="20"/>
          <w:u w:val="single"/>
        </w:rPr>
        <w:t>(Crash) Event Data Recorder (EDR)</w:t>
      </w:r>
      <w:r w:rsidRPr="008A05B4">
        <w:rPr>
          <w:rFonts w:ascii="Times New Roman" w:hAnsi="Times New Roman" w:cs="Times New Roman"/>
          <w:sz w:val="20"/>
          <w:szCs w:val="20"/>
        </w:rPr>
        <w:t xml:space="preserve">: there is an increasing focus on crash event data recorders, among others to better understand the crash event itself as well as the few seconds preceding it.  EDRs already exist in the US </w:t>
      </w:r>
      <w:r w:rsidR="007564E7">
        <w:rPr>
          <w:rFonts w:ascii="Times New Roman" w:hAnsi="Times New Roman" w:cs="Times New Roman"/>
          <w:sz w:val="20"/>
          <w:szCs w:val="20"/>
        </w:rPr>
        <w:t xml:space="preserve">and South Korean </w:t>
      </w:r>
      <w:r w:rsidRPr="008A05B4">
        <w:rPr>
          <w:rFonts w:ascii="Times New Roman" w:hAnsi="Times New Roman" w:cs="Times New Roman"/>
          <w:sz w:val="20"/>
          <w:szCs w:val="20"/>
        </w:rPr>
        <w:t>legislation, and OICA understands that they are also being pushed forward in the EU (as part of the draft revision of the EU General Safety Regulation), in China, …</w:t>
      </w:r>
    </w:p>
    <w:p w:rsidR="008A05B4" w:rsidRPr="007564E7" w:rsidRDefault="008A05B4" w:rsidP="000157DA">
      <w:pPr>
        <w:pStyle w:val="ListParagraph"/>
        <w:spacing w:after="120" w:line="240" w:lineRule="atLeast"/>
        <w:ind w:left="927" w:right="819"/>
        <w:contextualSpacing w:val="0"/>
        <w:jc w:val="both"/>
        <w:rPr>
          <w:rFonts w:ascii="Times New Roman" w:hAnsi="Times New Roman" w:cs="Times New Roman"/>
          <w:sz w:val="20"/>
          <w:szCs w:val="20"/>
        </w:rPr>
      </w:pPr>
      <w:r w:rsidRPr="008A05B4">
        <w:rPr>
          <w:rFonts w:ascii="Times New Roman" w:hAnsi="Times New Roman" w:cs="Times New Roman"/>
          <w:sz w:val="20"/>
          <w:szCs w:val="20"/>
        </w:rPr>
        <w:t xml:space="preserve">OICA therefore considers that the development of a UN Global Technical Regulation would offer the opportunity to globally harmonise the data to be recorded by such device, when fitted, on the basis </w:t>
      </w:r>
      <w:r w:rsidR="007564E7">
        <w:rPr>
          <w:rFonts w:ascii="Times New Roman" w:hAnsi="Times New Roman" w:cs="Times New Roman"/>
          <w:sz w:val="20"/>
          <w:szCs w:val="20"/>
        </w:rPr>
        <w:t>o</w:t>
      </w:r>
      <w:r w:rsidRPr="008A05B4">
        <w:rPr>
          <w:rFonts w:ascii="Times New Roman" w:hAnsi="Times New Roman" w:cs="Times New Roman"/>
          <w:sz w:val="20"/>
          <w:szCs w:val="20"/>
        </w:rPr>
        <w:t>f the US rule (</w:t>
      </w:r>
      <w:r w:rsidRPr="008A05B4">
        <w:rPr>
          <w:rFonts w:ascii="Times New Roman" w:hAnsi="Times New Roman" w:cs="Times New Roman"/>
          <w:bCs/>
          <w:sz w:val="20"/>
          <w:szCs w:val="20"/>
        </w:rPr>
        <w:t>NHTSA 49CFR Part 563) and to avoid as far as possible diverging requirements</w:t>
      </w:r>
      <w:r w:rsidRPr="007564E7">
        <w:rPr>
          <w:rFonts w:ascii="Times New Roman" w:hAnsi="Times New Roman" w:cs="Times New Roman"/>
          <w:sz w:val="20"/>
          <w:szCs w:val="20"/>
        </w:rPr>
        <w:t xml:space="preserve">.  </w:t>
      </w:r>
      <w:r w:rsidR="007564E7">
        <w:rPr>
          <w:rFonts w:ascii="Times New Roman" w:hAnsi="Times New Roman" w:cs="Times New Roman"/>
          <w:sz w:val="20"/>
          <w:szCs w:val="20"/>
        </w:rPr>
        <w:t xml:space="preserve">Such </w:t>
      </w:r>
      <w:r w:rsidR="007564E7" w:rsidRPr="007564E7">
        <w:rPr>
          <w:rFonts w:ascii="Times New Roman" w:hAnsi="Times New Roman" w:cs="Times New Roman"/>
          <w:sz w:val="20"/>
          <w:szCs w:val="20"/>
        </w:rPr>
        <w:t xml:space="preserve">global harmonization would permit the most cost efficient implementation of EDR for the society. The objective is that motor vehicles equipped with these new technologies remain affordable to the wide public and that their penetration in the global market is not impeded. </w:t>
      </w:r>
      <w:r w:rsidR="007564E7">
        <w:rPr>
          <w:rFonts w:ascii="Times New Roman" w:hAnsi="Times New Roman" w:cs="Times New Roman"/>
          <w:sz w:val="20"/>
          <w:szCs w:val="20"/>
        </w:rPr>
        <w:br/>
      </w:r>
      <w:r w:rsidR="007564E7" w:rsidRPr="007564E7">
        <w:rPr>
          <w:rFonts w:ascii="Times New Roman" w:hAnsi="Times New Roman" w:cs="Times New Roman"/>
          <w:sz w:val="20"/>
          <w:szCs w:val="20"/>
        </w:rPr>
        <w:t>In addition</w:t>
      </w:r>
      <w:r w:rsidR="007564E7">
        <w:rPr>
          <w:rFonts w:ascii="Times New Roman" w:hAnsi="Times New Roman" w:cs="Times New Roman"/>
          <w:sz w:val="20"/>
          <w:szCs w:val="20"/>
        </w:rPr>
        <w:t>,</w:t>
      </w:r>
      <w:r w:rsidR="007564E7" w:rsidRPr="007564E7">
        <w:rPr>
          <w:rFonts w:ascii="Times New Roman" w:hAnsi="Times New Roman" w:cs="Times New Roman"/>
          <w:sz w:val="20"/>
          <w:szCs w:val="20"/>
        </w:rPr>
        <w:t xml:space="preserve"> a standardized data set would also facilitate the comparison of worldwide accident data and improve mutual understanding of crash events on an international level. This is an important base to discuss new rulemaking projects.</w:t>
      </w:r>
    </w:p>
    <w:p w:rsidR="00B52BD9" w:rsidRDefault="008A05B4" w:rsidP="000157DA">
      <w:pPr>
        <w:pStyle w:val="ListParagraph"/>
        <w:spacing w:after="120" w:line="240" w:lineRule="atLeast"/>
        <w:ind w:left="927" w:right="819"/>
        <w:contextualSpacing w:val="0"/>
        <w:jc w:val="both"/>
        <w:rPr>
          <w:rFonts w:ascii="Times New Roman" w:hAnsi="Times New Roman" w:cs="Times New Roman"/>
          <w:bCs/>
          <w:sz w:val="20"/>
          <w:szCs w:val="20"/>
        </w:rPr>
      </w:pPr>
      <w:r w:rsidRPr="008A05B4">
        <w:rPr>
          <w:rFonts w:ascii="Times New Roman" w:hAnsi="Times New Roman" w:cs="Times New Roman"/>
          <w:bCs/>
          <w:sz w:val="20"/>
          <w:szCs w:val="20"/>
        </w:rPr>
        <w:t>OICA however considers that, taking into account that EDRs have no direct</w:t>
      </w:r>
      <w:r w:rsidR="001E7EDC">
        <w:rPr>
          <w:rFonts w:ascii="Times New Roman" w:hAnsi="Times New Roman" w:cs="Times New Roman"/>
          <w:bCs/>
          <w:sz w:val="20"/>
          <w:szCs w:val="20"/>
        </w:rPr>
        <w:t xml:space="preserve"> or immediate</w:t>
      </w:r>
      <w:r w:rsidRPr="008A05B4">
        <w:rPr>
          <w:rFonts w:ascii="Times New Roman" w:hAnsi="Times New Roman" w:cs="Times New Roman"/>
          <w:bCs/>
          <w:sz w:val="20"/>
          <w:szCs w:val="20"/>
        </w:rPr>
        <w:t xml:space="preserve"> safety benefit, the GTR should focus on the recorded data harmonisation, without addressing installation requirements.  Installation should remain within the national/regional domain, with </w:t>
      </w:r>
      <w:r w:rsidR="00E82A1D">
        <w:rPr>
          <w:rFonts w:ascii="Times New Roman" w:hAnsi="Times New Roman" w:cs="Times New Roman"/>
          <w:bCs/>
          <w:sz w:val="20"/>
          <w:szCs w:val="20"/>
        </w:rPr>
        <w:t>a</w:t>
      </w:r>
      <w:r w:rsidR="00E82A1D" w:rsidRPr="008A05B4">
        <w:rPr>
          <w:rFonts w:ascii="Times New Roman" w:hAnsi="Times New Roman" w:cs="Times New Roman"/>
          <w:bCs/>
          <w:sz w:val="20"/>
          <w:szCs w:val="20"/>
        </w:rPr>
        <w:t xml:space="preserve"> </w:t>
      </w:r>
      <w:r w:rsidRPr="008A05B4">
        <w:rPr>
          <w:rFonts w:ascii="Times New Roman" w:hAnsi="Times New Roman" w:cs="Times New Roman"/>
          <w:bCs/>
          <w:sz w:val="20"/>
          <w:szCs w:val="20"/>
        </w:rPr>
        <w:t xml:space="preserve">wider diffusion </w:t>
      </w:r>
      <w:r w:rsidR="00E82A1D">
        <w:rPr>
          <w:rFonts w:ascii="Times New Roman" w:hAnsi="Times New Roman" w:cs="Times New Roman"/>
          <w:bCs/>
          <w:sz w:val="20"/>
          <w:szCs w:val="20"/>
        </w:rPr>
        <w:t xml:space="preserve">that may </w:t>
      </w:r>
      <w:r w:rsidRPr="008A05B4">
        <w:rPr>
          <w:rFonts w:ascii="Times New Roman" w:hAnsi="Times New Roman" w:cs="Times New Roman"/>
          <w:bCs/>
          <w:sz w:val="20"/>
          <w:szCs w:val="20"/>
        </w:rPr>
        <w:t>be promoted e.g. by insurance companies.</w:t>
      </w:r>
    </w:p>
    <w:p w:rsidR="008A05B4" w:rsidRPr="008A05B4" w:rsidRDefault="008A05B4" w:rsidP="000157DA">
      <w:pPr>
        <w:pStyle w:val="ListParagraph"/>
        <w:spacing w:after="120" w:line="240" w:lineRule="atLeast"/>
        <w:ind w:left="927" w:right="819"/>
        <w:contextualSpacing w:val="0"/>
        <w:jc w:val="both"/>
        <w:rPr>
          <w:rFonts w:ascii="Times New Roman" w:hAnsi="Times New Roman" w:cs="Times New Roman"/>
          <w:bCs/>
          <w:sz w:val="20"/>
          <w:szCs w:val="20"/>
        </w:rPr>
      </w:pPr>
    </w:p>
    <w:p w:rsidR="008A05B4" w:rsidRPr="008A05B4" w:rsidRDefault="008A05B4" w:rsidP="000157DA">
      <w:pPr>
        <w:pStyle w:val="ListParagraph"/>
        <w:numPr>
          <w:ilvl w:val="0"/>
          <w:numId w:val="39"/>
        </w:numPr>
        <w:spacing w:after="120" w:line="240" w:lineRule="atLeast"/>
        <w:ind w:left="927" w:right="819"/>
        <w:contextualSpacing w:val="0"/>
        <w:jc w:val="both"/>
        <w:rPr>
          <w:rFonts w:ascii="Times New Roman" w:hAnsi="Times New Roman" w:cs="Times New Roman"/>
          <w:bCs/>
          <w:sz w:val="20"/>
          <w:szCs w:val="20"/>
        </w:rPr>
      </w:pPr>
      <w:r w:rsidRPr="008A05B4">
        <w:rPr>
          <w:rFonts w:ascii="Times New Roman" w:hAnsi="Times New Roman" w:cs="Times New Roman"/>
          <w:bCs/>
          <w:sz w:val="20"/>
          <w:szCs w:val="20"/>
          <w:u w:val="single"/>
        </w:rPr>
        <w:t>Autonomous Emergency Braking System (AEBS)</w:t>
      </w:r>
      <w:r w:rsidRPr="008A05B4">
        <w:rPr>
          <w:rFonts w:ascii="Times New Roman" w:hAnsi="Times New Roman" w:cs="Times New Roman"/>
          <w:bCs/>
          <w:sz w:val="20"/>
          <w:szCs w:val="20"/>
        </w:rPr>
        <w:t xml:space="preserve">: this is a main focus of many regulators worldwide, since it is considered as a technology with a high fatality and injury reduction potential, focusing on the active/primary rather than passive/secondary safety.  </w:t>
      </w:r>
      <w:r w:rsidRPr="008A05B4">
        <w:rPr>
          <w:rFonts w:ascii="Times New Roman" w:hAnsi="Times New Roman" w:cs="Times New Roman"/>
          <w:bCs/>
          <w:sz w:val="20"/>
          <w:szCs w:val="20"/>
        </w:rPr>
        <w:br/>
        <w:t xml:space="preserve">Quite some work has already been conducted in the 58 Agreement framework (UN Regulation N° 131, addressing truck and bus collisions against moving and stationary obstacles), and this work could be used as a basis for other vehicle categories as well as other kinds of obstacles (pedestrians, cyclists).  </w:t>
      </w:r>
    </w:p>
    <w:p w:rsidR="008A05B4" w:rsidRPr="008A05B4" w:rsidRDefault="008A05B4" w:rsidP="000157DA">
      <w:pPr>
        <w:pStyle w:val="ListParagraph"/>
        <w:spacing w:after="120" w:line="240" w:lineRule="atLeast"/>
        <w:ind w:left="927" w:right="819"/>
        <w:contextualSpacing w:val="0"/>
        <w:jc w:val="both"/>
        <w:rPr>
          <w:rFonts w:ascii="Times New Roman" w:hAnsi="Times New Roman" w:cs="Times New Roman"/>
          <w:bCs/>
          <w:sz w:val="20"/>
          <w:szCs w:val="20"/>
        </w:rPr>
      </w:pPr>
      <w:r w:rsidRPr="008A05B4">
        <w:rPr>
          <w:rFonts w:ascii="Times New Roman" w:hAnsi="Times New Roman" w:cs="Times New Roman"/>
          <w:bCs/>
          <w:sz w:val="20"/>
          <w:szCs w:val="20"/>
        </w:rPr>
        <w:t>Taking into account the different maturity of the various technologies of obstacle detection, OICA believes that a stepwise approach will be necessary in the UN GTR development.</w:t>
      </w:r>
    </w:p>
    <w:p w:rsidR="008A05B4" w:rsidRDefault="008A05B4" w:rsidP="000157DA">
      <w:pPr>
        <w:pStyle w:val="ListParagraph"/>
        <w:spacing w:after="120" w:line="240" w:lineRule="atLeast"/>
        <w:ind w:left="927" w:right="819"/>
        <w:contextualSpacing w:val="0"/>
        <w:jc w:val="both"/>
        <w:rPr>
          <w:rFonts w:ascii="Times New Roman" w:eastAsia="MS Mincho" w:hAnsi="Times New Roman" w:cs="Times New Roman"/>
          <w:color w:val="1F497D"/>
          <w:sz w:val="20"/>
          <w:szCs w:val="20"/>
          <w:lang w:val="en-US"/>
        </w:rPr>
      </w:pPr>
      <w:r w:rsidRPr="008A05B4">
        <w:rPr>
          <w:rFonts w:ascii="Times New Roman" w:hAnsi="Times New Roman" w:cs="Times New Roman"/>
          <w:bCs/>
          <w:sz w:val="20"/>
          <w:szCs w:val="20"/>
        </w:rPr>
        <w:t xml:space="preserve">Finally, since this issue seems to be of high priority in the context of the European Union, timing may be critical and therefore it might be necessary, in case the activities in the framework of the 98 Agreement face unexpected difficulties, to prioritise </w:t>
      </w:r>
      <w:r w:rsidR="00B7180E">
        <w:rPr>
          <w:rFonts w:ascii="Times New Roman" w:hAnsi="Times New Roman" w:cs="Times New Roman"/>
          <w:bCs/>
          <w:sz w:val="20"/>
          <w:szCs w:val="20"/>
        </w:rPr>
        <w:t xml:space="preserve">progress </w:t>
      </w:r>
      <w:r w:rsidRPr="008A05B4">
        <w:rPr>
          <w:rFonts w:ascii="Times New Roman" w:hAnsi="Times New Roman" w:cs="Times New Roman"/>
          <w:bCs/>
          <w:sz w:val="20"/>
          <w:szCs w:val="20"/>
        </w:rPr>
        <w:t>under the 58 Agreement.</w:t>
      </w:r>
      <w:r w:rsidR="002A366B" w:rsidRPr="002A366B">
        <w:rPr>
          <w:rFonts w:ascii="Times New Roman" w:eastAsia="MS Mincho" w:hAnsi="Times New Roman" w:cs="Times New Roman"/>
          <w:color w:val="1F497D"/>
          <w:sz w:val="20"/>
          <w:szCs w:val="20"/>
          <w:lang w:val="en-US"/>
        </w:rPr>
        <w:t xml:space="preserve"> </w:t>
      </w:r>
    </w:p>
    <w:p w:rsidR="007564E7" w:rsidRDefault="007564E7" w:rsidP="000157DA">
      <w:pPr>
        <w:pStyle w:val="ListParagraph"/>
        <w:spacing w:after="120" w:line="240" w:lineRule="atLeast"/>
        <w:ind w:left="927" w:right="819"/>
        <w:contextualSpacing w:val="0"/>
        <w:jc w:val="both"/>
        <w:rPr>
          <w:rFonts w:ascii="Times New Roman" w:hAnsi="Times New Roman" w:cs="Times New Roman"/>
          <w:bCs/>
          <w:sz w:val="20"/>
          <w:szCs w:val="20"/>
        </w:rPr>
      </w:pPr>
    </w:p>
    <w:p w:rsidR="008A05B4" w:rsidRPr="008A05B4" w:rsidRDefault="008A05B4" w:rsidP="000157DA">
      <w:pPr>
        <w:pStyle w:val="ListParagraph"/>
        <w:numPr>
          <w:ilvl w:val="0"/>
          <w:numId w:val="39"/>
        </w:numPr>
        <w:spacing w:after="120" w:line="240" w:lineRule="atLeast"/>
        <w:ind w:left="927" w:right="819"/>
        <w:contextualSpacing w:val="0"/>
        <w:jc w:val="both"/>
        <w:rPr>
          <w:rFonts w:ascii="Times New Roman" w:hAnsi="Times New Roman" w:cs="Times New Roman"/>
          <w:bCs/>
          <w:sz w:val="20"/>
          <w:szCs w:val="20"/>
          <w:u w:val="single"/>
        </w:rPr>
      </w:pPr>
      <w:r w:rsidRPr="008A05B4">
        <w:rPr>
          <w:rFonts w:ascii="Times New Roman" w:hAnsi="Times New Roman" w:cs="Times New Roman"/>
          <w:bCs/>
          <w:sz w:val="20"/>
          <w:szCs w:val="20"/>
          <w:u w:val="single"/>
        </w:rPr>
        <w:lastRenderedPageBreak/>
        <w:t>Lane Keeping Assistance (LKAS)</w:t>
      </w:r>
      <w:r w:rsidRPr="008A05B4">
        <w:rPr>
          <w:rFonts w:ascii="Times New Roman" w:hAnsi="Times New Roman" w:cs="Times New Roman"/>
          <w:bCs/>
          <w:sz w:val="20"/>
          <w:szCs w:val="20"/>
        </w:rPr>
        <w:t xml:space="preserve">: here again, this technology is gaining attraction in several regions and the development of a UN GTR would be useful in order to avoid diverging requirements.  Work is already underway in the framework of the GRRF Informal Group on ACSF, and the development of a UN GTR could be facilitated by this work.  </w:t>
      </w:r>
    </w:p>
    <w:p w:rsidR="008A05B4" w:rsidRPr="008A05B4" w:rsidRDefault="008A05B4" w:rsidP="000157DA">
      <w:pPr>
        <w:pStyle w:val="ListParagraph"/>
        <w:spacing w:after="120" w:line="240" w:lineRule="atLeast"/>
        <w:ind w:left="927" w:right="819"/>
        <w:contextualSpacing w:val="0"/>
        <w:jc w:val="both"/>
        <w:rPr>
          <w:rFonts w:ascii="Times New Roman" w:hAnsi="Times New Roman" w:cs="Times New Roman"/>
          <w:bCs/>
          <w:sz w:val="20"/>
          <w:szCs w:val="20"/>
        </w:rPr>
      </w:pPr>
      <w:r w:rsidRPr="008A05B4">
        <w:rPr>
          <w:rFonts w:ascii="Times New Roman" w:hAnsi="Times New Roman" w:cs="Times New Roman"/>
          <w:bCs/>
          <w:sz w:val="20"/>
          <w:szCs w:val="20"/>
        </w:rPr>
        <w:t xml:space="preserve">As for AEBS, LKAS seems to be of high priority in the context of the European Union, and therefore </w:t>
      </w:r>
      <w:r w:rsidR="00B7180E" w:rsidRPr="00B7180E">
        <w:rPr>
          <w:rFonts w:ascii="Times New Roman" w:hAnsi="Times New Roman" w:cs="Times New Roman"/>
          <w:bCs/>
          <w:sz w:val="20"/>
          <w:szCs w:val="20"/>
          <w:lang w:val="en-US"/>
        </w:rPr>
        <w:t>it is essential that the work to develop a GTR should not compromise the progress of work already und</w:t>
      </w:r>
      <w:r w:rsidR="00B7180E">
        <w:rPr>
          <w:rFonts w:ascii="Times New Roman" w:hAnsi="Times New Roman" w:cs="Times New Roman"/>
          <w:bCs/>
          <w:sz w:val="20"/>
          <w:szCs w:val="20"/>
          <w:lang w:val="en-US"/>
        </w:rPr>
        <w:t>ertaken under the 58 Agreement.</w:t>
      </w:r>
    </w:p>
    <w:p w:rsidR="0041067B" w:rsidRPr="00841D60" w:rsidRDefault="00841D60" w:rsidP="00841D60">
      <w:pPr>
        <w:pStyle w:val="SingleTxtG"/>
        <w:jc w:val="center"/>
        <w:rPr>
          <w:bCs/>
          <w:lang w:val="en-GB"/>
        </w:rPr>
      </w:pPr>
      <w:r w:rsidRPr="00841D60">
        <w:rPr>
          <w:bCs/>
          <w:lang w:val="en-GB"/>
        </w:rPr>
        <w:t>_____</w:t>
      </w:r>
      <w:r w:rsidR="00004D54">
        <w:rPr>
          <w:bCs/>
          <w:lang w:val="en-GB"/>
        </w:rPr>
        <w:t>_</w:t>
      </w:r>
      <w:r w:rsidRPr="00841D60">
        <w:rPr>
          <w:bCs/>
          <w:lang w:val="en-GB"/>
        </w:rPr>
        <w:t>_____</w:t>
      </w:r>
    </w:p>
    <w:sectPr w:rsidR="0041067B" w:rsidRPr="00841D60" w:rsidSect="00AF06B5">
      <w:headerReference w:type="even" r:id="rId7"/>
      <w:headerReference w:type="default" r:id="rId8"/>
      <w:footerReference w:type="even" r:id="rId9"/>
      <w:footerReference w:type="default" r:id="rId10"/>
      <w:footerReference w:type="first" r:id="rId11"/>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77" w:rsidRDefault="00454977"/>
  </w:endnote>
  <w:endnote w:type="continuationSeparator" w:id="0">
    <w:p w:rsidR="00454977" w:rsidRDefault="00454977"/>
  </w:endnote>
  <w:endnote w:type="continuationNotice" w:id="1">
    <w:p w:rsidR="00454977" w:rsidRDefault="00454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35D9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Footer"/>
      <w:tabs>
        <w:tab w:val="right" w:pos="9638"/>
      </w:tabs>
      <w:rPr>
        <w:b/>
        <w:sz w:val="18"/>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106C6B" w:rsidRDefault="007E353A" w:rsidP="00070A6D">
    <w:pPr>
      <w:pStyle w:val="Footer"/>
      <w:rPr>
        <w:sz w:val="20"/>
      </w:rPr>
    </w:pPr>
    <w:r>
      <w:rPr>
        <w:noProof/>
        <w:sz w:val="20"/>
        <w:lang w:val="en-GB" w:eastAsia="en-GB"/>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D53C7" w:rsidRPr="004660E3">
      <w:rPr>
        <w:sz w:val="20"/>
      </w:rPr>
      <w:t>GE.1</w:t>
    </w:r>
    <w:r w:rsidR="00A62A78">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77" w:rsidRPr="00D27D5E" w:rsidRDefault="00454977" w:rsidP="00D27D5E">
      <w:pPr>
        <w:tabs>
          <w:tab w:val="right" w:pos="2155"/>
        </w:tabs>
        <w:spacing w:after="80"/>
        <w:ind w:left="680"/>
        <w:rPr>
          <w:u w:val="single"/>
        </w:rPr>
      </w:pPr>
      <w:r>
        <w:rPr>
          <w:u w:val="single"/>
        </w:rPr>
        <w:tab/>
      </w:r>
    </w:p>
  </w:footnote>
  <w:footnote w:type="continuationSeparator" w:id="0">
    <w:p w:rsidR="00454977" w:rsidRDefault="00454977">
      <w:r>
        <w:rPr>
          <w:u w:val="single"/>
        </w:rPr>
        <w:tab/>
      </w:r>
      <w:r>
        <w:rPr>
          <w:u w:val="single"/>
        </w:rPr>
        <w:tab/>
      </w:r>
      <w:r>
        <w:rPr>
          <w:u w:val="single"/>
        </w:rPr>
        <w:tab/>
      </w:r>
      <w:r>
        <w:rPr>
          <w:u w:val="single"/>
        </w:rPr>
        <w:tab/>
      </w:r>
    </w:p>
  </w:footnote>
  <w:footnote w:type="continuationNotice" w:id="1">
    <w:p w:rsidR="00454977" w:rsidRDefault="004549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435D9C" w:rsidRDefault="00435D9C" w:rsidP="00435D9C">
    <w:pPr>
      <w:pStyle w:val="Header"/>
      <w:rPr>
        <w:lang w:val="en-US"/>
      </w:rPr>
    </w:pPr>
    <w:r w:rsidRPr="000E2E55">
      <w:rPr>
        <w:bCs/>
        <w:lang w:val="en-GB" w:eastAsia="ar-SA"/>
      </w:rPr>
      <w:t>WP.29-171-1</w:t>
    </w:r>
    <w:r>
      <w:rPr>
        <w:bCs/>
        <w:lang w:val="en-GB" w:eastAsia="ar-SA"/>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AF06B5" w:rsidRDefault="00BD53C7" w:rsidP="00AF06B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7"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310E64"/>
    <w:multiLevelType w:val="hybridMultilevel"/>
    <w:tmpl w:val="7DB4F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1"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3"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5662319"/>
    <w:multiLevelType w:val="hybridMultilevel"/>
    <w:tmpl w:val="65BAE73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6"/>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7"/>
  </w:num>
  <w:num w:numId="17">
    <w:abstractNumId w:val="25"/>
  </w:num>
  <w:num w:numId="18">
    <w:abstractNumId w:val="30"/>
  </w:num>
  <w:num w:numId="19">
    <w:abstractNumId w:val="22"/>
  </w:num>
  <w:num w:numId="20">
    <w:abstractNumId w:val="20"/>
  </w:num>
  <w:num w:numId="21">
    <w:abstractNumId w:val="23"/>
  </w:num>
  <w:num w:numId="22">
    <w:abstractNumId w:val="28"/>
  </w:num>
  <w:num w:numId="23">
    <w:abstractNumId w:val="32"/>
  </w:num>
  <w:num w:numId="24">
    <w:abstractNumId w:val="14"/>
  </w:num>
  <w:num w:numId="25">
    <w:abstractNumId w:val="17"/>
  </w:num>
  <w:num w:numId="26">
    <w:abstractNumId w:val="34"/>
  </w:num>
  <w:num w:numId="27">
    <w:abstractNumId w:val="31"/>
  </w:num>
  <w:num w:numId="28">
    <w:abstractNumId w:val="19"/>
  </w:num>
  <w:num w:numId="29">
    <w:abstractNumId w:val="15"/>
  </w:num>
  <w:num w:numId="30">
    <w:abstractNumId w:val="38"/>
  </w:num>
  <w:num w:numId="31">
    <w:abstractNumId w:val="16"/>
  </w:num>
  <w:num w:numId="32">
    <w:abstractNumId w:val="35"/>
  </w:num>
  <w:num w:numId="33">
    <w:abstractNumId w:val="33"/>
  </w:num>
  <w:num w:numId="34">
    <w:abstractNumId w:val="18"/>
  </w:num>
  <w:num w:numId="35">
    <w:abstractNumId w:val="39"/>
  </w:num>
  <w:num w:numId="36">
    <w:abstractNumId w:val="11"/>
  </w:num>
  <w:num w:numId="37">
    <w:abstractNumId w:val="26"/>
  </w:num>
  <w:num w:numId="38">
    <w:abstractNumId w:val="21"/>
  </w:num>
  <w:num w:numId="39">
    <w:abstractNumId w:val="29"/>
  </w:num>
  <w:num w:numId="4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57DA"/>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A5C"/>
    <w:rsid w:val="00161E4F"/>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1A4D"/>
    <w:rsid w:val="001B2B2E"/>
    <w:rsid w:val="001B6F40"/>
    <w:rsid w:val="001C1C2A"/>
    <w:rsid w:val="001C35D9"/>
    <w:rsid w:val="001C4686"/>
    <w:rsid w:val="001C4FED"/>
    <w:rsid w:val="001C60AE"/>
    <w:rsid w:val="001C6712"/>
    <w:rsid w:val="001C73F7"/>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E7EDC"/>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639"/>
    <w:rsid w:val="00234945"/>
    <w:rsid w:val="00234F39"/>
    <w:rsid w:val="00235EA2"/>
    <w:rsid w:val="00236080"/>
    <w:rsid w:val="00236B01"/>
    <w:rsid w:val="002375DC"/>
    <w:rsid w:val="00237DEF"/>
    <w:rsid w:val="00240CE4"/>
    <w:rsid w:val="002414BC"/>
    <w:rsid w:val="0024298F"/>
    <w:rsid w:val="00244494"/>
    <w:rsid w:val="00244861"/>
    <w:rsid w:val="00244B9C"/>
    <w:rsid w:val="00246D93"/>
    <w:rsid w:val="00247143"/>
    <w:rsid w:val="00251356"/>
    <w:rsid w:val="00251FEA"/>
    <w:rsid w:val="002528D2"/>
    <w:rsid w:val="00255B35"/>
    <w:rsid w:val="00256BE1"/>
    <w:rsid w:val="00256C32"/>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9778B"/>
    <w:rsid w:val="002A06B9"/>
    <w:rsid w:val="002A073F"/>
    <w:rsid w:val="002A3620"/>
    <w:rsid w:val="002A366B"/>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5FF9"/>
    <w:rsid w:val="003C6965"/>
    <w:rsid w:val="003C77FD"/>
    <w:rsid w:val="003D0881"/>
    <w:rsid w:val="003D0FE4"/>
    <w:rsid w:val="003D1DF3"/>
    <w:rsid w:val="003D2C4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35D9C"/>
    <w:rsid w:val="00440D4C"/>
    <w:rsid w:val="004411E2"/>
    <w:rsid w:val="00442670"/>
    <w:rsid w:val="00444F64"/>
    <w:rsid w:val="0044538B"/>
    <w:rsid w:val="004456D6"/>
    <w:rsid w:val="00447D77"/>
    <w:rsid w:val="00451D74"/>
    <w:rsid w:val="004526AB"/>
    <w:rsid w:val="004538FB"/>
    <w:rsid w:val="004542DD"/>
    <w:rsid w:val="00454977"/>
    <w:rsid w:val="00455ADF"/>
    <w:rsid w:val="004615C9"/>
    <w:rsid w:val="00461C7B"/>
    <w:rsid w:val="004660E3"/>
    <w:rsid w:val="0046637D"/>
    <w:rsid w:val="00467E41"/>
    <w:rsid w:val="0047052B"/>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4DCC"/>
    <w:rsid w:val="0053585A"/>
    <w:rsid w:val="005368BB"/>
    <w:rsid w:val="005374DB"/>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414"/>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7019"/>
    <w:rsid w:val="006373CC"/>
    <w:rsid w:val="006373FD"/>
    <w:rsid w:val="00637C73"/>
    <w:rsid w:val="00640C0C"/>
    <w:rsid w:val="00641056"/>
    <w:rsid w:val="0064299D"/>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378E"/>
    <w:rsid w:val="006942B2"/>
    <w:rsid w:val="00696277"/>
    <w:rsid w:val="00696525"/>
    <w:rsid w:val="0069778A"/>
    <w:rsid w:val="006A12E1"/>
    <w:rsid w:val="006A4E46"/>
    <w:rsid w:val="006A57AE"/>
    <w:rsid w:val="006A5867"/>
    <w:rsid w:val="006B0D40"/>
    <w:rsid w:val="006B0D9D"/>
    <w:rsid w:val="006B1399"/>
    <w:rsid w:val="006B2C53"/>
    <w:rsid w:val="006B2EE7"/>
    <w:rsid w:val="006B4590"/>
    <w:rsid w:val="006B4B33"/>
    <w:rsid w:val="006B59C7"/>
    <w:rsid w:val="006B6AD2"/>
    <w:rsid w:val="006B7504"/>
    <w:rsid w:val="006C0BC6"/>
    <w:rsid w:val="006C340C"/>
    <w:rsid w:val="006C6D72"/>
    <w:rsid w:val="006D09AF"/>
    <w:rsid w:val="006D1D1C"/>
    <w:rsid w:val="006D37B9"/>
    <w:rsid w:val="006D5776"/>
    <w:rsid w:val="006D5E16"/>
    <w:rsid w:val="006D666F"/>
    <w:rsid w:val="006D6C2E"/>
    <w:rsid w:val="006E1570"/>
    <w:rsid w:val="006E2B95"/>
    <w:rsid w:val="006E3228"/>
    <w:rsid w:val="006E5FC7"/>
    <w:rsid w:val="006E6626"/>
    <w:rsid w:val="006E6676"/>
    <w:rsid w:val="006E6BDB"/>
    <w:rsid w:val="006E7BEC"/>
    <w:rsid w:val="006F22A2"/>
    <w:rsid w:val="006F235A"/>
    <w:rsid w:val="006F2B9B"/>
    <w:rsid w:val="006F2DF8"/>
    <w:rsid w:val="006F38BE"/>
    <w:rsid w:val="006F3FA6"/>
    <w:rsid w:val="006F707A"/>
    <w:rsid w:val="006F73F4"/>
    <w:rsid w:val="006F7CD1"/>
    <w:rsid w:val="006F7F03"/>
    <w:rsid w:val="00700482"/>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DA7"/>
    <w:rsid w:val="00727578"/>
    <w:rsid w:val="0072796F"/>
    <w:rsid w:val="007279A6"/>
    <w:rsid w:val="00730966"/>
    <w:rsid w:val="007314E3"/>
    <w:rsid w:val="00732610"/>
    <w:rsid w:val="007338CE"/>
    <w:rsid w:val="0073571D"/>
    <w:rsid w:val="00736313"/>
    <w:rsid w:val="007365F5"/>
    <w:rsid w:val="00737C31"/>
    <w:rsid w:val="00741615"/>
    <w:rsid w:val="00742B2A"/>
    <w:rsid w:val="00746F5E"/>
    <w:rsid w:val="007501F7"/>
    <w:rsid w:val="007512D2"/>
    <w:rsid w:val="00752303"/>
    <w:rsid w:val="00752869"/>
    <w:rsid w:val="00752E98"/>
    <w:rsid w:val="0075478B"/>
    <w:rsid w:val="00754D6F"/>
    <w:rsid w:val="00754FCB"/>
    <w:rsid w:val="00755E58"/>
    <w:rsid w:val="007564E7"/>
    <w:rsid w:val="00756FE9"/>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949"/>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0C84"/>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5B4"/>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633C"/>
    <w:rsid w:val="008E23EB"/>
    <w:rsid w:val="008E254C"/>
    <w:rsid w:val="008E421A"/>
    <w:rsid w:val="008E4410"/>
    <w:rsid w:val="008E4B22"/>
    <w:rsid w:val="008E65BE"/>
    <w:rsid w:val="008E7FAE"/>
    <w:rsid w:val="008E7FF3"/>
    <w:rsid w:val="008F0F36"/>
    <w:rsid w:val="008F273B"/>
    <w:rsid w:val="008F307D"/>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27EC4"/>
    <w:rsid w:val="00932E6A"/>
    <w:rsid w:val="00933855"/>
    <w:rsid w:val="00933F43"/>
    <w:rsid w:val="00934D4C"/>
    <w:rsid w:val="009356B2"/>
    <w:rsid w:val="00936F5A"/>
    <w:rsid w:val="00940018"/>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70910"/>
    <w:rsid w:val="00970E05"/>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2129B"/>
    <w:rsid w:val="00A21A8C"/>
    <w:rsid w:val="00A21D61"/>
    <w:rsid w:val="00A2205A"/>
    <w:rsid w:val="00A239E6"/>
    <w:rsid w:val="00A2492E"/>
    <w:rsid w:val="00A24ECB"/>
    <w:rsid w:val="00A24FEE"/>
    <w:rsid w:val="00A25B2E"/>
    <w:rsid w:val="00A27564"/>
    <w:rsid w:val="00A314FB"/>
    <w:rsid w:val="00A31E3F"/>
    <w:rsid w:val="00A326FA"/>
    <w:rsid w:val="00A33FE8"/>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0BD2"/>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6D0B"/>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C0701"/>
    <w:rsid w:val="00AC0B8C"/>
    <w:rsid w:val="00AC133C"/>
    <w:rsid w:val="00AC3388"/>
    <w:rsid w:val="00AC592D"/>
    <w:rsid w:val="00AC67A1"/>
    <w:rsid w:val="00AC6BD8"/>
    <w:rsid w:val="00AC750A"/>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2BD9"/>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180E"/>
    <w:rsid w:val="00B727FB"/>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3084"/>
    <w:rsid w:val="00BA38A9"/>
    <w:rsid w:val="00BA4CAC"/>
    <w:rsid w:val="00BA559F"/>
    <w:rsid w:val="00BA5929"/>
    <w:rsid w:val="00BB14FC"/>
    <w:rsid w:val="00BB1E2D"/>
    <w:rsid w:val="00BB572B"/>
    <w:rsid w:val="00BB6EC0"/>
    <w:rsid w:val="00BB71A7"/>
    <w:rsid w:val="00BC4943"/>
    <w:rsid w:val="00BC6718"/>
    <w:rsid w:val="00BC6A32"/>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95F"/>
    <w:rsid w:val="00CA0976"/>
    <w:rsid w:val="00CA1678"/>
    <w:rsid w:val="00CA49A6"/>
    <w:rsid w:val="00CA4C8D"/>
    <w:rsid w:val="00CA53AD"/>
    <w:rsid w:val="00CB0FEF"/>
    <w:rsid w:val="00CB1F1C"/>
    <w:rsid w:val="00CB6267"/>
    <w:rsid w:val="00CB73FB"/>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1D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5247"/>
    <w:rsid w:val="00E55D71"/>
    <w:rsid w:val="00E560B7"/>
    <w:rsid w:val="00E5614B"/>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7997"/>
    <w:rsid w:val="00E80853"/>
    <w:rsid w:val="00E8089F"/>
    <w:rsid w:val="00E81887"/>
    <w:rsid w:val="00E81E94"/>
    <w:rsid w:val="00E82607"/>
    <w:rsid w:val="00E82A1D"/>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975"/>
    <w:rsid w:val="00F13D29"/>
    <w:rsid w:val="00F145B6"/>
    <w:rsid w:val="00F15C00"/>
    <w:rsid w:val="00F1612A"/>
    <w:rsid w:val="00F1644D"/>
    <w:rsid w:val="00F16AC6"/>
    <w:rsid w:val="00F16B81"/>
    <w:rsid w:val="00F17A2D"/>
    <w:rsid w:val="00F20C8B"/>
    <w:rsid w:val="00F21980"/>
    <w:rsid w:val="00F22E5C"/>
    <w:rsid w:val="00F2438C"/>
    <w:rsid w:val="00F24C9F"/>
    <w:rsid w:val="00F260DE"/>
    <w:rsid w:val="00F30372"/>
    <w:rsid w:val="00F30D47"/>
    <w:rsid w:val="00F3201D"/>
    <w:rsid w:val="00F32AE8"/>
    <w:rsid w:val="00F32F3E"/>
    <w:rsid w:val="00F36266"/>
    <w:rsid w:val="00F41D93"/>
    <w:rsid w:val="00F43193"/>
    <w:rsid w:val="00F446F4"/>
    <w:rsid w:val="00F44CBD"/>
    <w:rsid w:val="00F5051A"/>
    <w:rsid w:val="00F5070F"/>
    <w:rsid w:val="00F55242"/>
    <w:rsid w:val="00F55E23"/>
    <w:rsid w:val="00F56037"/>
    <w:rsid w:val="00F56E59"/>
    <w:rsid w:val="00F56F99"/>
    <w:rsid w:val="00F57129"/>
    <w:rsid w:val="00F571A4"/>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E0E"/>
    <w:rsid w:val="00FA5A79"/>
    <w:rsid w:val="00FA5FB6"/>
    <w:rsid w:val="00FA6E4F"/>
    <w:rsid w:val="00FA7BB1"/>
    <w:rsid w:val="00FB00CB"/>
    <w:rsid w:val="00FB0BFE"/>
    <w:rsid w:val="00FB122F"/>
    <w:rsid w:val="00FB43DE"/>
    <w:rsid w:val="00FB4C51"/>
    <w:rsid w:val="00FB72C1"/>
    <w:rsid w:val="00FB784A"/>
    <w:rsid w:val="00FB786B"/>
    <w:rsid w:val="00FC0F63"/>
    <w:rsid w:val="00FC25FE"/>
    <w:rsid w:val="00FC2A5A"/>
    <w:rsid w:val="00FC3500"/>
    <w:rsid w:val="00FC4E60"/>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4:docId w14:val="10F06BAD"/>
  <w15:docId w15:val="{8D72320B-42C8-42BF-BDB8-EA6825A9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8A05B4"/>
    <w:pPr>
      <w:suppressAutoHyphens w:val="0"/>
      <w:spacing w:line="240"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13908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Office Word</Application>
  <DocSecurity>0</DocSecurity>
  <Lines>26</Lines>
  <Paragraphs>7</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DER STRAATEN (OICA)</dc:creator>
  <cp:lastModifiedBy>Caillot</cp:lastModifiedBy>
  <cp:revision>2</cp:revision>
  <cp:lastPrinted>2016-11-07T10:37:00Z</cp:lastPrinted>
  <dcterms:created xsi:type="dcterms:W3CDTF">2017-03-10T15:07:00Z</dcterms:created>
  <dcterms:modified xsi:type="dcterms:W3CDTF">2017-03-10T15:07:00Z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