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051A0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051A0" w:rsidP="000051A0">
            <w:pPr>
              <w:jc w:val="right"/>
            </w:pPr>
            <w:r w:rsidRPr="000051A0">
              <w:rPr>
                <w:sz w:val="40"/>
              </w:rPr>
              <w:t>ECE</w:t>
            </w:r>
            <w:r>
              <w:t>/TRANS/WP.29/2017/139</w:t>
            </w:r>
          </w:p>
        </w:tc>
      </w:tr>
      <w:tr w:rsidR="002D5AAC" w:rsidRPr="0070369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051A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051A0" w:rsidRDefault="000051A0" w:rsidP="000051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August 2017</w:t>
            </w:r>
          </w:p>
          <w:p w:rsidR="000051A0" w:rsidRDefault="000051A0" w:rsidP="000051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51A0" w:rsidRPr="008D53B6" w:rsidRDefault="000051A0" w:rsidP="000051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051A0" w:rsidRPr="000051A0" w:rsidRDefault="000051A0" w:rsidP="000051A0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0051A0">
        <w:rPr>
          <w:sz w:val="28"/>
          <w:szCs w:val="28"/>
        </w:rPr>
        <w:t>Комитет по внутреннему транспорту</w:t>
      </w:r>
    </w:p>
    <w:p w:rsidR="000051A0" w:rsidRPr="000051A0" w:rsidRDefault="000051A0" w:rsidP="000051A0">
      <w:pPr>
        <w:pStyle w:val="SingleTxtGR"/>
        <w:spacing w:after="0"/>
        <w:ind w:left="0"/>
        <w:jc w:val="left"/>
        <w:rPr>
          <w:b/>
          <w:sz w:val="24"/>
          <w:szCs w:val="24"/>
        </w:rPr>
      </w:pPr>
      <w:r w:rsidRPr="000051A0">
        <w:rPr>
          <w:b/>
          <w:sz w:val="24"/>
          <w:szCs w:val="24"/>
        </w:rPr>
        <w:t xml:space="preserve">Всемирный форум для согласования правил </w:t>
      </w:r>
      <w:r w:rsidRPr="000051A0">
        <w:rPr>
          <w:b/>
          <w:sz w:val="24"/>
          <w:szCs w:val="24"/>
        </w:rPr>
        <w:br/>
        <w:t>в области транспортных средств</w:t>
      </w:r>
    </w:p>
    <w:p w:rsidR="000051A0" w:rsidRPr="000051A0" w:rsidRDefault="000051A0" w:rsidP="000051A0">
      <w:pPr>
        <w:pStyle w:val="SingleTxtGR"/>
        <w:spacing w:before="120" w:after="0"/>
        <w:ind w:left="0"/>
        <w:jc w:val="left"/>
        <w:rPr>
          <w:b/>
        </w:rPr>
      </w:pPr>
      <w:r w:rsidRPr="000051A0">
        <w:rPr>
          <w:b/>
        </w:rPr>
        <w:t>173-я сессия</w:t>
      </w:r>
    </w:p>
    <w:p w:rsidR="000051A0" w:rsidRPr="000051A0" w:rsidRDefault="000051A0" w:rsidP="000051A0">
      <w:pPr>
        <w:pStyle w:val="SingleTxtGR"/>
        <w:spacing w:after="0"/>
        <w:ind w:left="0"/>
        <w:jc w:val="left"/>
      </w:pPr>
      <w:r w:rsidRPr="000051A0">
        <w:t>Женева, 14</w:t>
      </w:r>
      <w:r w:rsidRPr="00703695">
        <w:t>–</w:t>
      </w:r>
      <w:r w:rsidRPr="000051A0">
        <w:t>17 ноября 2017 года</w:t>
      </w:r>
    </w:p>
    <w:p w:rsidR="000051A0" w:rsidRPr="000051A0" w:rsidRDefault="000051A0" w:rsidP="000051A0">
      <w:pPr>
        <w:pStyle w:val="SingleTxtGR"/>
        <w:spacing w:after="0"/>
        <w:ind w:left="0"/>
        <w:jc w:val="left"/>
      </w:pPr>
      <w:r w:rsidRPr="000051A0">
        <w:t>Пункт 14.1 предварительной повестки дня</w:t>
      </w:r>
    </w:p>
    <w:p w:rsidR="000051A0" w:rsidRPr="000051A0" w:rsidRDefault="000051A0" w:rsidP="000051A0">
      <w:pPr>
        <w:pStyle w:val="SingleTxtGR"/>
        <w:spacing w:after="0"/>
        <w:ind w:left="0"/>
        <w:jc w:val="left"/>
        <w:rPr>
          <w:b/>
        </w:rPr>
      </w:pPr>
      <w:r w:rsidRPr="000051A0">
        <w:rPr>
          <w:b/>
        </w:rPr>
        <w:t xml:space="preserve">Рассмотрение АС.3 проектов ГТП ООН и/или </w:t>
      </w:r>
    </w:p>
    <w:p w:rsidR="000051A0" w:rsidRPr="000051A0" w:rsidRDefault="000051A0" w:rsidP="000051A0">
      <w:pPr>
        <w:pStyle w:val="SingleTxtGR"/>
        <w:spacing w:after="0"/>
        <w:ind w:left="0"/>
        <w:jc w:val="left"/>
        <w:rPr>
          <w:b/>
        </w:rPr>
      </w:pPr>
      <w:r w:rsidRPr="000051A0">
        <w:rPr>
          <w:b/>
        </w:rPr>
        <w:t xml:space="preserve">проектов поправок к введенным ГТП ООН </w:t>
      </w:r>
      <w:r w:rsidR="00C914A1">
        <w:rPr>
          <w:b/>
        </w:rPr>
        <w:br/>
      </w:r>
      <w:r w:rsidRPr="000051A0">
        <w:rPr>
          <w:b/>
        </w:rPr>
        <w:t>и голосование по ним:</w:t>
      </w:r>
      <w:r w:rsidR="00C914A1">
        <w:rPr>
          <w:b/>
        </w:rPr>
        <w:t xml:space="preserve"> </w:t>
      </w:r>
      <w:r w:rsidRPr="000051A0">
        <w:rPr>
          <w:b/>
        </w:rPr>
        <w:t xml:space="preserve">Предложение по новым ГТП ООН, </w:t>
      </w:r>
      <w:r w:rsidR="00C914A1">
        <w:rPr>
          <w:b/>
        </w:rPr>
        <w:br/>
      </w:r>
      <w:r w:rsidRPr="000051A0">
        <w:rPr>
          <w:b/>
        </w:rPr>
        <w:t>касающимся безопасности электромобилей (БЭМ)</w:t>
      </w:r>
    </w:p>
    <w:p w:rsidR="000051A0" w:rsidRPr="000051A0" w:rsidRDefault="000051A0" w:rsidP="000051A0">
      <w:pPr>
        <w:pStyle w:val="HChGR"/>
      </w:pPr>
      <w:r w:rsidRPr="000051A0">
        <w:tab/>
      </w:r>
      <w:r w:rsidRPr="000051A0">
        <w:tab/>
        <w:t>Заключительный доклад в связи с предложением по</w:t>
      </w:r>
      <w:r>
        <w:rPr>
          <w:lang w:val="en-US"/>
        </w:rPr>
        <w:t> </w:t>
      </w:r>
      <w:r w:rsidRPr="000051A0">
        <w:t>новым ГТП ООН, касающимся безопасности электромобилей (БЭМ)</w:t>
      </w:r>
    </w:p>
    <w:p w:rsidR="000051A0" w:rsidRPr="000051A0" w:rsidRDefault="000051A0" w:rsidP="000051A0">
      <w:pPr>
        <w:pStyle w:val="H1GR"/>
      </w:pPr>
      <w:r w:rsidRPr="000051A0">
        <w:tab/>
      </w:r>
      <w:r w:rsidRPr="000051A0">
        <w:tab/>
        <w:t>Представлено Рабочей группой по пассивной безопасности</w:t>
      </w:r>
      <w:r w:rsidRPr="000051A0">
        <w:rPr>
          <w:b w:val="0"/>
          <w:sz w:val="20"/>
        </w:rPr>
        <w:footnoteReference w:customMarkFollows="1" w:id="1"/>
        <w:t>*</w:t>
      </w:r>
    </w:p>
    <w:p w:rsidR="000051A0" w:rsidRPr="000051A0" w:rsidRDefault="000051A0" w:rsidP="000051A0">
      <w:pPr>
        <w:pStyle w:val="SingleTxtGR"/>
      </w:pPr>
      <w:r w:rsidRPr="000051A0">
        <w:tab/>
        <w:t>Воспроизведенный ниже текст был рекомендован Рабочей группой по пассивной безопасности (</w:t>
      </w:r>
      <w:r w:rsidRPr="000051A0">
        <w:rPr>
          <w:lang w:val="en-GB"/>
        </w:rPr>
        <w:t>GRSP</w:t>
      </w:r>
      <w:r w:rsidRPr="000051A0">
        <w:t>) на ее шестьдесят первой сессии (</w:t>
      </w:r>
      <w:r w:rsidRPr="000051A0">
        <w:rPr>
          <w:lang w:val="en-GB"/>
        </w:rPr>
        <w:t>ECE</w:t>
      </w:r>
      <w:r w:rsidRPr="000051A0">
        <w:t>/</w:t>
      </w:r>
      <w:r w:rsidRPr="000051A0">
        <w:rPr>
          <w:lang w:val="en-GB"/>
        </w:rPr>
        <w:t>TRANS</w:t>
      </w:r>
      <w:r w:rsidRPr="000051A0">
        <w:t>/</w:t>
      </w:r>
      <w:r w:rsidR="00483079">
        <w:t xml:space="preserve"> </w:t>
      </w:r>
      <w:r w:rsidRPr="000051A0">
        <w:rPr>
          <w:lang w:val="en-GB"/>
        </w:rPr>
        <w:t>WP</w:t>
      </w:r>
      <w:r w:rsidRPr="000051A0">
        <w:t>.29/</w:t>
      </w:r>
      <w:r w:rsidRPr="000051A0">
        <w:rPr>
          <w:lang w:val="en-GB"/>
        </w:rPr>
        <w:t>GRSP</w:t>
      </w:r>
      <w:r w:rsidRPr="000051A0">
        <w:t>/61, пункт 10). В его основу положен неофициальный документ</w:t>
      </w:r>
      <w:r w:rsidR="00963FE1">
        <w:t> </w:t>
      </w:r>
      <w:r w:rsidRPr="000051A0">
        <w:t xml:space="preserve">GRSP-61-09, который воспроизводится в приложении </w:t>
      </w:r>
      <w:r w:rsidRPr="000051A0">
        <w:rPr>
          <w:lang w:val="en-GB"/>
        </w:rPr>
        <w:t>II</w:t>
      </w:r>
      <w:r w:rsidRPr="000051A0">
        <w:t xml:space="preserve"> к докладу.</w:t>
      </w:r>
      <w:r w:rsidR="001F27BD">
        <w:t xml:space="preserve"> </w:t>
      </w:r>
      <w:r w:rsidRPr="000051A0">
        <w:t>Этот текст представляется на рассмотрение Всемирному форуму для согласования правил в области транспортных средств (WP.29) и Исполнительному комитету (АС.3) Соглашения 1998 года на их сессиях в ноябре 2017 года.</w:t>
      </w:r>
    </w:p>
    <w:p w:rsidR="000051A0" w:rsidRPr="000051A0" w:rsidRDefault="000051A0" w:rsidP="001F27BD">
      <w:pPr>
        <w:pStyle w:val="HChGR"/>
      </w:pPr>
      <w:r w:rsidRPr="000051A0">
        <w:br w:type="page"/>
      </w:r>
      <w:r w:rsidRPr="000051A0">
        <w:lastRenderedPageBreak/>
        <w:tab/>
      </w:r>
      <w:r w:rsidRPr="000051A0">
        <w:tab/>
        <w:t>Заключительный доклад в связи с предложением по</w:t>
      </w:r>
      <w:r w:rsidR="001F27BD">
        <w:rPr>
          <w:lang w:val="en-US"/>
        </w:rPr>
        <w:t> </w:t>
      </w:r>
      <w:r w:rsidRPr="000051A0">
        <w:t>новым ГТП ООН, касающимся безопасности электромобилей (БЭМ)</w:t>
      </w:r>
    </w:p>
    <w:p w:rsidR="000051A0" w:rsidRPr="000051A0" w:rsidRDefault="000051A0" w:rsidP="000051A0">
      <w:pPr>
        <w:pStyle w:val="SingleTxtGR"/>
      </w:pPr>
      <w:r w:rsidRPr="000051A0">
        <w:t>1.</w:t>
      </w:r>
      <w:r w:rsidRPr="000051A0">
        <w:tab/>
        <w:t xml:space="preserve">Глобальные технические правила ООН, касающиеся безопасности </w:t>
      </w:r>
      <w:r w:rsidR="00CF3AC1">
        <w:br/>
      </w:r>
      <w:r w:rsidRPr="000051A0">
        <w:t>электромобилей (БЭМ), являются результатом работы многочисленных совещаний и плодотворного сотрудничества правительств Канады, Китая, Республики Корея, Соединенных Штатов Америки, Японии и Европейского союза, в том числе организаций по стандартам, органов, проводящих испытания, и отраслевых экспертов.</w:t>
      </w:r>
    </w:p>
    <w:p w:rsidR="000051A0" w:rsidRPr="000051A0" w:rsidRDefault="000051A0" w:rsidP="000051A0">
      <w:pPr>
        <w:pStyle w:val="SingleTxtGR"/>
      </w:pPr>
      <w:r w:rsidRPr="000051A0">
        <w:t>2.</w:t>
      </w:r>
      <w:r w:rsidRPr="000051A0">
        <w:tab/>
        <w:t>В 2012 году Всемирный форум для согласования правил в области транспортных средств (</w:t>
      </w:r>
      <w:r w:rsidRPr="000051A0">
        <w:rPr>
          <w:lang w:val="en-US"/>
        </w:rPr>
        <w:t>WP</w:t>
      </w:r>
      <w:r w:rsidRPr="000051A0">
        <w:t>.29) Организации Объединенных Наций принял совместное предложение Соединенных Штатов Америки, Японии и Европейского союза об учреждении двух рабочих групп для рассмотрения вопросов безопасности и окружающей среды, связанных с электромобилями.</w:t>
      </w:r>
      <w:r w:rsidR="001F27BD">
        <w:t xml:space="preserve"> </w:t>
      </w:r>
      <w:r w:rsidRPr="000051A0">
        <w:t xml:space="preserve">Позднее в 2012 году к числу трех первоначальных совместных спонсоров присоединился Китай. </w:t>
      </w:r>
    </w:p>
    <w:p w:rsidR="000051A0" w:rsidRPr="000051A0" w:rsidRDefault="000051A0" w:rsidP="000051A0">
      <w:pPr>
        <w:pStyle w:val="SingleTxtGR"/>
      </w:pPr>
      <w:r w:rsidRPr="000051A0">
        <w:t>3.</w:t>
      </w:r>
      <w:r w:rsidRPr="000051A0">
        <w:tab/>
        <w:t>Задача этих двух рабочих групп заключалась в сближении нормативных положений в глобальных масштабах на основе работы в рамках Соглашения</w:t>
      </w:r>
      <w:r w:rsidR="00A53CBC">
        <w:t> </w:t>
      </w:r>
      <w:r w:rsidRPr="000051A0">
        <w:t xml:space="preserve">1998 года. </w:t>
      </w:r>
    </w:p>
    <w:p w:rsidR="000051A0" w:rsidRPr="000051A0" w:rsidRDefault="000051A0" w:rsidP="000051A0">
      <w:pPr>
        <w:pStyle w:val="SingleTxtGR"/>
      </w:pPr>
      <w:r w:rsidRPr="000051A0">
        <w:t>4.</w:t>
      </w:r>
      <w:r w:rsidRPr="000051A0">
        <w:tab/>
        <w:t xml:space="preserve">Круг ведения (КВ) неофициальной рабочей группы (НРГ) по БЭМ был принят в целях разработки ГТП ООН по ЭМ, охватывающих аспекты защиты от высоковольтного напряжения, безопасности электрических элементов и </w:t>
      </w:r>
      <w:r w:rsidR="00CB20EF">
        <w:t>перезаряжаемых</w:t>
      </w:r>
      <w:r w:rsidRPr="000051A0">
        <w:t xml:space="preserve"> энергоаккумулирующих систем (ПСХЭЭ). </w:t>
      </w:r>
    </w:p>
    <w:p w:rsidR="000051A0" w:rsidRPr="000051A0" w:rsidRDefault="000051A0" w:rsidP="000051A0">
      <w:pPr>
        <w:pStyle w:val="SingleTxtGR"/>
      </w:pPr>
      <w:r w:rsidRPr="000051A0">
        <w:t>5.</w:t>
      </w:r>
      <w:r w:rsidRPr="000051A0">
        <w:tab/>
        <w:t>Для разработки эксплуатационных и послеаварийных требований к безопасности с использованием научно обоснованного, подкрепленного соответствующими данными и функционального подхода была учреждена соответствующая НРГ.</w:t>
      </w:r>
    </w:p>
    <w:p w:rsidR="000051A0" w:rsidRPr="000051A0" w:rsidRDefault="000051A0" w:rsidP="000051A0">
      <w:pPr>
        <w:pStyle w:val="SingleTxtGR"/>
      </w:pPr>
      <w:r w:rsidRPr="000051A0">
        <w:t>6.</w:t>
      </w:r>
      <w:r w:rsidRPr="000051A0">
        <w:tab/>
        <w:t>За последние пять лет эта НРГ, в состав которой вошло более 50 экспертов, провела 13 совещаний. Совещания и процесс разработки соответствующих положений носят прозрачный характер.</w:t>
      </w:r>
      <w:r w:rsidR="001F27BD">
        <w:t xml:space="preserve"> </w:t>
      </w:r>
      <w:r w:rsidRPr="000051A0">
        <w:t xml:space="preserve">С докладами и другими документами можно ознакомиться на веб-сайте ООН </w:t>
      </w:r>
      <w:r w:rsidRPr="000051A0">
        <w:rPr>
          <w:lang w:val="en-US"/>
        </w:rPr>
        <w:t>https</w:t>
      </w:r>
      <w:r w:rsidRPr="000051A0">
        <w:t>://</w:t>
      </w:r>
      <w:r w:rsidRPr="000051A0">
        <w:rPr>
          <w:lang w:val="en-US"/>
        </w:rPr>
        <w:t>www</w:t>
      </w:r>
      <w:r w:rsidRPr="000051A0">
        <w:t>2.</w:t>
      </w:r>
      <w:r w:rsidRPr="000051A0">
        <w:rPr>
          <w:lang w:val="en-US"/>
        </w:rPr>
        <w:t>unece</w:t>
      </w:r>
      <w:r w:rsidRPr="000051A0">
        <w:t>.</w:t>
      </w:r>
      <w:r w:rsidRPr="000051A0">
        <w:rPr>
          <w:lang w:val="en-US"/>
        </w:rPr>
        <w:t>org</w:t>
      </w:r>
      <w:r w:rsidRPr="000051A0">
        <w:t>/</w:t>
      </w:r>
      <w:r w:rsidRPr="000051A0">
        <w:rPr>
          <w:lang w:val="en-US"/>
        </w:rPr>
        <w:t>wiki</w:t>
      </w:r>
      <w:r w:rsidRPr="000051A0">
        <w:t>/</w:t>
      </w:r>
      <w:r w:rsidRPr="000051A0">
        <w:rPr>
          <w:lang w:val="en-US"/>
        </w:rPr>
        <w:t>pages</w:t>
      </w:r>
      <w:r w:rsidRPr="000051A0">
        <w:t>/</w:t>
      </w:r>
      <w:r w:rsidR="00E60F0A">
        <w:br/>
      </w:r>
      <w:r w:rsidRPr="000051A0">
        <w:rPr>
          <w:lang w:val="en-US"/>
        </w:rPr>
        <w:t>viewpage</w:t>
      </w:r>
      <w:r w:rsidRPr="000051A0">
        <w:t>.</w:t>
      </w:r>
      <w:r w:rsidRPr="000051A0">
        <w:rPr>
          <w:lang w:val="en-US"/>
        </w:rPr>
        <w:t>action</w:t>
      </w:r>
      <w:r w:rsidRPr="000051A0">
        <w:t>?</w:t>
      </w:r>
      <w:r w:rsidRPr="000051A0">
        <w:rPr>
          <w:lang w:val="en-US"/>
        </w:rPr>
        <w:t>pageId</w:t>
      </w:r>
      <w:r w:rsidRPr="000051A0">
        <w:t>=3178628.</w:t>
      </w:r>
    </w:p>
    <w:p w:rsidR="000051A0" w:rsidRPr="000051A0" w:rsidRDefault="000051A0" w:rsidP="000051A0">
      <w:pPr>
        <w:pStyle w:val="SingleTxtGR"/>
      </w:pPr>
      <w:r w:rsidRPr="000051A0">
        <w:t>7.</w:t>
      </w:r>
      <w:r w:rsidRPr="000051A0">
        <w:tab/>
        <w:t>С учетом сложности обсуждаемых вопросов неофициальная рабочая группа трижды – в ноябре 2014 года (</w:t>
      </w:r>
      <w:r w:rsidRPr="000051A0">
        <w:rPr>
          <w:lang w:val="en-US"/>
        </w:rPr>
        <w:t>ECE</w:t>
      </w:r>
      <w:r w:rsidRPr="000051A0">
        <w:t>/</w:t>
      </w:r>
      <w:r w:rsidRPr="000051A0">
        <w:rPr>
          <w:lang w:val="en-US"/>
        </w:rPr>
        <w:t>TRANS</w:t>
      </w:r>
      <w:r w:rsidRPr="000051A0">
        <w:t>/</w:t>
      </w:r>
      <w:r w:rsidRPr="000051A0">
        <w:rPr>
          <w:lang w:val="en-US"/>
        </w:rPr>
        <w:t>WP</w:t>
      </w:r>
      <w:r w:rsidRPr="000051A0">
        <w:t>.29/2014/87), ноябре 2015</w:t>
      </w:r>
      <w:r w:rsidR="00346468">
        <w:t> </w:t>
      </w:r>
      <w:r w:rsidRPr="000051A0">
        <w:t>года (</w:t>
      </w:r>
      <w:r w:rsidRPr="000051A0">
        <w:rPr>
          <w:lang w:val="en-US"/>
        </w:rPr>
        <w:t>ECE</w:t>
      </w:r>
      <w:r w:rsidRPr="000051A0">
        <w:t>/</w:t>
      </w:r>
      <w:r w:rsidRPr="000051A0">
        <w:rPr>
          <w:lang w:val="en-US"/>
        </w:rPr>
        <w:t>TRANS</w:t>
      </w:r>
      <w:r w:rsidRPr="000051A0">
        <w:t>/</w:t>
      </w:r>
      <w:r w:rsidRPr="000051A0">
        <w:rPr>
          <w:lang w:val="en-US"/>
        </w:rPr>
        <w:t>WP</w:t>
      </w:r>
      <w:r w:rsidRPr="000051A0">
        <w:t xml:space="preserve">.29/2016/30) и марте 2017 года (неофициальный документ </w:t>
      </w:r>
      <w:r w:rsidRPr="000051A0">
        <w:rPr>
          <w:lang w:val="en-US"/>
        </w:rPr>
        <w:t>WP</w:t>
      </w:r>
      <w:r w:rsidRPr="000051A0">
        <w:t>.29-171-33) – запрашивала продление мандата, причем каждый раз на один год.</w:t>
      </w:r>
      <w:r w:rsidR="001F27BD">
        <w:t xml:space="preserve"> </w:t>
      </w:r>
      <w:r w:rsidRPr="000051A0">
        <w:t>Цель НРГ состоит в том, чтобы обеспечить принятие данных ГТП ООН Всемирным форумом WP.29 на сессии в ноябре 2017 года.</w:t>
      </w:r>
    </w:p>
    <w:p w:rsidR="000051A0" w:rsidRPr="000051A0" w:rsidRDefault="000051A0" w:rsidP="000051A0">
      <w:pPr>
        <w:pStyle w:val="SingleTxtGR"/>
      </w:pPr>
      <w:r w:rsidRPr="000051A0">
        <w:t>8.</w:t>
      </w:r>
      <w:r w:rsidRPr="000051A0">
        <w:tab/>
        <w:t xml:space="preserve">Для эффективного решения конкретных технических проблем было учреждено девять целевых групп, которые провели в период с октября 2014 года по ноябрь 2016 года девять совещаний, помимо многочисленных веб-конференций. Во исполнение возложенного на них мандата этим целевым группам удалось с успехом решить широкий круг вопросов, связанных с безопасностью, однако по целому ряду важнейших проблем, в случае которых все еще продолжаются исследования и прорабатываются соответствующие методики, требуется проведение дополнительных обсуждений. </w:t>
      </w:r>
    </w:p>
    <w:p w:rsidR="000051A0" w:rsidRPr="000051A0" w:rsidRDefault="000051A0" w:rsidP="000051A0">
      <w:pPr>
        <w:pStyle w:val="SingleTxtGR"/>
      </w:pPr>
      <w:r w:rsidRPr="000051A0">
        <w:t>9.</w:t>
      </w:r>
      <w:r w:rsidRPr="000051A0">
        <w:tab/>
        <w:t>В этих обстоятельствах НРГ решила, что наиболее приемлемым подходом к разработке ГТП ООН во исполнение возложенного на нее мандата является рассмотрение согласованных вопросов, касающихся безопасности, на этапе 1, тогда как требования к безопасности, которые предполагают необходимость долгосрочных исследований, аспекты проверки и дальнейшее совершенствование ГТП ООН, следует рассмотреть на этапе 2, который, как ожидается, начнется в самое ближайшее время.</w:t>
      </w:r>
    </w:p>
    <w:p w:rsidR="000051A0" w:rsidRPr="000051A0" w:rsidRDefault="000051A0" w:rsidP="001F27BD">
      <w:pPr>
        <w:pStyle w:val="SingleTxtGR"/>
        <w:pageBreakBefore/>
      </w:pPr>
      <w:r w:rsidRPr="000051A0">
        <w:lastRenderedPageBreak/>
        <w:t>10.</w:t>
      </w:r>
      <w:r w:rsidRPr="000051A0">
        <w:tab/>
        <w:t xml:space="preserve">Настоящие Правила применяются к транспортным средствам категории 1 и категории 2, максимальная расчетная скорость которых превышает 25 км/ч и которые оснащены электрическим приводом с высоковольтной шиной, за исключением транспортных средств, имеющих постоянное соединение с сетью. </w:t>
      </w:r>
    </w:p>
    <w:p w:rsidR="000051A0" w:rsidRPr="000051A0" w:rsidRDefault="000051A0" w:rsidP="000051A0">
      <w:pPr>
        <w:pStyle w:val="SingleTxtGR"/>
      </w:pPr>
      <w:r w:rsidRPr="000051A0">
        <w:t>11.</w:t>
      </w:r>
      <w:r w:rsidRPr="000051A0">
        <w:tab/>
        <w:t>Настоящие Правила включают следующие два свода требований, которые Договаривающиеся стороны могут выбирать в зависимости от категории транспортных средств и их полной массы (ПМТС):</w:t>
      </w:r>
    </w:p>
    <w:p w:rsidR="000051A0" w:rsidRPr="000051A0" w:rsidRDefault="000051A0" w:rsidP="00703695">
      <w:pPr>
        <w:pStyle w:val="SingleTxtGR"/>
      </w:pPr>
      <w:r w:rsidRPr="000051A0">
        <w:tab/>
      </w:r>
      <w:r w:rsidRPr="000051A0">
        <w:rPr>
          <w:lang w:val="en-US"/>
        </w:rPr>
        <w:t>a</w:t>
      </w:r>
      <w:r w:rsidRPr="000051A0">
        <w:t>)</w:t>
      </w:r>
      <w:r w:rsidRPr="000051A0">
        <w:tab/>
        <w:t>для всех транспортных средств категории 1-1 и транспортных средств категории 1-2 и 2 с ПМТС менее 4 536 кг или менее, требования пунктов 5 и 6 должны применяться в соответствии с общими требованиями, указанными в пункте 4;</w:t>
      </w:r>
    </w:p>
    <w:p w:rsidR="000051A0" w:rsidRPr="000051A0" w:rsidRDefault="000051A0" w:rsidP="00703695">
      <w:pPr>
        <w:pStyle w:val="SingleTxtGR"/>
      </w:pPr>
      <w:r w:rsidRPr="000051A0">
        <w:tab/>
      </w:r>
      <w:r w:rsidRPr="000051A0">
        <w:rPr>
          <w:lang w:val="en-US"/>
        </w:rPr>
        <w:t>b</w:t>
      </w:r>
      <w:r w:rsidRPr="000051A0">
        <w:t>)</w:t>
      </w:r>
      <w:r w:rsidRPr="000051A0">
        <w:tab/>
        <w:t xml:space="preserve">для транспортных средств категории 1-2 и категории 2 с ПМТС, превышающей 3 500 кг, требования пунктов </w:t>
      </w:r>
      <w:r w:rsidR="00346468">
        <w:t>7</w:t>
      </w:r>
      <w:r w:rsidRPr="000051A0">
        <w:t xml:space="preserve"> и </w:t>
      </w:r>
      <w:r w:rsidR="00346468">
        <w:t>8</w:t>
      </w:r>
      <w:r w:rsidRPr="000051A0">
        <w:t xml:space="preserve"> должны применяться в соответствии с общими требованиями, указанными в пункте 4.</w:t>
      </w:r>
    </w:p>
    <w:p w:rsidR="000051A0" w:rsidRPr="000051A0" w:rsidRDefault="000051A0" w:rsidP="000051A0">
      <w:pPr>
        <w:pStyle w:val="SingleTxtGR"/>
      </w:pPr>
      <w:r w:rsidRPr="000051A0">
        <w:t>12.</w:t>
      </w:r>
      <w:r w:rsidRPr="000051A0">
        <w:tab/>
        <w:t>К транспортным средствам и ПСХЭЭ применяются конкретные эксплуатационные требования, ориентированные на предотвращение риска для водителя и пассажиров электромобилей в обычных условиях эксплуатации.</w:t>
      </w:r>
      <w:r w:rsidR="001F27BD">
        <w:t xml:space="preserve"> </w:t>
      </w:r>
      <w:r w:rsidRPr="000051A0">
        <w:t>В случае транспортных средств эти требования касаются защиты от прямого и непрямого поражения электрическим током и предусматривают маркировку источников высокого напряжения, электрическую изоляцию, защиту от воздействия воды, обеспечение функциональной безопасности после запуска двигателя транспортного средства, а также выхода из транспортного средства и защиту от электрошока в процессе зарядки.</w:t>
      </w:r>
    </w:p>
    <w:p w:rsidR="000051A0" w:rsidRPr="000051A0" w:rsidRDefault="000051A0" w:rsidP="000051A0">
      <w:pPr>
        <w:pStyle w:val="SingleTxtGR"/>
      </w:pPr>
      <w:r w:rsidRPr="000051A0">
        <w:t>13.</w:t>
      </w:r>
      <w:r w:rsidRPr="000051A0">
        <w:tab/>
        <w:t>Что касается защиты от воздействия воды, то изготовители могут по своему усмотрению либо представить нужные доказательства на основе оценки соответствующих элементов, либо провести испытание транспортного средства на конденсацию влаги.</w:t>
      </w:r>
      <w:r w:rsidR="001F27BD">
        <w:t xml:space="preserve"> </w:t>
      </w:r>
      <w:r w:rsidRPr="000051A0">
        <w:t xml:space="preserve">В качестве альтернативы Договаривающиеся стороны могут запрашивать освобождение от выполнения вышеуказанных требований в отношении транспортных средств, оснащенных системой контроля за сопротивлением изоляции. </w:t>
      </w:r>
    </w:p>
    <w:p w:rsidR="000051A0" w:rsidRPr="000051A0" w:rsidRDefault="000051A0" w:rsidP="000051A0">
      <w:pPr>
        <w:pStyle w:val="SingleTxtGR"/>
      </w:pPr>
      <w:r w:rsidRPr="000051A0">
        <w:t>14.</w:t>
      </w:r>
      <w:r w:rsidRPr="000051A0">
        <w:tab/>
        <w:t>Эксплуатационные требования в отношении ПСХЭЭ, включая систему управления батареей (СУБ), связаны с обеспечением безопасности в обычных условиях эксплуатации транспортного средства при наличии вибрации и испытании на удар и циклические резкие колебания в диапазоне низких и высоких значений наружной температуры, обусловливающих механическое напряжение соответствующих компонентов.</w:t>
      </w:r>
      <w:r w:rsidR="001F27BD">
        <w:t xml:space="preserve"> </w:t>
      </w:r>
      <w:r w:rsidRPr="000051A0">
        <w:t>Кроме того, эти требования касаются огнестойкости ПСХЭЭ, обеспечивающей надлежащее время для эвакуации водителя и пассажиров из транспортного средства, а также определения условий защиты для ПСХЭЭ в случае избыточного заряда, чрезмерного разряда, перегрева, чрезмерного напряжения и короткого замыкания вне зоны действия релейной защиты. Эти испытания могут проводиться также и на транспортном средстве.</w:t>
      </w:r>
      <w:r w:rsidR="001F27BD">
        <w:t xml:space="preserve"> </w:t>
      </w:r>
      <w:r w:rsidRPr="000051A0">
        <w:t>Что касается испытания на огнестойкость, то НРГ разработала альтернативную процедуру с использованием горелки со сжиженным нефтяным газом (СНГ).</w:t>
      </w:r>
    </w:p>
    <w:p w:rsidR="000051A0" w:rsidRPr="000051A0" w:rsidRDefault="000051A0" w:rsidP="000051A0">
      <w:pPr>
        <w:pStyle w:val="SingleTxtGR"/>
      </w:pPr>
      <w:r w:rsidRPr="000051A0">
        <w:t>15.</w:t>
      </w:r>
      <w:r w:rsidRPr="000051A0">
        <w:tab/>
        <w:t>Особенно важным аспектом этих ГТП является очистка газов.</w:t>
      </w:r>
      <w:r w:rsidR="001F27BD">
        <w:t xml:space="preserve"> </w:t>
      </w:r>
      <w:r w:rsidRPr="000051A0">
        <w:t>Во избежание вреда, который может быть нанесен человеку в результате потенциально токсичных или коррозионных выбросов, применительно к ПСХЭЭ (за исключением тяговых батарей открытого типа) стравливание принимается в качестве критерия прохождения/непрохождения для следующих испытаний в условиях эксплуатации: на виброустойчивость, на термический удар и циклическое изменение температуры, на защиту от внешнего короткого замыкания, на защиту от избыточной зарядки, на защиту от чрезмерной разрядки, на защиту от перегрева и на защиту от перегрузки по току. Эти правила предусматривают соответствующий критерий пожаробезопасности, который регламентирует воспламеняемость стравливаемого газа.</w:t>
      </w:r>
    </w:p>
    <w:p w:rsidR="000051A0" w:rsidRPr="000051A0" w:rsidRDefault="000051A0" w:rsidP="000051A0">
      <w:pPr>
        <w:pStyle w:val="SingleTxtGR"/>
      </w:pPr>
      <w:r w:rsidRPr="000051A0">
        <w:lastRenderedPageBreak/>
        <w:t>16.</w:t>
      </w:r>
      <w:r w:rsidRPr="000051A0">
        <w:tab/>
        <w:t>Неофициальная рабочая группа рассмотрела целесообразность разработки – для использования в ходе испытания в условиях эксплуатации – надежного и воспроизводимого метода проверки на наличие стравливания, а также потенциального воздействия на водителя и пассажиров газов, выбрасываемых при стравливании, т.е. при воспламенении и/или разложении электролита.</w:t>
      </w:r>
      <w:r w:rsidR="001F27BD">
        <w:t xml:space="preserve"> </w:t>
      </w:r>
      <w:r w:rsidRPr="000051A0">
        <w:t>На данном этапе ни один из методов (за исключением метода визуального наблюдения), который можно было бы взять за основу оценки влияния стравливаемых газов на водителя и пассажиров транспортного средства, не был признан подходящим для проверки на наличие стравливания. Результаты этого исследования указывают на то, что в будущем, возможно, потребуется внести изменения в требования и методы, касающиеся утечки и испарения безводного электролита.</w:t>
      </w:r>
    </w:p>
    <w:p w:rsidR="000051A0" w:rsidRPr="000051A0" w:rsidRDefault="000051A0" w:rsidP="000051A0">
      <w:pPr>
        <w:pStyle w:val="SingleTxtGR"/>
      </w:pPr>
      <w:r w:rsidRPr="000051A0">
        <w:t>17.</w:t>
      </w:r>
      <w:r w:rsidRPr="000051A0">
        <w:tab/>
        <w:t xml:space="preserve">Процедура испытания на распространение тепла </w:t>
      </w:r>
      <w:r w:rsidR="00163FEF">
        <w:t>в</w:t>
      </w:r>
      <w:r w:rsidRPr="000051A0">
        <w:t xml:space="preserve"> случае короткого замыкания в зоне действия защиты в качестве отдельного требования пока не принята.</w:t>
      </w:r>
      <w:r w:rsidR="001F27BD">
        <w:t xml:space="preserve"> </w:t>
      </w:r>
      <w:r w:rsidRPr="000051A0">
        <w:t xml:space="preserve">Изготовители транспортных средств предоставляют документацию, подтверждающую способность транспортного средства сводить к минимуму риск, связанный с автономной термической нестабильностью, обусловленной коротким замыканием в зоне действия защиты. Кроме того, транспортное средство должно оснащаться средствами заблаговременной сигнализации, с тем чтобы водитель и пассажиры могли покинуть пассажирский салон за пять минут до возникновения в нем опасных условий. </w:t>
      </w:r>
    </w:p>
    <w:p w:rsidR="000051A0" w:rsidRPr="000051A0" w:rsidRDefault="000051A0" w:rsidP="000051A0">
      <w:pPr>
        <w:pStyle w:val="SingleTxtGR"/>
      </w:pPr>
      <w:r w:rsidRPr="000051A0">
        <w:t>18.</w:t>
      </w:r>
      <w:r w:rsidRPr="000051A0">
        <w:tab/>
        <w:t xml:space="preserve">Данные ГТП предусматривают варианты предупреждения в случае соответствующих режимов работы ПСХЭЭ и конкретные требования к оценке собственных функций бортовых средств контроля, обеспечивающих безопасное функционирование ПСХЭЭ в случае избыточного заряда, чрезмерного разряда, перегрева и чрезмерного напряжения. </w:t>
      </w:r>
    </w:p>
    <w:p w:rsidR="000051A0" w:rsidRPr="000051A0" w:rsidRDefault="000051A0" w:rsidP="000051A0">
      <w:pPr>
        <w:pStyle w:val="SingleTxtGR"/>
      </w:pPr>
      <w:r w:rsidRPr="000051A0">
        <w:t>19.</w:t>
      </w:r>
      <w:r w:rsidRPr="000051A0">
        <w:tab/>
        <w:t>Из-за сложности и разнообразия конструкций органов управления транспортного средства, от которых зависит безопасное функционирование ПСХЭЭ, разработать единую процедуру испытаний, позволяющую в полной мере оценить, сработает ли предупреждающее сигнальное устройство в случае эксплуатационного отказа СУБ, не представляется возможным. Именно поэтому изготовители обязаны представлять документацию, свидетельствующую о том, что в случае эксплуатационного отказа одного или более органов управления транспортного средства, от которых зависит безопасное функционирование ПСХЭЭ, водитель получит предупреждающий сигнал.</w:t>
      </w:r>
    </w:p>
    <w:p w:rsidR="000051A0" w:rsidRPr="000051A0" w:rsidRDefault="000051A0" w:rsidP="000051A0">
      <w:pPr>
        <w:pStyle w:val="SingleTxtGR"/>
      </w:pPr>
      <w:r w:rsidRPr="000051A0">
        <w:t>20.</w:t>
      </w:r>
      <w:r w:rsidRPr="000051A0">
        <w:tab/>
        <w:t>Два дополнительных свода требований предусматривают предупреждение водителя в случае критической неисправности ПСХЭЭ и снижения энергоемкости ПСХЭЭ.</w:t>
      </w:r>
    </w:p>
    <w:p w:rsidR="000051A0" w:rsidRPr="000051A0" w:rsidRDefault="000051A0" w:rsidP="000051A0">
      <w:pPr>
        <w:pStyle w:val="SingleTxtGR"/>
      </w:pPr>
      <w:r w:rsidRPr="000051A0">
        <w:t>21.</w:t>
      </w:r>
      <w:r w:rsidRPr="000051A0">
        <w:tab/>
        <w:t xml:space="preserve">НРГ обратила особое внимание на согласование спецификаций для корректировки степени зарядки (СЗ) до начала испытаний, в частности тех из них, которые регламентируют случаи тепловых явлений с учетом того факта, что СЗ ПСХЭЭ может оказать существенное воздействие на подверженность ПСХЭЭ установленным требованиям к испытаниям. </w:t>
      </w:r>
    </w:p>
    <w:p w:rsidR="000051A0" w:rsidRPr="000051A0" w:rsidRDefault="000051A0" w:rsidP="000051A0">
      <w:pPr>
        <w:pStyle w:val="SingleTxtGR"/>
      </w:pPr>
      <w:r w:rsidRPr="000051A0">
        <w:t>22.</w:t>
      </w:r>
      <w:r w:rsidRPr="000051A0">
        <w:tab/>
        <w:t>Каждая Договаривающаяся сторона Соглашения ООН 1998 года может сохранять свои существующие национальные испытания на столкновение (например, лобовое, боковое, наезд сзади или опрокидывание) и обеспечивает соответствие послеаварийным эксплуатационным требованиям ГТП.</w:t>
      </w:r>
    </w:p>
    <w:p w:rsidR="000051A0" w:rsidRPr="000051A0" w:rsidRDefault="000051A0" w:rsidP="000051A0">
      <w:pPr>
        <w:pStyle w:val="SingleTxtGR"/>
      </w:pPr>
      <w:r w:rsidRPr="000051A0">
        <w:t>23.</w:t>
      </w:r>
      <w:r w:rsidRPr="000051A0">
        <w:tab/>
        <w:t>Послеаварийные требования к транспортным средствам сосредоточены на предотвращении возникновения риска для водителя и пассажиров и обеспечении безопасности ПСХЭЭ после аварии. Эти требования предусматривают защиту от электрошока, которая может обеспечиваться при помощи одного из следующих средств: низкопотенциальной электроэнергии, низкого напряжения, физической защиты или сопротивления изоляции.</w:t>
      </w:r>
    </w:p>
    <w:p w:rsidR="000051A0" w:rsidRPr="000051A0" w:rsidRDefault="000051A0" w:rsidP="000051A0">
      <w:pPr>
        <w:pStyle w:val="SingleTxtGR"/>
      </w:pPr>
      <w:r w:rsidRPr="000051A0">
        <w:t>24.</w:t>
      </w:r>
      <w:r w:rsidRPr="000051A0">
        <w:tab/>
        <w:t>Послеаварийные требования к безопасности ПСХЭЭ на борту транспортного средства связаны с проблемами утечки электролита, пожарной безопасно</w:t>
      </w:r>
      <w:r w:rsidRPr="000051A0">
        <w:lastRenderedPageBreak/>
        <w:t>сти и удерживания ПСХЭЭ, которая должна оставаться прикрепленной по меньшей мере к одному элементу и не проникать в пассажирский салон.</w:t>
      </w:r>
      <w:r w:rsidR="001F27BD">
        <w:t xml:space="preserve"> </w:t>
      </w:r>
      <w:r w:rsidR="00703695">
        <w:t>На</w:t>
      </w:r>
      <w:r w:rsidR="00703695">
        <w:rPr>
          <w:lang w:val="en-US"/>
        </w:rPr>
        <w:t> </w:t>
      </w:r>
      <w:r w:rsidRPr="000051A0">
        <w:t>данный момент стравливание не предусматривается в качестве отдельного требования при испытаниях на безопасность ПСХЭЭ после столкновения.</w:t>
      </w:r>
      <w:r w:rsidR="001F27BD">
        <w:t xml:space="preserve"> </w:t>
      </w:r>
      <w:r w:rsidRPr="000051A0">
        <w:t xml:space="preserve">В качестве двух испытаний на оценку послеаварийной эффективности ПСХЭЭ в контексте отдельных элементов используются испытания на механический удар и механическую прочность конструкции. </w:t>
      </w:r>
    </w:p>
    <w:p w:rsidR="000051A0" w:rsidRPr="000051A0" w:rsidRDefault="000051A0" w:rsidP="000051A0">
      <w:pPr>
        <w:pStyle w:val="SingleTxtGR"/>
      </w:pPr>
      <w:r w:rsidRPr="000051A0">
        <w:t>25.</w:t>
      </w:r>
      <w:r w:rsidRPr="000051A0">
        <w:tab/>
        <w:t>Важно иметь в виду, что ГТП предусматривают требования о безопасности транспортных средств большой грузоподъемности, охватывающие аспекты общей электробезопасности транспортного средства, функциональной безопасности отдельного транспортного средства, безопасности ПЭАС в условиях эксплуатации и инерционной нагрузки на ПСХЭЭ.</w:t>
      </w:r>
      <w:r w:rsidR="001F27BD">
        <w:t xml:space="preserve"> </w:t>
      </w:r>
      <w:r w:rsidRPr="000051A0">
        <w:t xml:space="preserve">Испытания и требования, касающиеся транспортных средств большой грузоподъемности, по большей части аналогичны тем, которые предусмотрены для пассажирских транспортных средств. </w:t>
      </w:r>
    </w:p>
    <w:p w:rsidR="00E12C5F" w:rsidRPr="001F27BD" w:rsidRDefault="000051A0" w:rsidP="000051A0">
      <w:pPr>
        <w:pStyle w:val="SingleTxtGR"/>
      </w:pPr>
      <w:r w:rsidRPr="000051A0">
        <w:t>26.</w:t>
      </w:r>
      <w:r w:rsidRPr="000051A0">
        <w:tab/>
        <w:t>И наконец, несмотря на то, что основная цель НРГ состоит в разработке как можно более полноценных ГТП ООН, касающихся БЭМ, работа по аспектам распространения тепла продолжается, равно как продолжается и работа над методами активации, разработку которых следует завершить на этапе 2.</w:t>
      </w:r>
      <w:r w:rsidR="001F27BD">
        <w:t xml:space="preserve"> </w:t>
      </w:r>
      <w:r w:rsidRPr="000051A0">
        <w:t>Другие технические вопросы, которые можно было бы рассмотреть на этапе 2, включают испытание ПСХЭЭ на погружение в воду, более продолжительное испытание на огнестойкость, проверку на направление вращения ПСХЭЭ и ее вибрационные особенности, выявление огнестойкости, токсичности и коррозийной агрессивности выходящего газа, послеаварийную оценку безопасности ПСХЭЭ и процедуру стабилизации, требования по безопасности, касающиеся легковесных и тихоходных электромобилей, а также обеспечение защиты при зарядке с использованием переменного и постоянного тока.</w:t>
      </w:r>
    </w:p>
    <w:p w:rsidR="000051A0" w:rsidRPr="001F27BD" w:rsidRDefault="000051A0" w:rsidP="000051A0">
      <w:pPr>
        <w:pStyle w:val="SingleTxtGR"/>
        <w:spacing w:before="240" w:after="0"/>
        <w:jc w:val="center"/>
        <w:rPr>
          <w:u w:val="single"/>
        </w:rPr>
      </w:pPr>
      <w:r w:rsidRPr="001F27BD">
        <w:rPr>
          <w:u w:val="single"/>
        </w:rPr>
        <w:tab/>
      </w:r>
      <w:r w:rsidRPr="001F27BD">
        <w:rPr>
          <w:u w:val="single"/>
        </w:rPr>
        <w:tab/>
      </w:r>
      <w:r w:rsidRPr="001F27BD">
        <w:rPr>
          <w:u w:val="single"/>
        </w:rPr>
        <w:tab/>
      </w:r>
    </w:p>
    <w:sectPr w:rsidR="000051A0" w:rsidRPr="001F27BD" w:rsidSect="00005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41" w:rsidRPr="00A312BC" w:rsidRDefault="00E90B41" w:rsidP="00A312BC"/>
  </w:endnote>
  <w:endnote w:type="continuationSeparator" w:id="0">
    <w:p w:rsidR="00E90B41" w:rsidRPr="00A312BC" w:rsidRDefault="00E90B4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A0" w:rsidRPr="000051A0" w:rsidRDefault="000051A0">
    <w:pPr>
      <w:pStyle w:val="Footer"/>
    </w:pPr>
    <w:r w:rsidRPr="000051A0">
      <w:rPr>
        <w:b/>
        <w:sz w:val="18"/>
      </w:rPr>
      <w:fldChar w:fldCharType="begin"/>
    </w:r>
    <w:r w:rsidRPr="000051A0">
      <w:rPr>
        <w:b/>
        <w:sz w:val="18"/>
      </w:rPr>
      <w:instrText xml:space="preserve"> PAGE  \* MERGEFORMAT </w:instrText>
    </w:r>
    <w:r w:rsidRPr="000051A0">
      <w:rPr>
        <w:b/>
        <w:sz w:val="18"/>
      </w:rPr>
      <w:fldChar w:fldCharType="separate"/>
    </w:r>
    <w:r w:rsidR="00066022">
      <w:rPr>
        <w:b/>
        <w:noProof/>
        <w:sz w:val="18"/>
      </w:rPr>
      <w:t>2</w:t>
    </w:r>
    <w:r w:rsidRPr="000051A0">
      <w:rPr>
        <w:b/>
        <w:sz w:val="18"/>
      </w:rPr>
      <w:fldChar w:fldCharType="end"/>
    </w:r>
    <w:r>
      <w:rPr>
        <w:b/>
        <w:sz w:val="18"/>
      </w:rPr>
      <w:tab/>
    </w:r>
    <w:r>
      <w:t>GE.17-14596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A0" w:rsidRPr="000051A0" w:rsidRDefault="000051A0" w:rsidP="000051A0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GE.17-14596</w:t>
    </w:r>
    <w:r>
      <w:tab/>
    </w:r>
    <w:r w:rsidRPr="000051A0">
      <w:rPr>
        <w:b/>
        <w:sz w:val="18"/>
      </w:rPr>
      <w:fldChar w:fldCharType="begin"/>
    </w:r>
    <w:r w:rsidRPr="000051A0">
      <w:rPr>
        <w:b/>
        <w:sz w:val="18"/>
      </w:rPr>
      <w:instrText xml:space="preserve"> PAGE  \* MERGEFORMAT </w:instrText>
    </w:r>
    <w:r w:rsidRPr="000051A0">
      <w:rPr>
        <w:b/>
        <w:sz w:val="18"/>
      </w:rPr>
      <w:fldChar w:fldCharType="separate"/>
    </w:r>
    <w:r w:rsidR="00066022">
      <w:rPr>
        <w:b/>
        <w:noProof/>
        <w:sz w:val="18"/>
      </w:rPr>
      <w:t>5</w:t>
    </w:r>
    <w:r w:rsidRPr="000051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051A0" w:rsidRDefault="000051A0" w:rsidP="000051A0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99AFE1" wp14:editId="4BFD136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17-14596  (R)</w:t>
    </w:r>
    <w:r>
      <w:rPr>
        <w:lang w:val="en-US"/>
      </w:rPr>
      <w:t xml:space="preserve">  120917  </w:t>
    </w:r>
    <w:r w:rsidR="000E53CE">
      <w:t>19</w:t>
    </w:r>
    <w:r>
      <w:rPr>
        <w:lang w:val="en-US"/>
      </w:rPr>
      <w:t>0917</w:t>
    </w:r>
    <w:r>
      <w:br/>
    </w:r>
    <w:r w:rsidRPr="000051A0">
      <w:rPr>
        <w:rFonts w:ascii="C39T30Lfz" w:hAnsi="C39T30Lfz"/>
        <w:spacing w:val="0"/>
        <w:w w:val="100"/>
        <w:sz w:val="56"/>
      </w:rPr>
      <w:t></w:t>
    </w:r>
    <w:r w:rsidRPr="000051A0">
      <w:rPr>
        <w:rFonts w:ascii="C39T30Lfz" w:hAnsi="C39T30Lfz"/>
        <w:spacing w:val="0"/>
        <w:w w:val="100"/>
        <w:sz w:val="56"/>
      </w:rPr>
      <w:t></w:t>
    </w:r>
    <w:r w:rsidRPr="000051A0">
      <w:rPr>
        <w:rFonts w:ascii="C39T30Lfz" w:hAnsi="C39T30Lfz"/>
        <w:spacing w:val="0"/>
        <w:w w:val="100"/>
        <w:sz w:val="56"/>
      </w:rPr>
      <w:t></w:t>
    </w:r>
    <w:r w:rsidRPr="000051A0">
      <w:rPr>
        <w:rFonts w:ascii="C39T30Lfz" w:hAnsi="C39T30Lfz"/>
        <w:spacing w:val="0"/>
        <w:w w:val="100"/>
        <w:sz w:val="56"/>
      </w:rPr>
      <w:t></w:t>
    </w:r>
    <w:r w:rsidRPr="000051A0">
      <w:rPr>
        <w:rFonts w:ascii="C39T30Lfz" w:hAnsi="C39T30Lfz"/>
        <w:spacing w:val="0"/>
        <w:w w:val="100"/>
        <w:sz w:val="56"/>
      </w:rPr>
      <w:t></w:t>
    </w:r>
    <w:r w:rsidRPr="000051A0">
      <w:rPr>
        <w:rFonts w:ascii="C39T30Lfz" w:hAnsi="C39T30Lfz"/>
        <w:spacing w:val="0"/>
        <w:w w:val="100"/>
        <w:sz w:val="56"/>
      </w:rPr>
      <w:t></w:t>
    </w:r>
    <w:r w:rsidRPr="000051A0">
      <w:rPr>
        <w:rFonts w:ascii="C39T30Lfz" w:hAnsi="C39T30Lfz"/>
        <w:spacing w:val="0"/>
        <w:w w:val="100"/>
        <w:sz w:val="56"/>
      </w:rPr>
      <w:t></w:t>
    </w:r>
    <w:r w:rsidRPr="000051A0">
      <w:rPr>
        <w:rFonts w:ascii="C39T30Lfz" w:hAnsi="C39T30Lfz"/>
        <w:spacing w:val="0"/>
        <w:w w:val="100"/>
        <w:sz w:val="56"/>
      </w:rPr>
      <w:t></w:t>
    </w:r>
    <w:r w:rsidRPr="000051A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13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3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41" w:rsidRPr="001075E9" w:rsidRDefault="00E90B4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90B41" w:rsidRDefault="00E90B4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051A0" w:rsidRPr="00966DB6" w:rsidRDefault="000051A0" w:rsidP="000051A0">
      <w:pPr>
        <w:pStyle w:val="FootnoteText"/>
        <w:rPr>
          <w:sz w:val="20"/>
          <w:lang w:val="ru-RU"/>
        </w:rPr>
      </w:pPr>
      <w:r>
        <w:tab/>
      </w:r>
      <w:r w:rsidRPr="000051A0">
        <w:rPr>
          <w:rStyle w:val="FootnoteReference"/>
          <w:sz w:val="20"/>
          <w:vertAlign w:val="baseline"/>
          <w:lang w:val="ru-RU"/>
        </w:rPr>
        <w:t>*</w:t>
      </w:r>
      <w:r w:rsidRPr="00966DB6">
        <w:rPr>
          <w:sz w:val="20"/>
          <w:lang w:val="ru-RU"/>
        </w:rPr>
        <w:tab/>
      </w:r>
      <w:r w:rsidRPr="00FF4013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Pr="000051A0">
        <w:rPr>
          <w:szCs w:val="18"/>
          <w:lang w:val="ru-RU"/>
        </w:rPr>
        <w:br/>
      </w:r>
      <w:r w:rsidRPr="00FF4013">
        <w:rPr>
          <w:szCs w:val="18"/>
          <w:lang w:val="ru-RU"/>
        </w:rPr>
        <w:t>на 2016–2017 годы (</w:t>
      </w:r>
      <w:r w:rsidRPr="00FF4013">
        <w:rPr>
          <w:szCs w:val="18"/>
        </w:rPr>
        <w:t>ECE</w:t>
      </w:r>
      <w:r w:rsidRPr="00FF4013">
        <w:rPr>
          <w:szCs w:val="18"/>
          <w:lang w:val="ru-RU"/>
        </w:rPr>
        <w:t>/</w:t>
      </w:r>
      <w:r w:rsidRPr="00FF4013">
        <w:rPr>
          <w:szCs w:val="18"/>
        </w:rPr>
        <w:t>TRANS</w:t>
      </w:r>
      <w:r w:rsidRPr="00FF4013">
        <w:rPr>
          <w:szCs w:val="18"/>
          <w:lang w:val="ru-RU"/>
        </w:rPr>
        <w:t xml:space="preserve">/254, пункт 159, и </w:t>
      </w:r>
      <w:r w:rsidRPr="00FF4013">
        <w:rPr>
          <w:szCs w:val="18"/>
        </w:rPr>
        <w:t>ECE</w:t>
      </w:r>
      <w:r w:rsidRPr="00FF4013">
        <w:rPr>
          <w:szCs w:val="18"/>
          <w:lang w:val="ru-RU"/>
        </w:rPr>
        <w:t>/</w:t>
      </w:r>
      <w:r w:rsidRPr="00FF4013">
        <w:rPr>
          <w:szCs w:val="18"/>
        </w:rPr>
        <w:t>TRANS</w:t>
      </w:r>
      <w:r w:rsidRPr="00FF4013">
        <w:rPr>
          <w:szCs w:val="18"/>
          <w:lang w:val="ru-RU"/>
        </w:rPr>
        <w:t>/2016/28/</w:t>
      </w:r>
      <w:r w:rsidRPr="00FF4013">
        <w:rPr>
          <w:szCs w:val="18"/>
        </w:rPr>
        <w:t>Add</w:t>
      </w:r>
      <w:r w:rsidRPr="00FF4013">
        <w:rPr>
          <w:szCs w:val="18"/>
          <w:lang w:val="ru-RU"/>
        </w:rPr>
        <w:t>.1, направление работы 3.1) Всемирный форум будет разрабатывать, согласовывать и</w:t>
      </w:r>
      <w:r>
        <w:rPr>
          <w:szCs w:val="18"/>
          <w:lang w:val="en-US"/>
        </w:rPr>
        <w:t> </w:t>
      </w:r>
      <w:r w:rsidRPr="00FF4013">
        <w:rPr>
          <w:szCs w:val="18"/>
          <w:lang w:val="ru-RU"/>
        </w:rPr>
        <w:t>обновлять правила в целях улучшения характеристик транспортных средств</w:t>
      </w:r>
      <w:r>
        <w:rPr>
          <w:szCs w:val="18"/>
          <w:lang w:val="ru-RU"/>
        </w:rPr>
        <w:t xml:space="preserve">.  </w:t>
      </w:r>
      <w:r w:rsidRPr="00FF4013">
        <w:rPr>
          <w:szCs w:val="18"/>
          <w:lang w:val="ru-RU"/>
        </w:rPr>
        <w:t>Настоящий</w:t>
      </w:r>
      <w:r w:rsidRPr="00EB6EF0">
        <w:rPr>
          <w:szCs w:val="18"/>
          <w:lang w:val="ru-RU"/>
        </w:rPr>
        <w:t xml:space="preserve"> </w:t>
      </w:r>
      <w:r w:rsidRPr="00FF4013">
        <w:rPr>
          <w:szCs w:val="18"/>
          <w:lang w:val="ru-RU"/>
        </w:rPr>
        <w:t>документ</w:t>
      </w:r>
      <w:r w:rsidRPr="00EB6EF0">
        <w:rPr>
          <w:szCs w:val="18"/>
          <w:lang w:val="ru-RU"/>
        </w:rPr>
        <w:t xml:space="preserve"> </w:t>
      </w:r>
      <w:r w:rsidRPr="00FF4013">
        <w:rPr>
          <w:szCs w:val="18"/>
          <w:lang w:val="ru-RU"/>
        </w:rPr>
        <w:t>представлен</w:t>
      </w:r>
      <w:r w:rsidRPr="00EB6EF0">
        <w:rPr>
          <w:szCs w:val="18"/>
          <w:lang w:val="ru-RU"/>
        </w:rPr>
        <w:t xml:space="preserve"> </w:t>
      </w:r>
      <w:r w:rsidRPr="00FF4013">
        <w:rPr>
          <w:szCs w:val="18"/>
          <w:lang w:val="ru-RU"/>
        </w:rPr>
        <w:t>в</w:t>
      </w:r>
      <w:r w:rsidRPr="00EB6EF0">
        <w:rPr>
          <w:szCs w:val="18"/>
          <w:lang w:val="ru-RU"/>
        </w:rPr>
        <w:t xml:space="preserve"> </w:t>
      </w:r>
      <w:r w:rsidRPr="00FF4013">
        <w:rPr>
          <w:szCs w:val="18"/>
          <w:lang w:val="ru-RU"/>
        </w:rPr>
        <w:t>соответствии</w:t>
      </w:r>
      <w:r w:rsidRPr="00EB6EF0">
        <w:rPr>
          <w:szCs w:val="18"/>
          <w:lang w:val="ru-RU"/>
        </w:rPr>
        <w:t xml:space="preserve"> </w:t>
      </w:r>
      <w:r w:rsidRPr="00FF4013">
        <w:rPr>
          <w:szCs w:val="18"/>
          <w:lang w:val="ru-RU"/>
        </w:rPr>
        <w:t>с</w:t>
      </w:r>
      <w:r w:rsidRPr="00EB6EF0">
        <w:rPr>
          <w:szCs w:val="18"/>
          <w:lang w:val="ru-RU"/>
        </w:rPr>
        <w:t xml:space="preserve"> </w:t>
      </w:r>
      <w:r w:rsidRPr="00FF4013">
        <w:rPr>
          <w:szCs w:val="18"/>
          <w:lang w:val="ru-RU"/>
        </w:rPr>
        <w:t>этим</w:t>
      </w:r>
      <w:r w:rsidRPr="00EB6EF0">
        <w:rPr>
          <w:szCs w:val="18"/>
          <w:lang w:val="ru-RU"/>
        </w:rPr>
        <w:t xml:space="preserve"> </w:t>
      </w:r>
      <w:r w:rsidRPr="00FF4013">
        <w:rPr>
          <w:szCs w:val="18"/>
          <w:lang w:val="ru-RU"/>
        </w:rPr>
        <w:t>мандатом</w:t>
      </w:r>
      <w:r w:rsidRPr="000051A0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A0" w:rsidRPr="000051A0" w:rsidRDefault="00E91DCF">
    <w:pPr>
      <w:pStyle w:val="Header"/>
    </w:pPr>
    <w:fldSimple w:instr=" TITLE  \* MERGEFORMAT ">
      <w:r w:rsidR="00066022">
        <w:t>ECE/TRANS/WP.29/2017/139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A0" w:rsidRPr="000051A0" w:rsidRDefault="00E91DCF" w:rsidP="000051A0">
    <w:pPr>
      <w:pStyle w:val="Header"/>
      <w:jc w:val="right"/>
    </w:pPr>
    <w:fldSimple w:instr=" TITLE  \* MERGEFORMAT ">
      <w:r w:rsidR="00066022">
        <w:t>ECE/TRANS/WP.29/2017/139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A0" w:rsidRDefault="000051A0" w:rsidP="000051A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533CB"/>
    <w:multiLevelType w:val="multilevel"/>
    <w:tmpl w:val="053E9BAC"/>
    <w:lvl w:ilvl="0">
      <w:start w:val="1"/>
      <w:numFmt w:val="lowerLetter"/>
      <w:lvlText w:val="(%1)"/>
      <w:lvlJc w:val="left"/>
      <w:pPr>
        <w:ind w:left="25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040" w:hanging="420"/>
      </w:pPr>
    </w:lvl>
    <w:lvl w:ilvl="2">
      <w:start w:val="1"/>
      <w:numFmt w:val="lowerRoman"/>
      <w:lvlText w:val="%3."/>
      <w:lvlJc w:val="right"/>
      <w:pPr>
        <w:ind w:left="3460" w:hanging="420"/>
      </w:pPr>
    </w:lvl>
    <w:lvl w:ilvl="3">
      <w:start w:val="1"/>
      <w:numFmt w:val="decimal"/>
      <w:lvlText w:val="%4."/>
      <w:lvlJc w:val="left"/>
      <w:pPr>
        <w:ind w:left="3880" w:hanging="420"/>
      </w:pPr>
    </w:lvl>
    <w:lvl w:ilvl="4">
      <w:start w:val="1"/>
      <w:numFmt w:val="lowerLetter"/>
      <w:lvlText w:val="%5)"/>
      <w:lvlJc w:val="left"/>
      <w:pPr>
        <w:ind w:left="4300" w:hanging="420"/>
      </w:pPr>
    </w:lvl>
    <w:lvl w:ilvl="5">
      <w:start w:val="1"/>
      <w:numFmt w:val="lowerRoman"/>
      <w:lvlText w:val="%6."/>
      <w:lvlJc w:val="right"/>
      <w:pPr>
        <w:ind w:left="4720" w:hanging="420"/>
      </w:pPr>
    </w:lvl>
    <w:lvl w:ilvl="6">
      <w:start w:val="1"/>
      <w:numFmt w:val="decimal"/>
      <w:lvlText w:val="%7."/>
      <w:lvlJc w:val="left"/>
      <w:pPr>
        <w:ind w:left="5140" w:hanging="420"/>
      </w:pPr>
    </w:lvl>
    <w:lvl w:ilvl="7">
      <w:start w:val="1"/>
      <w:numFmt w:val="lowerLetter"/>
      <w:lvlText w:val="%8)"/>
      <w:lvlJc w:val="left"/>
      <w:pPr>
        <w:ind w:left="5560" w:hanging="420"/>
      </w:pPr>
    </w:lvl>
    <w:lvl w:ilvl="8">
      <w:start w:val="1"/>
      <w:numFmt w:val="lowerRoman"/>
      <w:lvlText w:val="%9."/>
      <w:lvlJc w:val="right"/>
      <w:pPr>
        <w:ind w:left="5980" w:hanging="42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41"/>
    <w:rsid w:val="000051A0"/>
    <w:rsid w:val="00033EE1"/>
    <w:rsid w:val="00042B72"/>
    <w:rsid w:val="000558BD"/>
    <w:rsid w:val="00066022"/>
    <w:rsid w:val="000B57E7"/>
    <w:rsid w:val="000B6373"/>
    <w:rsid w:val="000D164F"/>
    <w:rsid w:val="000E4E5B"/>
    <w:rsid w:val="000E53CE"/>
    <w:rsid w:val="000F09DF"/>
    <w:rsid w:val="000F61B2"/>
    <w:rsid w:val="001075E9"/>
    <w:rsid w:val="0010771C"/>
    <w:rsid w:val="0014152F"/>
    <w:rsid w:val="00163FEF"/>
    <w:rsid w:val="00180183"/>
    <w:rsid w:val="0018024D"/>
    <w:rsid w:val="0018649F"/>
    <w:rsid w:val="00196389"/>
    <w:rsid w:val="001A0D94"/>
    <w:rsid w:val="001B3EF6"/>
    <w:rsid w:val="001C7A89"/>
    <w:rsid w:val="001F27BD"/>
    <w:rsid w:val="00255343"/>
    <w:rsid w:val="0027151D"/>
    <w:rsid w:val="00280D19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6468"/>
    <w:rsid w:val="00381C24"/>
    <w:rsid w:val="00387CD4"/>
    <w:rsid w:val="003958D0"/>
    <w:rsid w:val="003A0D43"/>
    <w:rsid w:val="003A48CE"/>
    <w:rsid w:val="003B00E5"/>
    <w:rsid w:val="003D03AF"/>
    <w:rsid w:val="00407B78"/>
    <w:rsid w:val="00424203"/>
    <w:rsid w:val="00452493"/>
    <w:rsid w:val="00453318"/>
    <w:rsid w:val="00454AF2"/>
    <w:rsid w:val="00454E07"/>
    <w:rsid w:val="00472C5C"/>
    <w:rsid w:val="00483079"/>
    <w:rsid w:val="004E05B7"/>
    <w:rsid w:val="004F30D1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E522E"/>
    <w:rsid w:val="006F35EE"/>
    <w:rsid w:val="007021FF"/>
    <w:rsid w:val="00703695"/>
    <w:rsid w:val="00712895"/>
    <w:rsid w:val="00734ACB"/>
    <w:rsid w:val="00757357"/>
    <w:rsid w:val="00792497"/>
    <w:rsid w:val="0080364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3FE1"/>
    <w:rsid w:val="009A24AC"/>
    <w:rsid w:val="009C6FE6"/>
    <w:rsid w:val="009D7E7D"/>
    <w:rsid w:val="00A1314D"/>
    <w:rsid w:val="00A14DA8"/>
    <w:rsid w:val="00A312BC"/>
    <w:rsid w:val="00A53CBC"/>
    <w:rsid w:val="00A84021"/>
    <w:rsid w:val="00A84D35"/>
    <w:rsid w:val="00A917B3"/>
    <w:rsid w:val="00AB4B51"/>
    <w:rsid w:val="00B10CC7"/>
    <w:rsid w:val="00B36DF7"/>
    <w:rsid w:val="00B511AC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14A1"/>
    <w:rsid w:val="00C92939"/>
    <w:rsid w:val="00CA1679"/>
    <w:rsid w:val="00CB151C"/>
    <w:rsid w:val="00CB20EF"/>
    <w:rsid w:val="00CE5A1A"/>
    <w:rsid w:val="00CF3AC1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60F0A"/>
    <w:rsid w:val="00E73F76"/>
    <w:rsid w:val="00E90B41"/>
    <w:rsid w:val="00E91DCF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19E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91E187E-FB5A-4689-B185-80EEE49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0051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1985</Words>
  <Characters>11593</Characters>
  <Application>Microsoft Office Word</Application>
  <DocSecurity>0</DocSecurity>
  <Lines>241</Lines>
  <Paragraphs>124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ECE/TRANS/WP.29/2017/139</vt:lpstr>
      <vt:lpstr>ECE/TRANS/WP.29/2017/139</vt:lpstr>
      <vt:lpstr>A/</vt:lpstr>
    </vt:vector>
  </TitlesOfParts>
  <Company>DCM</Company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ECE/TRANS/WP.29/2017/139</dc:title>
  <dc:subject/>
  <dc:creator>Ovchinnikova Olga</dc:creator>
  <cp:keywords/>
  <cp:lastModifiedBy>Marie-Claude Collet</cp:lastModifiedBy>
  <cp:revision>3</cp:revision>
  <cp:lastPrinted>2017-09-22T11:41:00Z</cp:lastPrinted>
  <dcterms:created xsi:type="dcterms:W3CDTF">2017-09-22T11:40:00Z</dcterms:created>
  <dcterms:modified xsi:type="dcterms:W3CDTF">2017-09-22T11:41:00Z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