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445A8E" w:rsidTr="00C97039">
        <w:trPr>
          <w:trHeight w:hRule="exact" w:val="851"/>
        </w:trPr>
        <w:tc>
          <w:tcPr>
            <w:tcW w:w="1276" w:type="dxa"/>
            <w:tcBorders>
              <w:bottom w:val="single" w:sz="4" w:space="0" w:color="auto"/>
            </w:tcBorders>
          </w:tcPr>
          <w:p w:rsidR="00F35BAF" w:rsidRPr="00445A8E" w:rsidRDefault="00F35BAF" w:rsidP="003A3D56">
            <w:bookmarkStart w:id="0" w:name="_GoBack"/>
            <w:bookmarkEnd w:id="0"/>
          </w:p>
        </w:tc>
        <w:tc>
          <w:tcPr>
            <w:tcW w:w="2268" w:type="dxa"/>
            <w:tcBorders>
              <w:bottom w:val="single" w:sz="4" w:space="0" w:color="auto"/>
            </w:tcBorders>
            <w:vAlign w:val="bottom"/>
          </w:tcPr>
          <w:p w:rsidR="00F35BAF" w:rsidRPr="00445A8E" w:rsidRDefault="00F35BAF" w:rsidP="00C97039">
            <w:pPr>
              <w:spacing w:after="80" w:line="300" w:lineRule="exact"/>
              <w:rPr>
                <w:sz w:val="28"/>
              </w:rPr>
            </w:pPr>
            <w:r w:rsidRPr="00445A8E">
              <w:rPr>
                <w:sz w:val="28"/>
              </w:rPr>
              <w:t>Nations Unies</w:t>
            </w:r>
          </w:p>
        </w:tc>
        <w:tc>
          <w:tcPr>
            <w:tcW w:w="6095" w:type="dxa"/>
            <w:gridSpan w:val="2"/>
            <w:tcBorders>
              <w:bottom w:val="single" w:sz="4" w:space="0" w:color="auto"/>
            </w:tcBorders>
            <w:vAlign w:val="bottom"/>
          </w:tcPr>
          <w:p w:rsidR="00F35BAF" w:rsidRPr="00445A8E" w:rsidRDefault="003A3D56" w:rsidP="003A3D56">
            <w:pPr>
              <w:jc w:val="right"/>
            </w:pPr>
            <w:r w:rsidRPr="00445A8E">
              <w:rPr>
                <w:sz w:val="40"/>
              </w:rPr>
              <w:t>ECE</w:t>
            </w:r>
            <w:r w:rsidRPr="00445A8E">
              <w:t>/TRANS/WP.29/2017/129</w:t>
            </w:r>
          </w:p>
        </w:tc>
      </w:tr>
      <w:tr w:rsidR="00F35BAF" w:rsidRPr="00445A8E" w:rsidTr="00C97039">
        <w:trPr>
          <w:trHeight w:hRule="exact" w:val="2835"/>
        </w:trPr>
        <w:tc>
          <w:tcPr>
            <w:tcW w:w="1276" w:type="dxa"/>
            <w:tcBorders>
              <w:top w:val="single" w:sz="4" w:space="0" w:color="auto"/>
              <w:bottom w:val="single" w:sz="12" w:space="0" w:color="auto"/>
            </w:tcBorders>
          </w:tcPr>
          <w:p w:rsidR="00F35BAF" w:rsidRPr="00445A8E" w:rsidRDefault="00F35BAF" w:rsidP="00C97039">
            <w:pPr>
              <w:spacing w:before="120"/>
              <w:jc w:val="center"/>
            </w:pPr>
            <w:r w:rsidRPr="00445A8E">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445A8E" w:rsidRDefault="00F35BAF" w:rsidP="00C97039">
            <w:pPr>
              <w:spacing w:before="120" w:line="420" w:lineRule="exact"/>
              <w:rPr>
                <w:b/>
                <w:sz w:val="40"/>
                <w:szCs w:val="40"/>
              </w:rPr>
            </w:pPr>
            <w:r w:rsidRPr="00445A8E">
              <w:rPr>
                <w:b/>
                <w:sz w:val="40"/>
                <w:szCs w:val="40"/>
              </w:rPr>
              <w:t>Conseil économique et social</w:t>
            </w:r>
          </w:p>
        </w:tc>
        <w:tc>
          <w:tcPr>
            <w:tcW w:w="2835" w:type="dxa"/>
            <w:tcBorders>
              <w:top w:val="single" w:sz="4" w:space="0" w:color="auto"/>
              <w:bottom w:val="single" w:sz="12" w:space="0" w:color="auto"/>
            </w:tcBorders>
          </w:tcPr>
          <w:p w:rsidR="00F35BAF" w:rsidRPr="00445A8E" w:rsidRDefault="003A3D56" w:rsidP="00C97039">
            <w:pPr>
              <w:spacing w:before="240"/>
            </w:pPr>
            <w:r w:rsidRPr="00445A8E">
              <w:t>Distr. générale</w:t>
            </w:r>
          </w:p>
          <w:p w:rsidR="003A3D56" w:rsidRPr="00445A8E" w:rsidRDefault="003A3D56" w:rsidP="003A3D56">
            <w:pPr>
              <w:spacing w:line="240" w:lineRule="exact"/>
            </w:pPr>
            <w:r w:rsidRPr="00445A8E">
              <w:t>25 août 2017</w:t>
            </w:r>
          </w:p>
          <w:p w:rsidR="003A3D56" w:rsidRPr="00445A8E" w:rsidRDefault="003A3D56" w:rsidP="003A3D56">
            <w:pPr>
              <w:spacing w:line="240" w:lineRule="exact"/>
            </w:pPr>
            <w:r w:rsidRPr="00445A8E">
              <w:t>Français</w:t>
            </w:r>
          </w:p>
          <w:p w:rsidR="003A3D56" w:rsidRPr="00445A8E" w:rsidRDefault="000125FC" w:rsidP="003A3D56">
            <w:pPr>
              <w:spacing w:line="240" w:lineRule="exact"/>
            </w:pPr>
            <w:r>
              <w:t>Original </w:t>
            </w:r>
            <w:r w:rsidR="003A3D56" w:rsidRPr="00445A8E">
              <w:t>: anglais</w:t>
            </w:r>
          </w:p>
        </w:tc>
      </w:tr>
    </w:tbl>
    <w:p w:rsidR="007F20FA" w:rsidRPr="00445A8E" w:rsidRDefault="007F20FA" w:rsidP="007F20FA">
      <w:pPr>
        <w:spacing w:before="120"/>
        <w:rPr>
          <w:b/>
          <w:sz w:val="28"/>
          <w:szCs w:val="28"/>
        </w:rPr>
      </w:pPr>
      <w:r w:rsidRPr="00445A8E">
        <w:rPr>
          <w:b/>
          <w:sz w:val="28"/>
          <w:szCs w:val="28"/>
        </w:rPr>
        <w:t>Commission économique pour l’Europe</w:t>
      </w:r>
    </w:p>
    <w:p w:rsidR="007F20FA" w:rsidRPr="00445A8E" w:rsidRDefault="007F20FA" w:rsidP="007F20FA">
      <w:pPr>
        <w:spacing w:before="120"/>
        <w:rPr>
          <w:sz w:val="28"/>
          <w:szCs w:val="28"/>
        </w:rPr>
      </w:pPr>
      <w:r w:rsidRPr="00445A8E">
        <w:rPr>
          <w:sz w:val="28"/>
          <w:szCs w:val="28"/>
        </w:rPr>
        <w:t>Comité des transports intérieurs</w:t>
      </w:r>
    </w:p>
    <w:p w:rsidR="00E1264B" w:rsidRPr="00C156E7" w:rsidRDefault="00E1264B" w:rsidP="00C156E7">
      <w:pPr>
        <w:spacing w:before="120" w:after="120"/>
        <w:rPr>
          <w:b/>
          <w:sz w:val="24"/>
          <w:szCs w:val="24"/>
        </w:rPr>
      </w:pPr>
      <w:r w:rsidRPr="00C156E7">
        <w:rPr>
          <w:b/>
          <w:sz w:val="24"/>
          <w:szCs w:val="24"/>
        </w:rPr>
        <w:t xml:space="preserve">Forum mondial de l’harmonisation des Règlements </w:t>
      </w:r>
      <w:r w:rsidR="00C156E7">
        <w:rPr>
          <w:b/>
          <w:sz w:val="24"/>
          <w:szCs w:val="24"/>
        </w:rPr>
        <w:br/>
      </w:r>
      <w:r w:rsidRPr="00C156E7">
        <w:rPr>
          <w:b/>
          <w:sz w:val="24"/>
          <w:szCs w:val="24"/>
        </w:rPr>
        <w:t>concernant les véhicules</w:t>
      </w:r>
    </w:p>
    <w:p w:rsidR="00E1264B" w:rsidRPr="00445A8E" w:rsidRDefault="00E1264B" w:rsidP="00E1264B">
      <w:pPr>
        <w:rPr>
          <w:b/>
        </w:rPr>
      </w:pPr>
      <w:r w:rsidRPr="00445A8E">
        <w:rPr>
          <w:b/>
        </w:rPr>
        <w:t>173</w:t>
      </w:r>
      <w:r w:rsidRPr="00445A8E">
        <w:rPr>
          <w:b/>
          <w:vertAlign w:val="superscript"/>
        </w:rPr>
        <w:t>e</w:t>
      </w:r>
      <w:r w:rsidRPr="00445A8E">
        <w:rPr>
          <w:b/>
        </w:rPr>
        <w:t xml:space="preserve"> session</w:t>
      </w:r>
    </w:p>
    <w:p w:rsidR="00E1264B" w:rsidRPr="001F4B32" w:rsidRDefault="00E1264B" w:rsidP="00E1264B">
      <w:r w:rsidRPr="001F4B32">
        <w:t>Genève, 14-17 novembre 2017</w:t>
      </w:r>
    </w:p>
    <w:p w:rsidR="00E1264B" w:rsidRPr="00445A8E" w:rsidRDefault="00E1264B" w:rsidP="00E1264B">
      <w:r w:rsidRPr="00445A8E">
        <w:t>Point 4.9.1 de l’ordre du jour provisoire</w:t>
      </w:r>
    </w:p>
    <w:p w:rsidR="00E1264B" w:rsidRPr="00445A8E" w:rsidRDefault="00E1264B" w:rsidP="00E1264B">
      <w:pPr>
        <w:rPr>
          <w:b/>
        </w:rPr>
      </w:pPr>
      <w:r w:rsidRPr="00445A8E">
        <w:rPr>
          <w:b/>
        </w:rPr>
        <w:t>A</w:t>
      </w:r>
      <w:r w:rsidR="000125FC">
        <w:rPr>
          <w:b/>
        </w:rPr>
        <w:t>ccord de 1958 </w:t>
      </w:r>
      <w:r w:rsidRPr="00445A8E">
        <w:rPr>
          <w:b/>
        </w:rPr>
        <w:t xml:space="preserve">: Examen de projets d’amendements </w:t>
      </w:r>
      <w:r w:rsidRPr="00445A8E">
        <w:rPr>
          <w:b/>
        </w:rPr>
        <w:br/>
        <w:t>à des Règlements existants, soumis par le GRPE</w:t>
      </w:r>
    </w:p>
    <w:p w:rsidR="00E1264B" w:rsidRPr="00445A8E" w:rsidRDefault="00E1264B" w:rsidP="00E1264B">
      <w:pPr>
        <w:pStyle w:val="HChG"/>
      </w:pPr>
      <w:r w:rsidRPr="00445A8E">
        <w:tab/>
      </w:r>
      <w:r w:rsidRPr="00445A8E">
        <w:tab/>
        <w:t>Proposition de complément 9 à la série 05 d’amendements au Règlement n</w:t>
      </w:r>
      <w:r w:rsidRPr="00445A8E">
        <w:rPr>
          <w:vertAlign w:val="superscript"/>
        </w:rPr>
        <w:t>o</w:t>
      </w:r>
      <w:r w:rsidRPr="00445A8E">
        <w:t> 49 (Émissions des moteurs à allumage par compression et des moteurs à allumage commandé (GNC et GPL))</w:t>
      </w:r>
    </w:p>
    <w:p w:rsidR="00E1264B" w:rsidRPr="00445A8E" w:rsidRDefault="00E1264B" w:rsidP="00E1264B">
      <w:pPr>
        <w:pStyle w:val="H1G"/>
      </w:pPr>
      <w:r w:rsidRPr="00445A8E">
        <w:tab/>
      </w:r>
      <w:r w:rsidRPr="00445A8E">
        <w:tab/>
        <w:t>Communication du Groupe de travail de la pollution et de l’énergie</w:t>
      </w:r>
      <w:r w:rsidRPr="00445A8E">
        <w:rPr>
          <w:b w:val="0"/>
          <w:sz w:val="20"/>
        </w:rPr>
        <w:footnoteReference w:customMarkFollows="1" w:id="2"/>
        <w:t>*</w:t>
      </w:r>
    </w:p>
    <w:p w:rsidR="00E1264B" w:rsidRPr="00445A8E" w:rsidRDefault="00E1264B" w:rsidP="00E1264B">
      <w:pPr>
        <w:pStyle w:val="SingleTxtG"/>
        <w:ind w:firstLine="567"/>
      </w:pPr>
      <w:r w:rsidRPr="00445A8E">
        <w:t>Le texte reproduit ci-après, adopté par le Groupe de travail de la pollution et de l’énergie (GRPE) à sa soixante-quinzième session</w:t>
      </w:r>
      <w:r w:rsidR="00445A8E" w:rsidRPr="00445A8E">
        <w:t xml:space="preserve"> (ECE/TRANS/WP.29/GRPE/75, par. </w:t>
      </w:r>
      <w:r w:rsidRPr="00445A8E">
        <w:t>22), est fondé sur le document GRPE-74-08, tel que reproduit à l’annexe VI du rapport. Il est soumis au Forum mondial de l’harmonisation des Règlements concernant les véhicules (WP.29) et au Comité d’administration (AC.1) pour examen à leurs sessions de novembre 2017.</w:t>
      </w:r>
    </w:p>
    <w:p w:rsidR="00E1264B" w:rsidRPr="00445A8E" w:rsidRDefault="00E1264B" w:rsidP="00445A8E">
      <w:pPr>
        <w:pStyle w:val="HChG"/>
      </w:pPr>
      <w:r w:rsidRPr="00445A8E">
        <w:br w:type="page"/>
      </w:r>
      <w:r w:rsidR="00445A8E">
        <w:lastRenderedPageBreak/>
        <w:tab/>
      </w:r>
      <w:r w:rsidR="00445A8E">
        <w:tab/>
      </w:r>
      <w:r w:rsidRPr="00445A8E">
        <w:t>Proposition de complément 9 à la série 05 d’</w:t>
      </w:r>
      <w:r w:rsidR="00445A8E">
        <w:t>amendements au </w:t>
      </w:r>
      <w:r w:rsidRPr="00445A8E">
        <w:t>Règlement n</w:t>
      </w:r>
      <w:r w:rsidR="00445A8E" w:rsidRPr="00445A8E">
        <w:rPr>
          <w:vertAlign w:val="superscript"/>
        </w:rPr>
        <w:t>o</w:t>
      </w:r>
      <w:r w:rsidRPr="00445A8E">
        <w:t> 49 (Émiss</w:t>
      </w:r>
      <w:r w:rsidR="00445A8E">
        <w:t>ions des moteurs à allumage par </w:t>
      </w:r>
      <w:r w:rsidRPr="00445A8E">
        <w:t>compression et des m</w:t>
      </w:r>
      <w:r w:rsidR="00445A8E">
        <w:t>oteurs à allumage commandé (GNC </w:t>
      </w:r>
      <w:r w:rsidRPr="00445A8E">
        <w:t>et GPL))</w:t>
      </w:r>
    </w:p>
    <w:p w:rsidR="00E1264B" w:rsidRPr="00445A8E" w:rsidRDefault="00E1264B" w:rsidP="00267A9C">
      <w:pPr>
        <w:pStyle w:val="SingleTxtG"/>
        <w:keepNext/>
      </w:pPr>
      <w:r w:rsidRPr="00445A8E">
        <w:rPr>
          <w:i/>
        </w:rPr>
        <w:t>Annexe 4B, paragraphe 7.8.4</w:t>
      </w:r>
      <w:r w:rsidR="00445A8E">
        <w:t>, modifier comme suit </w:t>
      </w:r>
      <w:r w:rsidRPr="00445A8E">
        <w:t>:</w:t>
      </w:r>
    </w:p>
    <w:p w:rsidR="00E1264B" w:rsidRPr="00445A8E" w:rsidRDefault="00445A8E" w:rsidP="00267A9C">
      <w:pPr>
        <w:keepNext/>
        <w:tabs>
          <w:tab w:val="left" w:pos="8505"/>
        </w:tabs>
        <w:kinsoku/>
        <w:overflowPunct/>
        <w:autoSpaceDE/>
        <w:autoSpaceDN/>
        <w:adjustRightInd/>
        <w:snapToGrid/>
        <w:spacing w:after="120"/>
        <w:ind w:left="2268" w:right="1134" w:hanging="1134"/>
        <w:jc w:val="both"/>
        <w:rPr>
          <w:rFonts w:eastAsia="Times New Roman"/>
          <w:szCs w:val="24"/>
        </w:rPr>
      </w:pPr>
      <w:r>
        <w:rPr>
          <w:rFonts w:eastAsia="Times New Roman"/>
          <w:szCs w:val="24"/>
        </w:rPr>
        <w:t>« </w:t>
      </w:r>
      <w:r w:rsidR="00E1264B" w:rsidRPr="00445A8E">
        <w:rPr>
          <w:rFonts w:eastAsia="Times New Roman"/>
          <w:szCs w:val="24"/>
        </w:rPr>
        <w:t>7.8.4</w:t>
      </w:r>
      <w:r w:rsidR="00E1264B" w:rsidRPr="00445A8E">
        <w:rPr>
          <w:rFonts w:eastAsia="Times New Roman"/>
          <w:szCs w:val="24"/>
        </w:rPr>
        <w:tab/>
        <w:t>Vérification de la dérive</w:t>
      </w:r>
    </w:p>
    <w:p w:rsidR="00E1264B" w:rsidRPr="00445A8E" w:rsidRDefault="00E1264B" w:rsidP="006C1AB9">
      <w:pPr>
        <w:pStyle w:val="SingleTxtG"/>
        <w:ind w:left="2268"/>
      </w:pPr>
      <w:r w:rsidRPr="00445A8E">
        <w:t>Dès qu</w:t>
      </w:r>
      <w:r w:rsidR="006C1AB9">
        <w:t>e possible mais au plus tard 30 </w:t>
      </w:r>
      <w:r w:rsidRPr="00445A8E">
        <w:t>min après l’achèvement du cycle d’essai ou pendant la phase de stabilisation à chaud (concerne le point b) uniquement), la réponse au zéro et la réponse au point final des plages de l’analyseur de gaz utilisées doivent être déterminées. Aux fins du présent paragraphe, le cycle d’</w:t>
      </w:r>
      <w:r w:rsidR="006C1AB9">
        <w:t>essai est défini comme suit </w:t>
      </w:r>
      <w:r w:rsidRPr="00445A8E">
        <w:t>:</w:t>
      </w:r>
    </w:p>
    <w:p w:rsidR="00E1264B" w:rsidRPr="00445A8E" w:rsidRDefault="006C1AB9" w:rsidP="006C1AB9">
      <w:pPr>
        <w:pStyle w:val="SingleTxtG"/>
        <w:ind w:left="2835" w:hanging="567"/>
      </w:pPr>
      <w:r>
        <w:t>a)</w:t>
      </w:r>
      <w:r>
        <w:tab/>
        <w:t>Pour le WHTC </w:t>
      </w:r>
      <w:r w:rsidR="00E1264B" w:rsidRPr="00445A8E">
        <w:t xml:space="preserve">: la séquence complète démarrage à froid </w:t>
      </w:r>
      <w:r>
        <w:t>−</w:t>
      </w:r>
      <w:r w:rsidR="00E1264B" w:rsidRPr="00445A8E">
        <w:t xml:space="preserve"> phase de stabilisation à chaud </w:t>
      </w:r>
      <w:r>
        <w:t>−</w:t>
      </w:r>
      <w:r w:rsidR="00E1264B" w:rsidRPr="00445A8E">
        <w:t xml:space="preserve"> démarrage à chaud</w:t>
      </w:r>
      <w:r>
        <w:t> </w:t>
      </w:r>
      <w:r w:rsidR="00E1264B" w:rsidRPr="00445A8E">
        <w:t>;</w:t>
      </w:r>
    </w:p>
    <w:p w:rsidR="00E1264B" w:rsidRPr="00445A8E" w:rsidRDefault="006C1AB9" w:rsidP="006C1AB9">
      <w:pPr>
        <w:pStyle w:val="SingleTxtG"/>
        <w:ind w:left="2835" w:hanging="567"/>
      </w:pPr>
      <w:r>
        <w:t>b)</w:t>
      </w:r>
      <w:r>
        <w:tab/>
      </w:r>
      <w:r w:rsidR="00E1264B" w:rsidRPr="00445A8E">
        <w:t xml:space="preserve">Pour l’essai de démarrage à chaud </w:t>
      </w:r>
      <w:r>
        <w:t>du cycle transitoire WHTC (par. 6.6) </w:t>
      </w:r>
      <w:r w:rsidR="00E1264B" w:rsidRPr="00445A8E">
        <w:t xml:space="preserve">: la séquence phase de stabilisation à chaud </w:t>
      </w:r>
      <w:r>
        <w:t>−</w:t>
      </w:r>
      <w:r w:rsidR="00E1264B" w:rsidRPr="00445A8E">
        <w:t xml:space="preserve"> démarrage à chaud</w:t>
      </w:r>
      <w:r>
        <w:t> </w:t>
      </w:r>
      <w:r w:rsidR="00E1264B" w:rsidRPr="00445A8E">
        <w:t>;</w:t>
      </w:r>
    </w:p>
    <w:p w:rsidR="00E1264B" w:rsidRPr="00445A8E" w:rsidRDefault="006C1AB9" w:rsidP="006C1AB9">
      <w:pPr>
        <w:pStyle w:val="SingleTxtG"/>
        <w:ind w:left="2835" w:hanging="567"/>
      </w:pPr>
      <w:r>
        <w:t>c)</w:t>
      </w:r>
      <w:r>
        <w:tab/>
      </w:r>
      <w:r w:rsidR="00E1264B" w:rsidRPr="00445A8E">
        <w:t>Pour l’essai de démarrage à chaud du cycle transitoire WHTC a</w:t>
      </w:r>
      <w:r>
        <w:t>vec régénération multiple (par. </w:t>
      </w:r>
      <w:r w:rsidR="00E1264B" w:rsidRPr="00445A8E">
        <w:t>6.6)</w:t>
      </w:r>
      <w:r>
        <w:t> </w:t>
      </w:r>
      <w:r w:rsidR="00E1264B" w:rsidRPr="00445A8E">
        <w:t>: le nombre total d’essais de démarrage à chaud</w:t>
      </w:r>
      <w:r>
        <w:t> </w:t>
      </w:r>
      <w:r w:rsidR="00E1264B" w:rsidRPr="00445A8E">
        <w:t>;</w:t>
      </w:r>
    </w:p>
    <w:p w:rsidR="00E1264B" w:rsidRPr="00445A8E" w:rsidRDefault="006C1AB9" w:rsidP="006C1AB9">
      <w:pPr>
        <w:pStyle w:val="SingleTxtG"/>
        <w:ind w:left="2835" w:hanging="567"/>
      </w:pPr>
      <w:r>
        <w:t>d)</w:t>
      </w:r>
      <w:r>
        <w:tab/>
      </w:r>
      <w:r w:rsidR="00E1264B" w:rsidRPr="00445A8E">
        <w:t>Pour le WHSC</w:t>
      </w:r>
      <w:r>
        <w:t> </w:t>
      </w:r>
      <w:r w:rsidR="00E1264B" w:rsidRPr="00445A8E">
        <w:t>: le cycle d’essai.</w:t>
      </w:r>
    </w:p>
    <w:p w:rsidR="00E1264B" w:rsidRPr="00445A8E" w:rsidRDefault="00E1264B" w:rsidP="00267A9C">
      <w:pPr>
        <w:pStyle w:val="SingleTxtG"/>
        <w:keepNext/>
        <w:ind w:left="2268"/>
        <w:rPr>
          <w:rFonts w:eastAsia="MS Mincho"/>
        </w:rPr>
      </w:pPr>
      <w:r w:rsidRPr="00445A8E">
        <w:t>Pour la dérive de l’analyseur, les dispositions suivantes s’</w:t>
      </w:r>
      <w:r w:rsidR="006C1AB9">
        <w:t>appliquent :</w:t>
      </w:r>
    </w:p>
    <w:p w:rsidR="00E1264B" w:rsidRPr="00CE0ED8" w:rsidRDefault="00CE0ED8" w:rsidP="00CE0ED8">
      <w:pPr>
        <w:pStyle w:val="SingleTxtG"/>
        <w:ind w:left="2835" w:hanging="567"/>
      </w:pPr>
      <w:r>
        <w:rPr>
          <w:rFonts w:eastAsia="Times New Roman"/>
          <w:szCs w:val="24"/>
        </w:rPr>
        <w:t>a)</w:t>
      </w:r>
      <w:r>
        <w:rPr>
          <w:rFonts w:eastAsia="Times New Roman"/>
          <w:szCs w:val="24"/>
        </w:rPr>
        <w:tab/>
      </w:r>
      <w:r w:rsidR="00E1264B" w:rsidRPr="00445A8E">
        <w:rPr>
          <w:rFonts w:eastAsia="Times New Roman"/>
          <w:szCs w:val="24"/>
        </w:rPr>
        <w:t xml:space="preserve">Les réponses à la mise à zéro et au calibrage avant et après l’essai peuvent être directement insérées dans l’équation 66 du paragraphe 8.6.1 sans que </w:t>
      </w:r>
      <w:r w:rsidR="00E1264B" w:rsidRPr="00CE0ED8">
        <w:t>soit déterminée la dérive</w:t>
      </w:r>
      <w:r>
        <w:t> </w:t>
      </w:r>
      <w:r w:rsidR="00E1264B" w:rsidRPr="00CE0ED8">
        <w:t>;</w:t>
      </w:r>
    </w:p>
    <w:p w:rsidR="00E1264B" w:rsidRPr="00CE0ED8" w:rsidRDefault="00CE0ED8" w:rsidP="00CE0ED8">
      <w:pPr>
        <w:pStyle w:val="SingleTxtG"/>
        <w:ind w:left="2835" w:hanging="567"/>
      </w:pPr>
      <w:r>
        <w:t>b)</w:t>
      </w:r>
      <w:r>
        <w:tab/>
      </w:r>
      <w:r w:rsidR="00E1264B" w:rsidRPr="00CE0ED8">
        <w:t>Si la dérive entre les résultats avant et après l’essai est inférieure à 1 % de la gamme des valeurs, les concentrations mesurées peuvent être utilisées non corrigées ou peuvent être corrigées pour la dérive conformément au paragraphe 8.6.1 de la présente annexe</w:t>
      </w:r>
      <w:r>
        <w:t> </w:t>
      </w:r>
      <w:r w:rsidR="00E1264B" w:rsidRPr="00CE0ED8">
        <w:t>;</w:t>
      </w:r>
    </w:p>
    <w:p w:rsidR="00E1264B" w:rsidRPr="00445A8E" w:rsidRDefault="00CE0ED8" w:rsidP="00CE0ED8">
      <w:pPr>
        <w:pStyle w:val="SingleTxtG"/>
        <w:ind w:left="2835" w:hanging="567"/>
        <w:rPr>
          <w:rFonts w:eastAsia="Times New Roman"/>
          <w:szCs w:val="24"/>
        </w:rPr>
      </w:pPr>
      <w:r>
        <w:t>c)</w:t>
      </w:r>
      <w:r>
        <w:tab/>
      </w:r>
      <w:r w:rsidR="00E1264B" w:rsidRPr="00CE0ED8">
        <w:t>Si la dérive entre les résultats avant et après l’essai est égale ou supérieure à 1 %</w:t>
      </w:r>
      <w:r w:rsidR="00E1264B" w:rsidRPr="00445A8E">
        <w:rPr>
          <w:rFonts w:eastAsia="Times New Roman"/>
          <w:szCs w:val="24"/>
        </w:rPr>
        <w:t xml:space="preserve"> de la gamme des valeurs, l’essai est annulé ou les concentrations mesurées sont corrigées pour la dérive conformément au paragraphe 8.6.1 de la présente annexe.</w:t>
      </w:r>
      <w:r>
        <w:rPr>
          <w:rFonts w:eastAsia="Times New Roman"/>
          <w:szCs w:val="24"/>
        </w:rPr>
        <w:t> ».</w:t>
      </w:r>
    </w:p>
    <w:p w:rsidR="00E1264B" w:rsidRPr="00445A8E" w:rsidRDefault="00E1264B" w:rsidP="00267A9C">
      <w:pPr>
        <w:pStyle w:val="SingleTxtG"/>
        <w:keepNext/>
      </w:pPr>
      <w:r w:rsidRPr="00CE0ED8">
        <w:rPr>
          <w:i/>
        </w:rPr>
        <w:t>Annexe 4B, paragraphe 8.4.1.7</w:t>
      </w:r>
      <w:r w:rsidR="00CE0ED8">
        <w:t>, modifier comme suit </w:t>
      </w:r>
      <w:r w:rsidRPr="00445A8E">
        <w:t>:</w:t>
      </w:r>
    </w:p>
    <w:p w:rsidR="00E1264B" w:rsidRPr="00445A8E" w:rsidRDefault="00CE0ED8" w:rsidP="00267A9C">
      <w:pPr>
        <w:pStyle w:val="SingleTxtG"/>
        <w:keepNext/>
        <w:ind w:left="2268" w:hanging="1134"/>
      </w:pPr>
      <w:r>
        <w:t>« </w:t>
      </w:r>
      <w:r w:rsidR="00E1264B" w:rsidRPr="00445A8E">
        <w:t>8.4.1.7</w:t>
      </w:r>
      <w:r w:rsidR="00E1264B" w:rsidRPr="00445A8E">
        <w:tab/>
        <w:t>Méthode du bilan carbone</w:t>
      </w:r>
    </w:p>
    <w:p w:rsidR="00E1264B" w:rsidRPr="00445A8E" w:rsidRDefault="00E1264B" w:rsidP="00CE0ED8">
      <w:pPr>
        <w:pStyle w:val="SingleTxtG"/>
        <w:ind w:left="2268"/>
      </w:pPr>
      <w:r w:rsidRPr="00445A8E">
        <w:t>Cette méthode consiste à calculer la masse des émissions d’échappement à partir du débit du carburant et des constituants gazeux des émissions d’échappement qui comprennent du carbone. Le débit-masse instantané de gaz d’éch</w:t>
      </w:r>
      <w:r w:rsidR="00CE0ED8">
        <w:t>appement est calculé comme suit </w:t>
      </w:r>
      <w:r w:rsidRPr="00445A8E">
        <w:t>:</w:t>
      </w:r>
    </w:p>
    <w:p w:rsidR="00DB5306" w:rsidRPr="00804C11" w:rsidRDefault="00FE010B" w:rsidP="00FE010B">
      <w:pPr>
        <w:pStyle w:val="SingleTxtG"/>
        <w:tabs>
          <w:tab w:val="right" w:pos="8505"/>
        </w:tabs>
        <w:ind w:left="2268"/>
      </w:pPr>
      <w:r w:rsidRPr="00804C11">
        <w:rPr>
          <w:position w:val="-30"/>
        </w:rPr>
        <w:object w:dxaOrig="50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35.25pt" o:ole="">
            <v:imagedata r:id="rId8" o:title=""/>
          </v:shape>
          <o:OLEObject Type="Embed" ProgID="Equation.3" ShapeID="_x0000_i1025" DrawAspect="Content" ObjectID="_1567943682" r:id="rId9"/>
        </w:object>
      </w:r>
      <w:r w:rsidR="00DB5306" w:rsidRPr="00804C11">
        <w:tab/>
        <w:t>(33)</w:t>
      </w:r>
    </w:p>
    <w:p w:rsidR="00E1264B" w:rsidRPr="00445A8E" w:rsidRDefault="00E1264B" w:rsidP="00804C11">
      <w:pPr>
        <w:pStyle w:val="SingleTxtG"/>
        <w:keepNext/>
        <w:ind w:left="2268"/>
        <w:rPr>
          <w:noProof/>
        </w:rPr>
      </w:pPr>
      <w:r w:rsidRPr="00445A8E">
        <w:t>avec</w:t>
      </w:r>
    </w:p>
    <w:p w:rsidR="004447CF" w:rsidRPr="00804C11" w:rsidRDefault="00CF36D8" w:rsidP="00FE010B">
      <w:pPr>
        <w:pStyle w:val="SingleTxtG"/>
        <w:tabs>
          <w:tab w:val="right" w:pos="8505"/>
        </w:tabs>
        <w:ind w:left="2268"/>
        <w:rPr>
          <w:rFonts w:eastAsia="Times New Roman"/>
          <w:noProof/>
          <w:lang w:eastAsia="sv-SE"/>
        </w:rPr>
      </w:pPr>
      <w:r w:rsidRPr="00804C11">
        <w:rPr>
          <w:rFonts w:eastAsia="Times New Roman"/>
          <w:noProof/>
          <w:position w:val="-12"/>
          <w:lang w:eastAsia="sv-SE"/>
        </w:rPr>
        <w:object w:dxaOrig="4880" w:dyaOrig="320">
          <v:shape id="_x0000_i1026" type="#_x0000_t75" style="width:243.75pt;height:15.75pt" o:ole="">
            <v:imagedata r:id="rId10" o:title=""/>
          </v:shape>
          <o:OLEObject Type="Embed" ProgID="Equation.3" ShapeID="_x0000_i1026" DrawAspect="Content" ObjectID="_1567943683" r:id="rId11"/>
        </w:object>
      </w:r>
      <w:r w:rsidR="004447CF" w:rsidRPr="00804C11">
        <w:rPr>
          <w:rFonts w:eastAsia="Times New Roman"/>
          <w:noProof/>
          <w:lang w:eastAsia="sv-SE"/>
        </w:rPr>
        <w:tab/>
        <w:t>(34)</w:t>
      </w:r>
    </w:p>
    <w:p w:rsidR="00E1264B" w:rsidRPr="00445A8E" w:rsidRDefault="00E1264B" w:rsidP="00804C11">
      <w:pPr>
        <w:pStyle w:val="SingleTxtG"/>
        <w:keepNext/>
        <w:ind w:left="2268"/>
        <w:rPr>
          <w:rFonts w:eastAsia="Times New Roman"/>
          <w:noProof/>
          <w:szCs w:val="24"/>
        </w:rPr>
      </w:pPr>
      <w:r w:rsidRPr="00724EC8">
        <w:t>et</w:t>
      </w:r>
    </w:p>
    <w:p w:rsidR="00CF36D8" w:rsidRPr="00804C11" w:rsidRDefault="00804C11" w:rsidP="00FE010B">
      <w:pPr>
        <w:pStyle w:val="SingleTxtG"/>
        <w:tabs>
          <w:tab w:val="right" w:pos="8505"/>
        </w:tabs>
        <w:ind w:left="2268"/>
        <w:rPr>
          <w:rFonts w:eastAsia="Times New Roman"/>
          <w:noProof/>
          <w:lang w:eastAsia="sv-SE"/>
        </w:rPr>
      </w:pPr>
      <w:r w:rsidRPr="00804C11">
        <w:rPr>
          <w:rFonts w:eastAsia="Times New Roman"/>
          <w:noProof/>
          <w:position w:val="-10"/>
          <w:lang w:eastAsia="sv-SE"/>
        </w:rPr>
        <w:object w:dxaOrig="5280" w:dyaOrig="300">
          <v:shape id="_x0000_i1027" type="#_x0000_t75" style="width:264pt;height:15pt" o:ole="">
            <v:imagedata r:id="rId12" o:title=""/>
          </v:shape>
          <o:OLEObject Type="Embed" ProgID="Equation.3" ShapeID="_x0000_i1027" DrawAspect="Content" ObjectID="_1567943684" r:id="rId13"/>
        </w:object>
      </w:r>
      <w:r w:rsidR="00CF36D8" w:rsidRPr="00804C11">
        <w:rPr>
          <w:rFonts w:eastAsia="Times New Roman"/>
          <w:noProof/>
          <w:lang w:eastAsia="sv-SE"/>
        </w:rPr>
        <w:tab/>
        <w:t>(35)</w:t>
      </w:r>
    </w:p>
    <w:p w:rsidR="00E1264B" w:rsidRPr="00445A8E" w:rsidRDefault="00E1264B" w:rsidP="00804C11">
      <w:pPr>
        <w:pStyle w:val="SingleTxtG"/>
        <w:keepNext/>
        <w:ind w:left="2268"/>
        <w:rPr>
          <w:rFonts w:eastAsia="Times New Roman"/>
          <w:szCs w:val="24"/>
        </w:rPr>
      </w:pPr>
      <w:r w:rsidRPr="00724EC8">
        <w:lastRenderedPageBreak/>
        <w:t>où</w:t>
      </w:r>
      <w:r w:rsidRPr="00445A8E">
        <w:rPr>
          <w:rFonts w:eastAsia="Times New Roman"/>
          <w:szCs w:val="24"/>
        </w:rPr>
        <w:t xml:space="preserve"> :</w:t>
      </w:r>
    </w:p>
    <w:p w:rsidR="00E1264B" w:rsidRPr="00804C11" w:rsidRDefault="00E1264B" w:rsidP="00724EC8">
      <w:pPr>
        <w:pStyle w:val="SingleTxtG"/>
        <w:ind w:left="3119" w:hanging="851"/>
        <w:rPr>
          <w:rFonts w:eastAsia="Times New Roman"/>
          <w:szCs w:val="24"/>
        </w:rPr>
      </w:pPr>
      <w:r w:rsidRPr="00804C11">
        <w:rPr>
          <w:rFonts w:eastAsia="Times New Roman"/>
          <w:szCs w:val="24"/>
        </w:rPr>
        <w:t>q</w:t>
      </w:r>
      <w:r w:rsidRPr="00804C11">
        <w:rPr>
          <w:rFonts w:eastAsia="Times New Roman"/>
          <w:szCs w:val="24"/>
          <w:vertAlign w:val="subscript"/>
        </w:rPr>
        <w:t>mf,i</w:t>
      </w:r>
      <w:r w:rsidRPr="00804C11">
        <w:rPr>
          <w:rFonts w:eastAsia="Times New Roman"/>
          <w:szCs w:val="24"/>
        </w:rPr>
        <w:tab/>
        <w:t>est le débit-masse instantané de carburant, en kg/s</w:t>
      </w:r>
    </w:p>
    <w:p w:rsidR="00E1264B" w:rsidRPr="00804C11" w:rsidRDefault="00E1264B" w:rsidP="00724EC8">
      <w:pPr>
        <w:pStyle w:val="SingleTxtG"/>
        <w:ind w:left="3119" w:hanging="851"/>
      </w:pPr>
      <w:r w:rsidRPr="00804C11">
        <w:t>H</w:t>
      </w:r>
      <w:r w:rsidRPr="00804C11">
        <w:rPr>
          <w:vertAlign w:val="subscript"/>
        </w:rPr>
        <w:t>a</w:t>
      </w:r>
      <w:r w:rsidRPr="00804C11">
        <w:tab/>
        <w:t>est l’humidité de l’air d’admission en g d’eau par kg d’air sec</w:t>
      </w:r>
    </w:p>
    <w:p w:rsidR="00E1264B" w:rsidRPr="00804C11" w:rsidRDefault="00E1264B" w:rsidP="00724EC8">
      <w:pPr>
        <w:pStyle w:val="SingleTxtG"/>
        <w:ind w:left="3119" w:hanging="851"/>
        <w:rPr>
          <w:rFonts w:eastAsia="Times New Roman"/>
          <w:szCs w:val="24"/>
        </w:rPr>
      </w:pPr>
      <w:r w:rsidRPr="00804C11">
        <w:rPr>
          <w:rFonts w:eastAsia="Times New Roman"/>
          <w:szCs w:val="24"/>
        </w:rPr>
        <w:t>w</w:t>
      </w:r>
      <w:r w:rsidRPr="00804C11">
        <w:rPr>
          <w:rFonts w:eastAsia="Times New Roman"/>
          <w:szCs w:val="24"/>
          <w:vertAlign w:val="subscript"/>
        </w:rPr>
        <w:t>BET</w:t>
      </w:r>
      <w:r w:rsidRPr="00804C11">
        <w:rPr>
          <w:rFonts w:eastAsia="Times New Roman"/>
          <w:szCs w:val="24"/>
        </w:rPr>
        <w:tab/>
        <w:t xml:space="preserve">est la </w:t>
      </w:r>
      <w:r w:rsidRPr="00804C11">
        <w:t>teneur</w:t>
      </w:r>
      <w:r w:rsidRPr="00804C11">
        <w:rPr>
          <w:rFonts w:eastAsia="Times New Roman"/>
          <w:szCs w:val="24"/>
        </w:rPr>
        <w:t xml:space="preserve"> en carbone du carburant, en % masse</w:t>
      </w:r>
    </w:p>
    <w:p w:rsidR="00E1264B" w:rsidRPr="00804C11" w:rsidRDefault="00E1264B" w:rsidP="00724EC8">
      <w:pPr>
        <w:pStyle w:val="SingleTxtG"/>
        <w:ind w:left="3119" w:hanging="851"/>
        <w:rPr>
          <w:rFonts w:eastAsia="Times New Roman"/>
          <w:szCs w:val="24"/>
        </w:rPr>
      </w:pPr>
      <w:r w:rsidRPr="00804C11">
        <w:rPr>
          <w:rFonts w:eastAsia="Times New Roman"/>
          <w:szCs w:val="24"/>
        </w:rPr>
        <w:t>w</w:t>
      </w:r>
      <w:r w:rsidRPr="00804C11">
        <w:rPr>
          <w:rFonts w:eastAsia="Times New Roman"/>
          <w:szCs w:val="24"/>
          <w:vertAlign w:val="subscript"/>
        </w:rPr>
        <w:t>ALF</w:t>
      </w:r>
      <w:r w:rsidRPr="00804C11">
        <w:rPr>
          <w:rFonts w:eastAsia="Times New Roman"/>
          <w:szCs w:val="24"/>
        </w:rPr>
        <w:tab/>
        <w:t xml:space="preserve">est la </w:t>
      </w:r>
      <w:r w:rsidRPr="00804C11">
        <w:t>teneur</w:t>
      </w:r>
      <w:r w:rsidRPr="00804C11">
        <w:rPr>
          <w:rFonts w:eastAsia="Times New Roman"/>
          <w:szCs w:val="24"/>
        </w:rPr>
        <w:t xml:space="preserve"> en hydrogène du carburant, en % masse</w:t>
      </w:r>
    </w:p>
    <w:p w:rsidR="00E1264B" w:rsidRPr="00804C11" w:rsidRDefault="00E1264B" w:rsidP="00724EC8">
      <w:pPr>
        <w:pStyle w:val="SingleTxtG"/>
        <w:ind w:left="3119" w:hanging="851"/>
        <w:rPr>
          <w:rFonts w:eastAsia="Times New Roman"/>
          <w:szCs w:val="24"/>
        </w:rPr>
      </w:pPr>
      <w:r w:rsidRPr="00804C11">
        <w:rPr>
          <w:rFonts w:eastAsia="Times New Roman"/>
          <w:szCs w:val="24"/>
        </w:rPr>
        <w:t>w</w:t>
      </w:r>
      <w:r w:rsidRPr="00804C11">
        <w:rPr>
          <w:rFonts w:eastAsia="Times New Roman"/>
          <w:szCs w:val="24"/>
          <w:vertAlign w:val="subscript"/>
        </w:rPr>
        <w:t>DEL</w:t>
      </w:r>
      <w:r w:rsidRPr="00804C11">
        <w:rPr>
          <w:rFonts w:eastAsia="Times New Roman"/>
          <w:szCs w:val="24"/>
        </w:rPr>
        <w:tab/>
        <w:t xml:space="preserve">est la </w:t>
      </w:r>
      <w:r w:rsidRPr="00804C11">
        <w:t>teneur</w:t>
      </w:r>
      <w:r w:rsidRPr="00804C11">
        <w:rPr>
          <w:rFonts w:eastAsia="Times New Roman"/>
          <w:szCs w:val="24"/>
        </w:rPr>
        <w:t xml:space="preserve"> en azote du carburant, en % masse</w:t>
      </w:r>
    </w:p>
    <w:p w:rsidR="00E1264B" w:rsidRPr="00804C11" w:rsidRDefault="00E1264B" w:rsidP="00724EC8">
      <w:pPr>
        <w:pStyle w:val="SingleTxtG"/>
        <w:ind w:left="3119" w:hanging="851"/>
        <w:rPr>
          <w:rFonts w:eastAsia="Times New Roman"/>
          <w:szCs w:val="24"/>
        </w:rPr>
      </w:pPr>
      <w:r w:rsidRPr="00804C11">
        <w:rPr>
          <w:rFonts w:eastAsia="Times New Roman"/>
          <w:szCs w:val="24"/>
        </w:rPr>
        <w:t>w</w:t>
      </w:r>
      <w:r w:rsidRPr="00804C11">
        <w:rPr>
          <w:rFonts w:eastAsia="Times New Roman"/>
          <w:szCs w:val="24"/>
          <w:vertAlign w:val="subscript"/>
        </w:rPr>
        <w:t>EPS</w:t>
      </w:r>
      <w:r w:rsidRPr="00804C11">
        <w:rPr>
          <w:rFonts w:eastAsia="Times New Roman"/>
          <w:szCs w:val="24"/>
        </w:rPr>
        <w:tab/>
        <w:t xml:space="preserve">est la </w:t>
      </w:r>
      <w:r w:rsidRPr="00804C11">
        <w:t>teneur</w:t>
      </w:r>
      <w:r w:rsidRPr="00804C11">
        <w:rPr>
          <w:rFonts w:eastAsia="Times New Roman"/>
          <w:szCs w:val="24"/>
        </w:rPr>
        <w:t xml:space="preserve"> en oxygène du carburant, en % masse</w:t>
      </w:r>
    </w:p>
    <w:p w:rsidR="00E1264B" w:rsidRPr="00804C11" w:rsidRDefault="00E1264B" w:rsidP="00724EC8">
      <w:pPr>
        <w:pStyle w:val="SingleTxtG"/>
        <w:ind w:left="3119" w:hanging="851"/>
        <w:rPr>
          <w:rFonts w:eastAsia="Times New Roman"/>
          <w:szCs w:val="24"/>
        </w:rPr>
      </w:pPr>
      <w:r w:rsidRPr="00804C11">
        <w:rPr>
          <w:rFonts w:eastAsia="Times New Roman"/>
          <w:szCs w:val="24"/>
        </w:rPr>
        <w:t>c</w:t>
      </w:r>
      <w:r w:rsidRPr="00804C11">
        <w:rPr>
          <w:rFonts w:eastAsia="Times New Roman"/>
          <w:szCs w:val="24"/>
          <w:vertAlign w:val="subscript"/>
        </w:rPr>
        <w:t>CO2d</w:t>
      </w:r>
      <w:r w:rsidRPr="00804C11">
        <w:rPr>
          <w:rFonts w:eastAsia="Times New Roman"/>
          <w:szCs w:val="24"/>
        </w:rPr>
        <w:tab/>
        <w:t xml:space="preserve">est la </w:t>
      </w:r>
      <w:r w:rsidRPr="00804C11">
        <w:t>concentration</w:t>
      </w:r>
      <w:r w:rsidRPr="00804C11">
        <w:rPr>
          <w:rFonts w:eastAsia="Times New Roman"/>
          <w:szCs w:val="24"/>
        </w:rPr>
        <w:t xml:space="preserve"> de CO</w:t>
      </w:r>
      <w:r w:rsidRPr="00804C11">
        <w:rPr>
          <w:rFonts w:eastAsia="Times New Roman"/>
          <w:szCs w:val="24"/>
          <w:vertAlign w:val="subscript"/>
        </w:rPr>
        <w:t>2</w:t>
      </w:r>
      <w:r w:rsidRPr="00804C11">
        <w:rPr>
          <w:rFonts w:eastAsia="Times New Roman"/>
          <w:szCs w:val="24"/>
        </w:rPr>
        <w:t xml:space="preserve"> en conditions sèches, en %</w:t>
      </w:r>
    </w:p>
    <w:p w:rsidR="00E1264B" w:rsidRPr="00804C11" w:rsidRDefault="00E1264B" w:rsidP="00724EC8">
      <w:pPr>
        <w:pStyle w:val="SingleTxtG"/>
        <w:ind w:left="3119" w:hanging="851"/>
        <w:rPr>
          <w:rFonts w:eastAsia="Times New Roman"/>
          <w:szCs w:val="24"/>
        </w:rPr>
      </w:pPr>
      <w:r w:rsidRPr="00804C11">
        <w:rPr>
          <w:rFonts w:eastAsia="Times New Roman"/>
          <w:szCs w:val="24"/>
        </w:rPr>
        <w:t>c</w:t>
      </w:r>
      <w:r w:rsidRPr="00804C11">
        <w:rPr>
          <w:rFonts w:eastAsia="Times New Roman"/>
          <w:szCs w:val="24"/>
          <w:vertAlign w:val="subscript"/>
        </w:rPr>
        <w:t>CO2d,a</w:t>
      </w:r>
      <w:r w:rsidRPr="00804C11">
        <w:rPr>
          <w:rFonts w:eastAsia="Times New Roman"/>
          <w:szCs w:val="24"/>
        </w:rPr>
        <w:tab/>
        <w:t xml:space="preserve">est la </w:t>
      </w:r>
      <w:r w:rsidRPr="00804C11">
        <w:t>concentration</w:t>
      </w:r>
      <w:r w:rsidRPr="00804C11">
        <w:rPr>
          <w:rFonts w:eastAsia="Times New Roman"/>
          <w:szCs w:val="24"/>
        </w:rPr>
        <w:t xml:space="preserve"> de CO</w:t>
      </w:r>
      <w:r w:rsidRPr="00804C11">
        <w:rPr>
          <w:rFonts w:eastAsia="Times New Roman"/>
          <w:szCs w:val="24"/>
          <w:vertAlign w:val="subscript"/>
        </w:rPr>
        <w:t>2</w:t>
      </w:r>
      <w:r w:rsidRPr="00804C11">
        <w:rPr>
          <w:rFonts w:eastAsia="Times New Roman"/>
          <w:szCs w:val="24"/>
        </w:rPr>
        <w:t xml:space="preserve"> de l’air d’admission, en %</w:t>
      </w:r>
    </w:p>
    <w:p w:rsidR="00E1264B" w:rsidRPr="00804C11" w:rsidRDefault="00E1264B" w:rsidP="00724EC8">
      <w:pPr>
        <w:pStyle w:val="SingleTxtG"/>
        <w:ind w:left="3119" w:hanging="851"/>
        <w:rPr>
          <w:rFonts w:eastAsia="Times New Roman"/>
          <w:strike/>
          <w:szCs w:val="24"/>
        </w:rPr>
      </w:pPr>
      <w:r w:rsidRPr="00804C11">
        <w:rPr>
          <w:rFonts w:eastAsia="Times New Roman"/>
          <w:szCs w:val="24"/>
        </w:rPr>
        <w:t>c</w:t>
      </w:r>
      <w:r w:rsidRPr="00804C11">
        <w:rPr>
          <w:rFonts w:eastAsia="Times New Roman"/>
          <w:szCs w:val="24"/>
          <w:vertAlign w:val="subscript"/>
        </w:rPr>
        <w:t>COd</w:t>
      </w:r>
      <w:r w:rsidRPr="00804C11">
        <w:rPr>
          <w:rFonts w:eastAsia="Times New Roman"/>
          <w:szCs w:val="24"/>
        </w:rPr>
        <w:tab/>
        <w:t xml:space="preserve">est la </w:t>
      </w:r>
      <w:r w:rsidRPr="00804C11">
        <w:t>concentration</w:t>
      </w:r>
      <w:r w:rsidRPr="00804C11">
        <w:rPr>
          <w:rFonts w:eastAsia="Times New Roman"/>
          <w:szCs w:val="24"/>
        </w:rPr>
        <w:t xml:space="preserve"> de CO en conditions sèches, en ppm</w:t>
      </w:r>
    </w:p>
    <w:p w:rsidR="00E1264B" w:rsidRPr="004B0634" w:rsidRDefault="00E1264B" w:rsidP="00724EC8">
      <w:pPr>
        <w:pStyle w:val="SingleTxtG"/>
        <w:ind w:left="3119" w:hanging="851"/>
        <w:rPr>
          <w:rFonts w:eastAsia="Times New Roman"/>
          <w:spacing w:val="-2"/>
          <w:szCs w:val="24"/>
        </w:rPr>
      </w:pPr>
      <w:r w:rsidRPr="00804C11">
        <w:rPr>
          <w:rFonts w:eastAsia="Times New Roman"/>
          <w:szCs w:val="24"/>
        </w:rPr>
        <w:t>c</w:t>
      </w:r>
      <w:r w:rsidRPr="00804C11">
        <w:rPr>
          <w:rFonts w:eastAsia="Times New Roman"/>
          <w:szCs w:val="24"/>
          <w:vertAlign w:val="subscript"/>
        </w:rPr>
        <w:t>HCw</w:t>
      </w:r>
      <w:r w:rsidRPr="00804C11">
        <w:rPr>
          <w:rFonts w:eastAsia="Times New Roman"/>
          <w:szCs w:val="24"/>
        </w:rPr>
        <w:tab/>
      </w:r>
      <w:r w:rsidRPr="004B0634">
        <w:rPr>
          <w:rFonts w:eastAsia="Times New Roman"/>
          <w:spacing w:val="-2"/>
          <w:szCs w:val="24"/>
        </w:rPr>
        <w:t>est la concentration d’hydrocarbures en conditions humides, en</w:t>
      </w:r>
      <w:r w:rsidR="001A5917">
        <w:rPr>
          <w:rFonts w:eastAsia="Times New Roman"/>
          <w:spacing w:val="-2"/>
          <w:szCs w:val="24"/>
        </w:rPr>
        <w:t> </w:t>
      </w:r>
      <w:r w:rsidRPr="004B0634">
        <w:rPr>
          <w:rFonts w:eastAsia="Times New Roman"/>
          <w:spacing w:val="-2"/>
          <w:szCs w:val="24"/>
        </w:rPr>
        <w:t>ppm.</w:t>
      </w:r>
      <w:r w:rsidR="001A5917">
        <w:rPr>
          <w:rFonts w:eastAsia="Times New Roman"/>
          <w:spacing w:val="-2"/>
          <w:szCs w:val="24"/>
        </w:rPr>
        <w:t> ».</w:t>
      </w:r>
    </w:p>
    <w:p w:rsidR="00E1264B" w:rsidRPr="00445A8E" w:rsidRDefault="00E1264B" w:rsidP="00AC2CDF">
      <w:pPr>
        <w:pStyle w:val="SingleTxtG"/>
        <w:keepNext/>
      </w:pPr>
      <w:r w:rsidRPr="004B0634">
        <w:rPr>
          <w:i/>
        </w:rPr>
        <w:t>Annexe 4B, paragraphe 9.3.9.4.1</w:t>
      </w:r>
      <w:r w:rsidRPr="00445A8E">
        <w:t>, modifier comme suit</w:t>
      </w:r>
      <w:r w:rsidR="004B0634">
        <w:t> </w:t>
      </w:r>
      <w:r w:rsidRPr="00445A8E">
        <w:t>:</w:t>
      </w:r>
    </w:p>
    <w:p w:rsidR="00E1264B" w:rsidRPr="00445A8E" w:rsidRDefault="004B0634" w:rsidP="00AC2CDF">
      <w:pPr>
        <w:pStyle w:val="SingleTxtG"/>
        <w:keepNext/>
        <w:ind w:left="2268" w:hanging="1134"/>
      </w:pPr>
      <w:r>
        <w:t>« </w:t>
      </w:r>
      <w:r w:rsidR="00E1264B" w:rsidRPr="00445A8E">
        <w:t>9.3.9.4.1</w:t>
      </w:r>
      <w:r w:rsidR="00E1264B" w:rsidRPr="00445A8E">
        <w:tab/>
        <w:t>Efficacité du sécheur d’échantillon</w:t>
      </w:r>
    </w:p>
    <w:p w:rsidR="00E1264B" w:rsidRPr="00445A8E" w:rsidRDefault="00E1264B" w:rsidP="00E1264B">
      <w:pPr>
        <w:kinsoku/>
        <w:overflowPunct/>
        <w:autoSpaceDE/>
        <w:autoSpaceDN/>
        <w:adjustRightInd/>
        <w:snapToGrid/>
        <w:spacing w:after="120"/>
        <w:ind w:left="2268" w:right="1134"/>
        <w:jc w:val="both"/>
        <w:rPr>
          <w:rFonts w:eastAsia="Times New Roman"/>
          <w:szCs w:val="24"/>
        </w:rPr>
      </w:pPr>
      <w:r w:rsidRPr="00445A8E">
        <w:rPr>
          <w:rFonts w:eastAsia="Times New Roman"/>
          <w:szCs w:val="24"/>
        </w:rPr>
        <w:t>Pour les analyseurs CLD par voie sèche, il doit être démontré que, pour la plus forte concentration de vapeur d’</w:t>
      </w:r>
      <w:r w:rsidR="001A5917">
        <w:rPr>
          <w:rFonts w:eastAsia="Times New Roman"/>
          <w:szCs w:val="24"/>
        </w:rPr>
        <w:t>eau Hm prévisible (voir par. </w:t>
      </w:r>
      <w:r w:rsidRPr="00445A8E">
        <w:rPr>
          <w:rFonts w:eastAsia="Times New Roman"/>
          <w:szCs w:val="24"/>
        </w:rPr>
        <w:t>9.3.9.2.2 de la présente annexe), le sécheur d’échantillon maintient l’</w:t>
      </w:r>
      <w:r w:rsidR="001A5917">
        <w:rPr>
          <w:rFonts w:eastAsia="Times New Roman"/>
          <w:szCs w:val="24"/>
        </w:rPr>
        <w:t>humidité du CLD à ≤ </w:t>
      </w:r>
      <w:r w:rsidRPr="00445A8E">
        <w:rPr>
          <w:rFonts w:eastAsia="Times New Roman"/>
          <w:szCs w:val="24"/>
        </w:rPr>
        <w:t>5 g eau/kg air sec (ou environ 0,8 volume en % de H</w:t>
      </w:r>
      <w:r w:rsidRPr="00F53EB9">
        <w:rPr>
          <w:rFonts w:eastAsia="Times New Roman"/>
          <w:szCs w:val="24"/>
          <w:vertAlign w:val="subscript"/>
        </w:rPr>
        <w:t>2</w:t>
      </w:r>
      <w:r w:rsidRPr="00445A8E">
        <w:rPr>
          <w:rFonts w:eastAsia="Times New Roman"/>
          <w:szCs w:val="24"/>
        </w:rPr>
        <w:t>O), ce qui correspond à 100 % d’</w:t>
      </w:r>
      <w:r w:rsidR="001A5917">
        <w:rPr>
          <w:rFonts w:eastAsia="Times New Roman"/>
          <w:szCs w:val="24"/>
        </w:rPr>
        <w:t>humidité relative à 3,9 °C et 101,3 </w:t>
      </w:r>
      <w:r w:rsidRPr="00445A8E">
        <w:rPr>
          <w:rFonts w:eastAsia="Times New Roman"/>
          <w:szCs w:val="24"/>
        </w:rPr>
        <w:t>kPa, et équivaut également à 25 % environ d’hum</w:t>
      </w:r>
      <w:r w:rsidR="001A5917">
        <w:rPr>
          <w:rFonts w:eastAsia="Times New Roman"/>
          <w:szCs w:val="24"/>
        </w:rPr>
        <w:t>idité relative à 25 °C et 101,3 </w:t>
      </w:r>
      <w:r w:rsidRPr="00445A8E">
        <w:rPr>
          <w:rFonts w:eastAsia="Times New Roman"/>
          <w:szCs w:val="24"/>
        </w:rPr>
        <w:t>kPa. Ce contrôle peut être effectué par mesure de la température à la sortie d’un déshumidificateur thermique, ou par mesure de l’humidité en un point situé juste en amont du CLD. On peut aussi mesurer le taux d’humidité à la sortie du CLD à condition que le seul flux traversant celui-ci soit celui sortant du déshumidificateur.</w:t>
      </w:r>
      <w:r w:rsidR="00B879D9">
        <w:rPr>
          <w:rFonts w:eastAsia="Times New Roman"/>
          <w:szCs w:val="24"/>
        </w:rPr>
        <w:t> ».</w:t>
      </w:r>
    </w:p>
    <w:p w:rsidR="00E1264B" w:rsidRPr="00445A8E" w:rsidRDefault="00E1264B" w:rsidP="00AC2CDF">
      <w:pPr>
        <w:pStyle w:val="SingleTxtG"/>
        <w:keepNext/>
      </w:pPr>
      <w:r w:rsidRPr="00B879D9">
        <w:rPr>
          <w:i/>
        </w:rPr>
        <w:t>Annexe 4B, paragraphe 9.4.2</w:t>
      </w:r>
      <w:r w:rsidRPr="00445A8E">
        <w:t>, modifier comme suit</w:t>
      </w:r>
      <w:r w:rsidR="00B879D9">
        <w:t> </w:t>
      </w:r>
      <w:r w:rsidRPr="00445A8E">
        <w:t>:</w:t>
      </w:r>
    </w:p>
    <w:p w:rsidR="00E1264B" w:rsidRPr="00445A8E" w:rsidRDefault="00B879D9" w:rsidP="00AC2CDF">
      <w:pPr>
        <w:pStyle w:val="SingleTxtG"/>
        <w:keepNext/>
        <w:ind w:left="2268" w:hanging="1134"/>
      </w:pPr>
      <w:r>
        <w:t>« </w:t>
      </w:r>
      <w:r w:rsidR="00E1264B" w:rsidRPr="00445A8E">
        <w:t>9.4.2</w:t>
      </w:r>
      <w:r w:rsidR="00E1264B" w:rsidRPr="00445A8E">
        <w:tab/>
        <w:t>Prescriptions générales concernant le système de dilution</w:t>
      </w:r>
    </w:p>
    <w:p w:rsidR="00E1264B" w:rsidRPr="00445A8E" w:rsidRDefault="00E1264B" w:rsidP="00E1264B">
      <w:pPr>
        <w:kinsoku/>
        <w:overflowPunct/>
        <w:autoSpaceDE/>
        <w:autoSpaceDN/>
        <w:adjustRightInd/>
        <w:snapToGrid/>
        <w:spacing w:after="120"/>
        <w:ind w:left="2268" w:right="1134"/>
        <w:jc w:val="both"/>
        <w:rPr>
          <w:rFonts w:eastAsia="Times New Roman"/>
          <w:szCs w:val="24"/>
        </w:rPr>
      </w:pPr>
      <w:r w:rsidRPr="00445A8E">
        <w:rPr>
          <w:rFonts w:eastAsia="Times New Roman"/>
          <w:szCs w:val="24"/>
        </w:rPr>
        <w:t>Pour la mesure des émissions de particules, il est nécessaire de diluer l’échantillon avec de l’air ambiant filtré ou de l’air synthétique ou de l’azote (le diluant). Le système de dilution doit sati</w:t>
      </w:r>
      <w:r w:rsidR="0052030E">
        <w:rPr>
          <w:rFonts w:eastAsia="Times New Roman"/>
          <w:szCs w:val="24"/>
        </w:rPr>
        <w:t>sfaire aux conditions suivantes </w:t>
      </w:r>
      <w:r w:rsidRPr="00445A8E">
        <w:rPr>
          <w:rFonts w:eastAsia="Times New Roman"/>
          <w:szCs w:val="24"/>
        </w:rPr>
        <w:t>:</w:t>
      </w:r>
    </w:p>
    <w:p w:rsidR="00E1264B" w:rsidRPr="00445A8E" w:rsidRDefault="0052030E" w:rsidP="0052030E">
      <w:pPr>
        <w:pStyle w:val="SingleTxtG"/>
        <w:ind w:left="2835" w:hanging="567"/>
        <w:rPr>
          <w:rFonts w:eastAsia="Times New Roman"/>
          <w:szCs w:val="24"/>
        </w:rPr>
      </w:pPr>
      <w:r>
        <w:rPr>
          <w:rFonts w:eastAsia="Times New Roman"/>
          <w:szCs w:val="24"/>
        </w:rPr>
        <w:t>a)</w:t>
      </w:r>
      <w:r>
        <w:rPr>
          <w:rFonts w:eastAsia="Times New Roman"/>
          <w:szCs w:val="24"/>
        </w:rPr>
        <w:tab/>
      </w:r>
      <w:r w:rsidR="00E1264B" w:rsidRPr="00445A8E">
        <w:rPr>
          <w:rFonts w:eastAsia="Times New Roman"/>
          <w:szCs w:val="24"/>
        </w:rPr>
        <w:t>Éliminer complètement toute condensation d’eau dans les systèmes de dilution et de prélèvement</w:t>
      </w:r>
      <w:r>
        <w:rPr>
          <w:rFonts w:eastAsia="Times New Roman"/>
          <w:szCs w:val="24"/>
        </w:rPr>
        <w:t> </w:t>
      </w:r>
      <w:r w:rsidR="00E1264B" w:rsidRPr="00445A8E">
        <w:rPr>
          <w:rFonts w:eastAsia="Times New Roman"/>
          <w:szCs w:val="24"/>
        </w:rPr>
        <w:t>;</w:t>
      </w:r>
    </w:p>
    <w:p w:rsidR="00E1264B" w:rsidRPr="00445A8E" w:rsidRDefault="0052030E" w:rsidP="0052030E">
      <w:pPr>
        <w:pStyle w:val="SingleTxtG"/>
        <w:ind w:left="2835" w:hanging="567"/>
        <w:rPr>
          <w:rFonts w:eastAsia="Times New Roman"/>
          <w:szCs w:val="24"/>
        </w:rPr>
      </w:pPr>
      <w:r>
        <w:rPr>
          <w:rFonts w:eastAsia="Times New Roman"/>
          <w:szCs w:val="24"/>
        </w:rPr>
        <w:t>b)</w:t>
      </w:r>
      <w:r>
        <w:rPr>
          <w:rFonts w:eastAsia="Times New Roman"/>
          <w:szCs w:val="24"/>
        </w:rPr>
        <w:tab/>
      </w:r>
      <w:r w:rsidR="00E1264B" w:rsidRPr="00445A8E">
        <w:rPr>
          <w:rFonts w:eastAsia="Times New Roman"/>
          <w:szCs w:val="24"/>
        </w:rPr>
        <w:t>Maintenir la température des gaz d’échappement dilués à une valeur comprise entre 315 et 325</w:t>
      </w:r>
      <w:r>
        <w:rPr>
          <w:rFonts w:eastAsia="Times New Roman"/>
          <w:szCs w:val="24"/>
        </w:rPr>
        <w:t> K (42 et 52 °C) dans les 20 </w:t>
      </w:r>
      <w:r w:rsidR="00E1264B" w:rsidRPr="00445A8E">
        <w:rPr>
          <w:rFonts w:eastAsia="Times New Roman"/>
          <w:szCs w:val="24"/>
        </w:rPr>
        <w:t>cm situés en amont ou en aval du ou des porte-filtres</w:t>
      </w:r>
      <w:r>
        <w:rPr>
          <w:rFonts w:eastAsia="Times New Roman"/>
          <w:szCs w:val="24"/>
        </w:rPr>
        <w:t> </w:t>
      </w:r>
      <w:r w:rsidR="00E1264B" w:rsidRPr="00445A8E">
        <w:rPr>
          <w:rFonts w:eastAsia="Times New Roman"/>
          <w:szCs w:val="24"/>
        </w:rPr>
        <w:t>;</w:t>
      </w:r>
    </w:p>
    <w:p w:rsidR="00E1264B" w:rsidRPr="00445A8E" w:rsidRDefault="0052030E" w:rsidP="0052030E">
      <w:pPr>
        <w:pStyle w:val="SingleTxtG"/>
        <w:ind w:left="2835" w:hanging="567"/>
        <w:rPr>
          <w:rFonts w:eastAsia="Times New Roman"/>
          <w:szCs w:val="24"/>
        </w:rPr>
      </w:pPr>
      <w:r>
        <w:rPr>
          <w:rFonts w:eastAsia="Times New Roman"/>
          <w:szCs w:val="24"/>
        </w:rPr>
        <w:t>c)</w:t>
      </w:r>
      <w:r>
        <w:rPr>
          <w:rFonts w:eastAsia="Times New Roman"/>
          <w:szCs w:val="24"/>
        </w:rPr>
        <w:tab/>
      </w:r>
      <w:r w:rsidR="00E1264B" w:rsidRPr="00445A8E">
        <w:rPr>
          <w:rFonts w:eastAsia="Times New Roman"/>
          <w:szCs w:val="24"/>
        </w:rPr>
        <w:t xml:space="preserve">Maintenir la température </w:t>
      </w:r>
      <w:r>
        <w:rPr>
          <w:rFonts w:eastAsia="Times New Roman"/>
          <w:szCs w:val="24"/>
        </w:rPr>
        <w:t>du gaz diluant entre 293 et 325 K (20 et 52 </w:t>
      </w:r>
      <w:r w:rsidR="00E1264B" w:rsidRPr="00445A8E">
        <w:rPr>
          <w:rFonts w:eastAsia="Times New Roman"/>
          <w:szCs w:val="24"/>
        </w:rPr>
        <w:t>°C) à proximité immédiate de l’entrée dans le tunnel de dilution</w:t>
      </w:r>
      <w:r>
        <w:rPr>
          <w:rFonts w:eastAsia="Times New Roman"/>
          <w:szCs w:val="24"/>
        </w:rPr>
        <w:t> </w:t>
      </w:r>
      <w:r w:rsidR="00E1264B" w:rsidRPr="00445A8E">
        <w:rPr>
          <w:rFonts w:eastAsia="Times New Roman"/>
          <w:szCs w:val="24"/>
        </w:rPr>
        <w:t>;</w:t>
      </w:r>
    </w:p>
    <w:p w:rsidR="00E1264B" w:rsidRPr="00445A8E" w:rsidRDefault="0052030E" w:rsidP="0052030E">
      <w:pPr>
        <w:pStyle w:val="SingleTxtG"/>
        <w:ind w:left="2835" w:hanging="567"/>
        <w:rPr>
          <w:rFonts w:eastAsia="Times New Roman"/>
          <w:szCs w:val="24"/>
        </w:rPr>
      </w:pPr>
      <w:r>
        <w:rPr>
          <w:rFonts w:eastAsia="Times New Roman"/>
          <w:szCs w:val="24"/>
        </w:rPr>
        <w:t>d)</w:t>
      </w:r>
      <w:r>
        <w:rPr>
          <w:rFonts w:eastAsia="Times New Roman"/>
          <w:szCs w:val="24"/>
        </w:rPr>
        <w:tab/>
      </w:r>
      <w:r w:rsidR="00E1264B" w:rsidRPr="00445A8E">
        <w:rPr>
          <w:rFonts w:eastAsia="Times New Roman"/>
          <w:szCs w:val="24"/>
        </w:rPr>
        <w:t>Le taux de dilution minimal doit se situer entre 5:1 et 7:1 et ne pas être inférieur à 2:1 pour la phase de dilution primaire sur la base du débit maximal des émissions d’échappement du moteur</w:t>
      </w:r>
      <w:r>
        <w:rPr>
          <w:rFonts w:eastAsia="Times New Roman"/>
          <w:szCs w:val="24"/>
        </w:rPr>
        <w:t> </w:t>
      </w:r>
      <w:r w:rsidR="00E1264B" w:rsidRPr="00445A8E">
        <w:rPr>
          <w:rFonts w:eastAsia="Times New Roman"/>
          <w:szCs w:val="24"/>
        </w:rPr>
        <w:t>;</w:t>
      </w:r>
    </w:p>
    <w:p w:rsidR="00E1264B" w:rsidRPr="00445A8E" w:rsidRDefault="0052030E" w:rsidP="0052030E">
      <w:pPr>
        <w:pStyle w:val="SingleTxtG"/>
        <w:ind w:left="2835" w:hanging="567"/>
        <w:rPr>
          <w:rFonts w:eastAsia="Times New Roman"/>
          <w:szCs w:val="24"/>
        </w:rPr>
      </w:pPr>
      <w:r>
        <w:rPr>
          <w:rFonts w:eastAsia="Times New Roman"/>
          <w:szCs w:val="24"/>
        </w:rPr>
        <w:t>e)</w:t>
      </w:r>
      <w:r>
        <w:rPr>
          <w:rFonts w:eastAsia="Times New Roman"/>
          <w:szCs w:val="24"/>
        </w:rPr>
        <w:tab/>
      </w:r>
      <w:r w:rsidR="00E1264B" w:rsidRPr="00445A8E">
        <w:rPr>
          <w:rFonts w:eastAsia="Times New Roman"/>
          <w:szCs w:val="24"/>
        </w:rPr>
        <w:t>Pour un système à dilution du flux partiel, le temps de séjour dans le système du point d’introduction du gaz diluant jusqu’</w:t>
      </w:r>
      <w:r>
        <w:rPr>
          <w:rFonts w:eastAsia="Times New Roman"/>
          <w:szCs w:val="24"/>
        </w:rPr>
        <w:t>au(x) porte</w:t>
      </w:r>
      <w:r>
        <w:rPr>
          <w:rFonts w:eastAsia="Times New Roman"/>
          <w:szCs w:val="24"/>
        </w:rPr>
        <w:noBreakHyphen/>
      </w:r>
      <w:r w:rsidR="00E1264B" w:rsidRPr="00445A8E">
        <w:rPr>
          <w:rFonts w:eastAsia="Times New Roman"/>
          <w:szCs w:val="24"/>
        </w:rPr>
        <w:t>filtre(s) d</w:t>
      </w:r>
      <w:r>
        <w:rPr>
          <w:rFonts w:eastAsia="Times New Roman"/>
          <w:szCs w:val="24"/>
        </w:rPr>
        <w:t>oit être compris entre 0,5 et 5 </w:t>
      </w:r>
      <w:r w:rsidR="00E1264B" w:rsidRPr="00445A8E">
        <w:rPr>
          <w:rFonts w:eastAsia="Times New Roman"/>
          <w:szCs w:val="24"/>
        </w:rPr>
        <w:t>s</w:t>
      </w:r>
      <w:r>
        <w:rPr>
          <w:rFonts w:eastAsia="Times New Roman"/>
          <w:szCs w:val="24"/>
        </w:rPr>
        <w:t> </w:t>
      </w:r>
      <w:r w:rsidR="00E1264B" w:rsidRPr="00445A8E">
        <w:rPr>
          <w:rFonts w:eastAsia="Times New Roman"/>
          <w:szCs w:val="24"/>
        </w:rPr>
        <w:t>;</w:t>
      </w:r>
    </w:p>
    <w:p w:rsidR="00E1264B" w:rsidRPr="00445A8E" w:rsidRDefault="0052030E" w:rsidP="0052030E">
      <w:pPr>
        <w:pStyle w:val="SingleTxtG"/>
        <w:ind w:left="2835" w:hanging="567"/>
        <w:rPr>
          <w:rFonts w:eastAsia="Times New Roman"/>
          <w:szCs w:val="24"/>
        </w:rPr>
      </w:pPr>
      <w:r>
        <w:rPr>
          <w:rFonts w:eastAsia="Times New Roman"/>
          <w:szCs w:val="24"/>
        </w:rPr>
        <w:t>f)</w:t>
      </w:r>
      <w:r>
        <w:rPr>
          <w:rFonts w:eastAsia="Times New Roman"/>
          <w:szCs w:val="24"/>
        </w:rPr>
        <w:tab/>
      </w:r>
      <w:r w:rsidR="00E1264B" w:rsidRPr="00445A8E">
        <w:rPr>
          <w:rFonts w:eastAsia="Times New Roman"/>
          <w:szCs w:val="24"/>
        </w:rPr>
        <w:t>Pour un système à dilution du flux total, le temps de séjour total dans le système du point d’introduction du gaz diluant jusqu’</w:t>
      </w:r>
      <w:r>
        <w:rPr>
          <w:rFonts w:eastAsia="Times New Roman"/>
          <w:szCs w:val="24"/>
        </w:rPr>
        <w:t>au(x) porte</w:t>
      </w:r>
      <w:r>
        <w:rPr>
          <w:rFonts w:eastAsia="Times New Roman"/>
          <w:szCs w:val="24"/>
        </w:rPr>
        <w:noBreakHyphen/>
      </w:r>
      <w:r w:rsidR="00E1264B" w:rsidRPr="00445A8E">
        <w:rPr>
          <w:rFonts w:eastAsia="Times New Roman"/>
          <w:szCs w:val="24"/>
        </w:rPr>
        <w:t>filtre(s)</w:t>
      </w:r>
      <w:r>
        <w:rPr>
          <w:rFonts w:eastAsia="Times New Roman"/>
          <w:szCs w:val="24"/>
        </w:rPr>
        <w:t xml:space="preserve"> doit être compris entre 1 et 5 </w:t>
      </w:r>
      <w:r w:rsidR="00E1264B" w:rsidRPr="00445A8E">
        <w:rPr>
          <w:rFonts w:eastAsia="Times New Roman"/>
          <w:szCs w:val="24"/>
        </w:rPr>
        <w:t xml:space="preserve">s, et le temps de séjour dans le système de dilution secondaire, si un tel système est utilisé, du </w:t>
      </w:r>
      <w:r w:rsidR="00E1264B" w:rsidRPr="00445A8E">
        <w:rPr>
          <w:rFonts w:eastAsia="Times New Roman"/>
          <w:szCs w:val="24"/>
        </w:rPr>
        <w:lastRenderedPageBreak/>
        <w:t>point d’introduction du gaz diluant secondaire jusqu’</w:t>
      </w:r>
      <w:r>
        <w:rPr>
          <w:rFonts w:eastAsia="Times New Roman"/>
          <w:szCs w:val="24"/>
        </w:rPr>
        <w:t>au(x) porte</w:t>
      </w:r>
      <w:r>
        <w:rPr>
          <w:rFonts w:eastAsia="Times New Roman"/>
          <w:szCs w:val="24"/>
        </w:rPr>
        <w:noBreakHyphen/>
      </w:r>
      <w:r w:rsidR="00E1264B" w:rsidRPr="00445A8E">
        <w:rPr>
          <w:rFonts w:eastAsia="Times New Roman"/>
          <w:szCs w:val="24"/>
        </w:rPr>
        <w:t>filtre(s) doit être d’</w:t>
      </w:r>
      <w:r>
        <w:rPr>
          <w:rFonts w:eastAsia="Times New Roman"/>
          <w:szCs w:val="24"/>
        </w:rPr>
        <w:t>au moins 0,5 </w:t>
      </w:r>
      <w:r w:rsidR="00E1264B" w:rsidRPr="00445A8E">
        <w:rPr>
          <w:rFonts w:eastAsia="Times New Roman"/>
          <w:szCs w:val="24"/>
        </w:rPr>
        <w:t>s.</w:t>
      </w:r>
    </w:p>
    <w:p w:rsidR="00E1264B" w:rsidRPr="00445A8E" w:rsidRDefault="00E1264B" w:rsidP="0052030E">
      <w:pPr>
        <w:pStyle w:val="SingleTxtG"/>
        <w:ind w:left="2268"/>
      </w:pPr>
      <w:r w:rsidRPr="00445A8E">
        <w:t>Une déshumidification du gaz diluant avant que celui-ci entre dans le système de dilution est admise</w:t>
      </w:r>
      <w:r w:rsidR="008E608D">
        <w:t> </w:t>
      </w:r>
      <w:r w:rsidRPr="00445A8E">
        <w:t>; elle est particulièrement utile si l’humidité du gaz diluant est élevée.</w:t>
      </w:r>
      <w:r w:rsidR="00414964">
        <w:t> ».</w:t>
      </w:r>
    </w:p>
    <w:p w:rsidR="00E1264B" w:rsidRPr="00445A8E" w:rsidRDefault="00E1264B" w:rsidP="00AC2CDF">
      <w:pPr>
        <w:pStyle w:val="SingleTxtG"/>
        <w:keepNext/>
      </w:pPr>
      <w:r w:rsidRPr="00414964">
        <w:rPr>
          <w:i/>
        </w:rPr>
        <w:t>Annexe 4B, paragraphe 9.5.5</w:t>
      </w:r>
      <w:r w:rsidRPr="00445A8E">
        <w:t>, modifier comme suit</w:t>
      </w:r>
      <w:r w:rsidR="00414964">
        <w:t> </w:t>
      </w:r>
      <w:r w:rsidRPr="00445A8E">
        <w:t>:</w:t>
      </w:r>
    </w:p>
    <w:p w:rsidR="00E1264B" w:rsidRPr="00445A8E" w:rsidRDefault="00414964" w:rsidP="00AC2CDF">
      <w:pPr>
        <w:pStyle w:val="SingleTxtG"/>
        <w:keepNext/>
        <w:ind w:left="2268" w:hanging="1134"/>
      </w:pPr>
      <w:r>
        <w:t>« </w:t>
      </w:r>
      <w:r w:rsidR="00E1264B" w:rsidRPr="00445A8E">
        <w:t>9.5.5</w:t>
      </w:r>
      <w:r w:rsidR="00E1264B" w:rsidRPr="00445A8E">
        <w:tab/>
        <w:t>Vérification du système complet</w:t>
      </w:r>
    </w:p>
    <w:p w:rsidR="00E1264B" w:rsidRPr="00445A8E" w:rsidRDefault="00E1264B" w:rsidP="00414964">
      <w:pPr>
        <w:pStyle w:val="SingleTxtG"/>
        <w:ind w:left="2268"/>
      </w:pPr>
      <w:r w:rsidRPr="00445A8E">
        <w:t xml:space="preserve">Pour déterminer la justesse totale du système de prélèvement CVS et du système d’analyse, on introduit une masse connue d’un gaz polluant dans le système, celui-ci fonctionnant de manière normale. Le polluant est analysé, et sa masse déterminée conformément au paragraphe 8.5.2.3 de la présente annexe, sauf dans le cas du propane, pour lequel on applique un facteur </w:t>
      </w:r>
      <w:r w:rsidRPr="008E608D">
        <w:rPr>
          <w:i/>
        </w:rPr>
        <w:t>u</w:t>
      </w:r>
      <w:r w:rsidRPr="00445A8E">
        <w:t xml:space="preserve"> de 0,000507 au lieu de 0,000483 pour les HC. L’une ou l’autre des deux méthodes suivantes doit être appliquée.</w:t>
      </w:r>
      <w:r w:rsidR="00414964">
        <w:t> ».</w:t>
      </w:r>
    </w:p>
    <w:p w:rsidR="00E1264B" w:rsidRPr="00445A8E" w:rsidRDefault="00E1264B" w:rsidP="00AC2CDF">
      <w:pPr>
        <w:pStyle w:val="SingleTxtG"/>
        <w:keepNext/>
      </w:pPr>
      <w:r w:rsidRPr="00414964">
        <w:rPr>
          <w:i/>
        </w:rPr>
        <w:t>Annexe 4B, appendice 4, paragraphe A.4.2</w:t>
      </w:r>
      <w:r w:rsidRPr="00445A8E">
        <w:t>, modifier comme suit</w:t>
      </w:r>
      <w:r w:rsidR="00414964">
        <w:t> </w:t>
      </w:r>
      <w:r w:rsidRPr="00445A8E">
        <w:t>:</w:t>
      </w:r>
    </w:p>
    <w:p w:rsidR="00E1264B" w:rsidRPr="00445A8E" w:rsidRDefault="00414964" w:rsidP="00AC2CDF">
      <w:pPr>
        <w:pStyle w:val="SingleTxtG"/>
        <w:keepNext/>
        <w:ind w:left="2268" w:hanging="1134"/>
      </w:pPr>
      <w:r>
        <w:t>« </w:t>
      </w:r>
      <w:r w:rsidR="00E1264B" w:rsidRPr="00445A8E">
        <w:t>A.4.2</w:t>
      </w:r>
      <w:r w:rsidR="00E1264B" w:rsidRPr="00445A8E">
        <w:tab/>
        <w:t>Analyse de régression</w:t>
      </w:r>
    </w:p>
    <w:p w:rsidR="00E1264B" w:rsidRPr="00445A8E" w:rsidRDefault="00E1264B" w:rsidP="00AC2CDF">
      <w:pPr>
        <w:pStyle w:val="SingleTxtG"/>
        <w:keepNext/>
        <w:ind w:left="2268"/>
      </w:pPr>
      <w:r w:rsidRPr="00445A8E">
        <w:tab/>
        <w:t>La pente de la droite de rég</w:t>
      </w:r>
      <w:r w:rsidR="00414964">
        <w:t>ression est calculée comme suit </w:t>
      </w:r>
      <w:r w:rsidRPr="00445A8E">
        <w:t>:</w:t>
      </w:r>
    </w:p>
    <w:p w:rsidR="00414964" w:rsidRDefault="00247D99" w:rsidP="00955A53">
      <w:pPr>
        <w:pStyle w:val="SingleTxtG"/>
        <w:tabs>
          <w:tab w:val="right" w:pos="8505"/>
        </w:tabs>
        <w:ind w:left="2268"/>
      </w:pPr>
      <w:r w:rsidRPr="00414964">
        <w:rPr>
          <w:position w:val="-60"/>
        </w:rPr>
        <w:object w:dxaOrig="2060" w:dyaOrig="1300">
          <v:shape id="_x0000_i1028" type="#_x0000_t75" style="width:102.75pt;height:65.25pt" o:ole="">
            <v:imagedata r:id="rId14" o:title=""/>
          </v:shape>
          <o:OLEObject Type="Embed" ProgID="Equation.3" ShapeID="_x0000_i1028" DrawAspect="Content" ObjectID="_1567943685" r:id="rId15"/>
        </w:object>
      </w:r>
      <w:r w:rsidR="00955A53">
        <w:tab/>
        <w:t>(94)</w:t>
      </w:r>
    </w:p>
    <w:p w:rsidR="00E1264B" w:rsidRPr="00445A8E" w:rsidRDefault="00E1264B" w:rsidP="00AC2CDF">
      <w:pPr>
        <w:pStyle w:val="SingleTxtG"/>
        <w:keepNext/>
        <w:ind w:left="2268"/>
      </w:pPr>
      <w:r w:rsidRPr="00445A8E">
        <w:t>L’ordonnée à l’origine de la droite de rég</w:t>
      </w:r>
      <w:r w:rsidR="00414964">
        <w:t>ression est calculée comme suit </w:t>
      </w:r>
      <w:r w:rsidRPr="00445A8E">
        <w:t>:</w:t>
      </w:r>
    </w:p>
    <w:p w:rsidR="00955A53" w:rsidRDefault="00A21303" w:rsidP="00A21303">
      <w:pPr>
        <w:pStyle w:val="SingleTxtG"/>
        <w:tabs>
          <w:tab w:val="right" w:pos="8505"/>
        </w:tabs>
        <w:ind w:left="2268"/>
      </w:pPr>
      <w:r w:rsidRPr="00955A53">
        <w:rPr>
          <w:position w:val="-10"/>
        </w:rPr>
        <w:object w:dxaOrig="1300" w:dyaOrig="340">
          <v:shape id="_x0000_i1029" type="#_x0000_t75" style="width:65.25pt;height:17.25pt" o:ole="">
            <v:imagedata r:id="rId16" o:title=""/>
          </v:shape>
          <o:OLEObject Type="Embed" ProgID="Equation.3" ShapeID="_x0000_i1029" DrawAspect="Content" ObjectID="_1567943686" r:id="rId17"/>
        </w:object>
      </w:r>
      <w:r>
        <w:tab/>
        <w:t>(95)</w:t>
      </w:r>
    </w:p>
    <w:p w:rsidR="00E1264B" w:rsidRPr="00445A8E" w:rsidRDefault="00E1264B" w:rsidP="00AC2CDF">
      <w:pPr>
        <w:pStyle w:val="SingleTxtG"/>
        <w:keepNext/>
        <w:ind w:left="2268"/>
      </w:pPr>
      <w:r w:rsidRPr="00445A8E">
        <w:t xml:space="preserve">L’erreur type d’estimation (SEE) est calculée comme </w:t>
      </w:r>
      <w:r w:rsidR="00414964">
        <w:t>suit </w:t>
      </w:r>
      <w:r w:rsidRPr="00445A8E">
        <w:t>:</w:t>
      </w:r>
    </w:p>
    <w:p w:rsidR="00E1264B" w:rsidRPr="00445A8E" w:rsidRDefault="00AC2CDF" w:rsidP="001E2C0D">
      <w:pPr>
        <w:pStyle w:val="SingleTxtG"/>
        <w:tabs>
          <w:tab w:val="right" w:pos="8505"/>
        </w:tabs>
        <w:ind w:left="2268"/>
      </w:pPr>
      <w:r w:rsidRPr="00A21303">
        <w:rPr>
          <w:rFonts w:eastAsiaTheme="minorEastAsia"/>
          <w:iCs/>
          <w:position w:val="-22"/>
        </w:rPr>
        <w:object w:dxaOrig="2720" w:dyaOrig="660">
          <v:shape id="_x0000_i1030" type="#_x0000_t75" style="width:135.75pt;height:33pt" o:ole="">
            <v:imagedata r:id="rId18" o:title=""/>
          </v:shape>
          <o:OLEObject Type="Embed" ProgID="Equation.3" ShapeID="_x0000_i1030" DrawAspect="Content" ObjectID="_1567943687" r:id="rId19"/>
        </w:object>
      </w:r>
      <w:r w:rsidR="001E2C0D">
        <w:rPr>
          <w:rFonts w:eastAsiaTheme="minorEastAsia"/>
          <w:iCs/>
        </w:rPr>
        <w:tab/>
      </w:r>
      <w:r w:rsidR="00E1264B" w:rsidRPr="00445A8E">
        <w:t>(96)</w:t>
      </w:r>
    </w:p>
    <w:p w:rsidR="00E1264B" w:rsidRDefault="00E1264B" w:rsidP="00AC2CDF">
      <w:pPr>
        <w:pStyle w:val="SingleTxtG"/>
        <w:keepNext/>
        <w:ind w:left="2268"/>
      </w:pPr>
      <w:r w:rsidRPr="00445A8E">
        <w:t>Le coefficient de déter</w:t>
      </w:r>
      <w:r w:rsidR="00414964">
        <w:t>mination est calculé comme suit </w:t>
      </w:r>
      <w:r w:rsidRPr="00445A8E">
        <w:t>:</w:t>
      </w:r>
    </w:p>
    <w:p w:rsidR="001E2C0D" w:rsidRPr="00445A8E" w:rsidRDefault="00247D99" w:rsidP="001E2C0D">
      <w:pPr>
        <w:pStyle w:val="SingleTxtG"/>
        <w:tabs>
          <w:tab w:val="right" w:pos="8505"/>
        </w:tabs>
        <w:ind w:left="2268"/>
      </w:pPr>
      <w:r w:rsidRPr="001E2C0D">
        <w:rPr>
          <w:position w:val="-60"/>
        </w:rPr>
        <w:object w:dxaOrig="2580" w:dyaOrig="1300">
          <v:shape id="_x0000_i1031" type="#_x0000_t75" style="width:129pt;height:65.25pt" o:ole="">
            <v:imagedata r:id="rId20" o:title=""/>
          </v:shape>
          <o:OLEObject Type="Embed" ProgID="Equation.3" ShapeID="_x0000_i1031" DrawAspect="Content" ObjectID="_1567943688" r:id="rId21"/>
        </w:object>
      </w:r>
      <w:r w:rsidR="00AC2CDF">
        <w:tab/>
        <w:t>(97)</w:t>
      </w:r>
      <w:r>
        <w:t>.</w:t>
      </w:r>
      <w:r w:rsidR="00AC2CDF">
        <w:t> ».</w:t>
      </w:r>
    </w:p>
    <w:p w:rsidR="00F9573C" w:rsidRPr="00445A8E" w:rsidRDefault="00E1264B" w:rsidP="00E1264B">
      <w:pPr>
        <w:pStyle w:val="SingleTxtG"/>
        <w:spacing w:before="240" w:after="0"/>
        <w:jc w:val="center"/>
        <w:rPr>
          <w:u w:val="single"/>
        </w:rPr>
      </w:pPr>
      <w:r w:rsidRPr="00445A8E">
        <w:rPr>
          <w:u w:val="single"/>
        </w:rPr>
        <w:tab/>
      </w:r>
      <w:r w:rsidRPr="00445A8E">
        <w:rPr>
          <w:u w:val="single"/>
        </w:rPr>
        <w:tab/>
      </w:r>
      <w:r w:rsidRPr="00445A8E">
        <w:rPr>
          <w:u w:val="single"/>
        </w:rPr>
        <w:tab/>
      </w:r>
    </w:p>
    <w:sectPr w:rsidR="00F9573C" w:rsidRPr="00445A8E" w:rsidSect="003A3D56">
      <w:headerReference w:type="even" r:id="rId22"/>
      <w:headerReference w:type="default" r:id="rId23"/>
      <w:footerReference w:type="even" r:id="rId24"/>
      <w:footerReference w:type="default" r:id="rId25"/>
      <w:footerReference w:type="first" r:id="rId2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6D5" w:rsidRDefault="000E36D5" w:rsidP="00F95C08">
      <w:pPr>
        <w:spacing w:line="240" w:lineRule="auto"/>
      </w:pPr>
    </w:p>
  </w:endnote>
  <w:endnote w:type="continuationSeparator" w:id="0">
    <w:p w:rsidR="000E36D5" w:rsidRPr="00AC3823" w:rsidRDefault="000E36D5" w:rsidP="00AC3823">
      <w:pPr>
        <w:pStyle w:val="Footer"/>
      </w:pPr>
    </w:p>
  </w:endnote>
  <w:endnote w:type="continuationNotice" w:id="1">
    <w:p w:rsidR="000E36D5" w:rsidRDefault="000E36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56" w:rsidRPr="003A3D56" w:rsidRDefault="003A3D56" w:rsidP="003A3D56">
    <w:pPr>
      <w:pStyle w:val="Footer"/>
      <w:tabs>
        <w:tab w:val="right" w:pos="9638"/>
      </w:tabs>
    </w:pPr>
    <w:r w:rsidRPr="003A3D56">
      <w:rPr>
        <w:b/>
        <w:sz w:val="18"/>
      </w:rPr>
      <w:fldChar w:fldCharType="begin"/>
    </w:r>
    <w:r w:rsidRPr="003A3D56">
      <w:rPr>
        <w:b/>
        <w:sz w:val="18"/>
      </w:rPr>
      <w:instrText xml:space="preserve"> PAGE  \* MERGEFORMAT </w:instrText>
    </w:r>
    <w:r w:rsidRPr="003A3D56">
      <w:rPr>
        <w:b/>
        <w:sz w:val="18"/>
      </w:rPr>
      <w:fldChar w:fldCharType="separate"/>
    </w:r>
    <w:r w:rsidR="003E44A5">
      <w:rPr>
        <w:b/>
        <w:noProof/>
        <w:sz w:val="18"/>
      </w:rPr>
      <w:t>2</w:t>
    </w:r>
    <w:r w:rsidRPr="003A3D56">
      <w:rPr>
        <w:b/>
        <w:sz w:val="18"/>
      </w:rPr>
      <w:fldChar w:fldCharType="end"/>
    </w:r>
    <w:r>
      <w:rPr>
        <w:b/>
        <w:sz w:val="18"/>
      </w:rPr>
      <w:tab/>
    </w:r>
    <w:r>
      <w:t>GE.17-14741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56" w:rsidRPr="003A3D56" w:rsidRDefault="003A3D56" w:rsidP="003A3D56">
    <w:pPr>
      <w:pStyle w:val="Footer"/>
      <w:tabs>
        <w:tab w:val="right" w:pos="9638"/>
      </w:tabs>
      <w:rPr>
        <w:b/>
        <w:sz w:val="18"/>
      </w:rPr>
    </w:pPr>
    <w:r>
      <w:t>GE.17-14741</w:t>
    </w:r>
    <w:r>
      <w:tab/>
    </w:r>
    <w:r w:rsidRPr="003A3D56">
      <w:rPr>
        <w:b/>
        <w:sz w:val="18"/>
      </w:rPr>
      <w:fldChar w:fldCharType="begin"/>
    </w:r>
    <w:r w:rsidRPr="003A3D56">
      <w:rPr>
        <w:b/>
        <w:sz w:val="18"/>
      </w:rPr>
      <w:instrText xml:space="preserve"> PAGE  \* MERGEFORMAT </w:instrText>
    </w:r>
    <w:r w:rsidRPr="003A3D56">
      <w:rPr>
        <w:b/>
        <w:sz w:val="18"/>
      </w:rPr>
      <w:fldChar w:fldCharType="separate"/>
    </w:r>
    <w:r w:rsidR="003E44A5">
      <w:rPr>
        <w:b/>
        <w:noProof/>
        <w:sz w:val="18"/>
      </w:rPr>
      <w:t>3</w:t>
    </w:r>
    <w:r w:rsidRPr="003A3D5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3A3D56" w:rsidRDefault="003A3D56" w:rsidP="003A3D56">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17-14741  (F)</w:t>
    </w:r>
    <w:r w:rsidR="00445A8E">
      <w:rPr>
        <w:sz w:val="20"/>
      </w:rPr>
      <w:t xml:space="preserve">    210917    260917</w:t>
    </w:r>
    <w:r>
      <w:rPr>
        <w:sz w:val="20"/>
      </w:rPr>
      <w:br/>
    </w:r>
    <w:r w:rsidRPr="003A3D56">
      <w:rPr>
        <w:rFonts w:ascii="C39T30Lfz" w:hAnsi="C39T30Lfz"/>
        <w:sz w:val="56"/>
      </w:rPr>
      <w:t></w:t>
    </w:r>
    <w:r w:rsidRPr="003A3D56">
      <w:rPr>
        <w:rFonts w:ascii="C39T30Lfz" w:hAnsi="C39T30Lfz"/>
        <w:sz w:val="56"/>
      </w:rPr>
      <w:t></w:t>
    </w:r>
    <w:r w:rsidRPr="003A3D56">
      <w:rPr>
        <w:rFonts w:ascii="C39T30Lfz" w:hAnsi="C39T30Lfz"/>
        <w:sz w:val="56"/>
      </w:rPr>
      <w:t></w:t>
    </w:r>
    <w:r w:rsidRPr="003A3D56">
      <w:rPr>
        <w:rFonts w:ascii="C39T30Lfz" w:hAnsi="C39T30Lfz"/>
        <w:sz w:val="56"/>
      </w:rPr>
      <w:t></w:t>
    </w:r>
    <w:r w:rsidRPr="003A3D56">
      <w:rPr>
        <w:rFonts w:ascii="C39T30Lfz" w:hAnsi="C39T30Lfz"/>
        <w:sz w:val="56"/>
      </w:rPr>
      <w:t></w:t>
    </w:r>
    <w:r w:rsidRPr="003A3D56">
      <w:rPr>
        <w:rFonts w:ascii="C39T30Lfz" w:hAnsi="C39T30Lfz"/>
        <w:sz w:val="56"/>
      </w:rPr>
      <w:t></w:t>
    </w:r>
    <w:r w:rsidRPr="003A3D56">
      <w:rPr>
        <w:rFonts w:ascii="C39T30Lfz" w:hAnsi="C39T30Lfz"/>
        <w:sz w:val="56"/>
      </w:rPr>
      <w:t></w:t>
    </w:r>
    <w:r w:rsidRPr="003A3D56">
      <w:rPr>
        <w:rFonts w:ascii="C39T30Lfz" w:hAnsi="C39T30Lfz"/>
        <w:sz w:val="56"/>
      </w:rPr>
      <w:t></w:t>
    </w:r>
    <w:r w:rsidRPr="003A3D56">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12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2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6D5" w:rsidRPr="00AC3823" w:rsidRDefault="000E36D5" w:rsidP="00AC3823">
      <w:pPr>
        <w:pStyle w:val="Footer"/>
        <w:tabs>
          <w:tab w:val="right" w:pos="2155"/>
        </w:tabs>
        <w:spacing w:after="80" w:line="240" w:lineRule="atLeast"/>
        <w:ind w:left="680"/>
        <w:rPr>
          <w:u w:val="single"/>
        </w:rPr>
      </w:pPr>
      <w:r>
        <w:rPr>
          <w:u w:val="single"/>
        </w:rPr>
        <w:tab/>
      </w:r>
    </w:p>
  </w:footnote>
  <w:footnote w:type="continuationSeparator" w:id="0">
    <w:p w:rsidR="000E36D5" w:rsidRPr="00AC3823" w:rsidRDefault="000E36D5" w:rsidP="00AC3823">
      <w:pPr>
        <w:pStyle w:val="Footer"/>
        <w:tabs>
          <w:tab w:val="right" w:pos="2155"/>
        </w:tabs>
        <w:spacing w:after="80" w:line="240" w:lineRule="atLeast"/>
        <w:ind w:left="680"/>
        <w:rPr>
          <w:u w:val="single"/>
        </w:rPr>
      </w:pPr>
      <w:r>
        <w:rPr>
          <w:u w:val="single"/>
        </w:rPr>
        <w:tab/>
      </w:r>
    </w:p>
  </w:footnote>
  <w:footnote w:type="continuationNotice" w:id="1">
    <w:p w:rsidR="000E36D5" w:rsidRPr="00AC3823" w:rsidRDefault="000E36D5">
      <w:pPr>
        <w:spacing w:line="240" w:lineRule="auto"/>
        <w:rPr>
          <w:sz w:val="2"/>
          <w:szCs w:val="2"/>
        </w:rPr>
      </w:pPr>
    </w:p>
  </w:footnote>
  <w:footnote w:id="2">
    <w:p w:rsidR="00E1264B" w:rsidRPr="00445A8E" w:rsidRDefault="00E1264B" w:rsidP="00E1264B">
      <w:pPr>
        <w:pStyle w:val="FootnoteText"/>
        <w:rPr>
          <w:spacing w:val="-2"/>
        </w:rPr>
      </w:pPr>
      <w:r w:rsidRPr="00445A8E">
        <w:rPr>
          <w:sz w:val="20"/>
          <w:lang w:val="fr-FR"/>
        </w:rPr>
        <w:tab/>
        <w:t>*</w:t>
      </w:r>
      <w:r w:rsidRPr="00445A8E">
        <w:rPr>
          <w:sz w:val="20"/>
          <w:lang w:val="fr-FR"/>
        </w:rPr>
        <w:tab/>
      </w:r>
      <w:r w:rsidRPr="00445A8E">
        <w:rPr>
          <w:spacing w:val="-2"/>
          <w:lang w:val="fr-FR"/>
        </w:rPr>
        <w:t>Conformément au programme de travail du Comité des transports intérieurs pour la période</w:t>
      </w:r>
      <w:r w:rsidR="00445A8E" w:rsidRPr="00445A8E">
        <w:rPr>
          <w:spacing w:val="-2"/>
          <w:lang w:val="fr-FR"/>
        </w:rPr>
        <w:t xml:space="preserve"> 2016-2017 (ECE/TRANS/254, par. </w:t>
      </w:r>
      <w:r w:rsidRPr="00445A8E">
        <w:rPr>
          <w:spacing w:val="-2"/>
          <w:lang w:val="fr-FR"/>
        </w:rPr>
        <w:t xml:space="preserve">159, et ECE/TRANS/2016/28/Add.1, module 3.1), le Forum mondial a pour mission d’élaborer, d’harmoniser et de mettre à jour les Règlements en vue d’améliorer les caractéristiques fonctionnelles des véhicules. Le présent document est soumis en vertu de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56" w:rsidRPr="003A3D56" w:rsidRDefault="003E44A5">
    <w:pPr>
      <w:pStyle w:val="Header"/>
    </w:pPr>
    <w:r>
      <w:fldChar w:fldCharType="begin"/>
    </w:r>
    <w:r>
      <w:instrText xml:space="preserve"> TITLE  \* MERGEFORMAT </w:instrText>
    </w:r>
    <w:r>
      <w:fldChar w:fldCharType="separate"/>
    </w:r>
    <w:r>
      <w:t>ECE/TRANS/WP.29/2017/129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56" w:rsidRPr="003A3D56" w:rsidRDefault="003E44A5" w:rsidP="003A3D56">
    <w:pPr>
      <w:pStyle w:val="Header"/>
      <w:jc w:val="right"/>
    </w:pPr>
    <w:r>
      <w:fldChar w:fldCharType="begin"/>
    </w:r>
    <w:r>
      <w:instrText xml:space="preserve"> TITLE  \* MERGEFORMAT </w:instrText>
    </w:r>
    <w:r>
      <w:fldChar w:fldCharType="separate"/>
    </w:r>
    <w:r>
      <w:t>ECE/TRANS/WP.29/2017/129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60F6429"/>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2" w15:restartNumberingAfterBreak="0">
    <w:nsid w:val="229615FE"/>
    <w:multiLevelType w:val="hybridMultilevel"/>
    <w:tmpl w:val="29503FF8"/>
    <w:lvl w:ilvl="0" w:tplc="43BE314A">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26C0B10"/>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lvlOverride w:ilvl="0">
      <w:lvl w:ilvl="0" w:tplc="DCFAEE1C">
        <w:start w:val="1"/>
        <w:numFmt w:val="lowerLetter"/>
        <w:lvlText w:val="%1)"/>
        <w:lvlJc w:val="left"/>
        <w:pPr>
          <w:ind w:left="2988" w:hanging="360"/>
        </w:pPr>
        <w:rPr>
          <w:rFonts w:hint="default"/>
        </w:rPr>
      </w:lvl>
    </w:lvlOverride>
  </w:num>
  <w:num w:numId="18">
    <w:abstractNumId w:val="11"/>
    <w:lvlOverride w:ilvl="0">
      <w:lvl w:ilvl="0" w:tplc="DCFAEE1C">
        <w:start w:val="1"/>
        <w:numFmt w:val="lowerLetter"/>
        <w:lvlText w:val="%1)"/>
        <w:lvlJc w:val="left"/>
        <w:pPr>
          <w:ind w:left="2988" w:hanging="360"/>
        </w:pPr>
        <w:rPr>
          <w:rFonts w:hint="default"/>
        </w:rPr>
      </w:lvl>
    </w:lvlOverride>
  </w:num>
  <w:num w:numId="19">
    <w:abstractNumId w:val="12"/>
    <w:lvlOverride w:ilvl="0">
      <w:lvl w:ilvl="0" w:tplc="43BE314A">
        <w:start w:val="1"/>
        <w:numFmt w:val="lowerLetter"/>
        <w:lvlText w:val="%1)"/>
        <w:lvlJc w:val="left"/>
        <w:pPr>
          <w:ind w:left="2628"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D5"/>
    <w:rsid w:val="000125FC"/>
    <w:rsid w:val="00017F94"/>
    <w:rsid w:val="00023842"/>
    <w:rsid w:val="000334F9"/>
    <w:rsid w:val="00045FEB"/>
    <w:rsid w:val="0007796D"/>
    <w:rsid w:val="000B7790"/>
    <w:rsid w:val="000E36D5"/>
    <w:rsid w:val="00111F2F"/>
    <w:rsid w:val="0014365E"/>
    <w:rsid w:val="00143C66"/>
    <w:rsid w:val="00176178"/>
    <w:rsid w:val="001A5917"/>
    <w:rsid w:val="001E2C0D"/>
    <w:rsid w:val="001F4B32"/>
    <w:rsid w:val="001F525A"/>
    <w:rsid w:val="00223272"/>
    <w:rsid w:val="0024779E"/>
    <w:rsid w:val="00247D99"/>
    <w:rsid w:val="00257168"/>
    <w:rsid w:val="00267A9C"/>
    <w:rsid w:val="002744B8"/>
    <w:rsid w:val="002832AC"/>
    <w:rsid w:val="002D7C93"/>
    <w:rsid w:val="00305801"/>
    <w:rsid w:val="003916DE"/>
    <w:rsid w:val="003A3D56"/>
    <w:rsid w:val="003E44A5"/>
    <w:rsid w:val="00414964"/>
    <w:rsid w:val="00441C3B"/>
    <w:rsid w:val="004447CF"/>
    <w:rsid w:val="00445A8E"/>
    <w:rsid w:val="00446FE5"/>
    <w:rsid w:val="00452396"/>
    <w:rsid w:val="004837D8"/>
    <w:rsid w:val="004B0634"/>
    <w:rsid w:val="004E468C"/>
    <w:rsid w:val="0052030E"/>
    <w:rsid w:val="005505B7"/>
    <w:rsid w:val="00573BE5"/>
    <w:rsid w:val="00586ED3"/>
    <w:rsid w:val="00596AA9"/>
    <w:rsid w:val="006C1AB9"/>
    <w:rsid w:val="0071601D"/>
    <w:rsid w:val="00724EC8"/>
    <w:rsid w:val="007A62E6"/>
    <w:rsid w:val="007F20FA"/>
    <w:rsid w:val="00804C11"/>
    <w:rsid w:val="0080684C"/>
    <w:rsid w:val="00870E39"/>
    <w:rsid w:val="00871C75"/>
    <w:rsid w:val="008776DC"/>
    <w:rsid w:val="008D2C38"/>
    <w:rsid w:val="008E608D"/>
    <w:rsid w:val="009446C0"/>
    <w:rsid w:val="00955A53"/>
    <w:rsid w:val="00961EA2"/>
    <w:rsid w:val="009705C8"/>
    <w:rsid w:val="009C1CF4"/>
    <w:rsid w:val="009F6B74"/>
    <w:rsid w:val="00A21303"/>
    <w:rsid w:val="00A30353"/>
    <w:rsid w:val="00AC2CDF"/>
    <w:rsid w:val="00AC3823"/>
    <w:rsid w:val="00AE323C"/>
    <w:rsid w:val="00AF0CB5"/>
    <w:rsid w:val="00B00181"/>
    <w:rsid w:val="00B00B0D"/>
    <w:rsid w:val="00B765F7"/>
    <w:rsid w:val="00B879D9"/>
    <w:rsid w:val="00BA0CA9"/>
    <w:rsid w:val="00C02897"/>
    <w:rsid w:val="00C156E7"/>
    <w:rsid w:val="00C97039"/>
    <w:rsid w:val="00CE0ED8"/>
    <w:rsid w:val="00CF36D8"/>
    <w:rsid w:val="00D3439C"/>
    <w:rsid w:val="00D53C0C"/>
    <w:rsid w:val="00DB1831"/>
    <w:rsid w:val="00DB5306"/>
    <w:rsid w:val="00DD3BFD"/>
    <w:rsid w:val="00DF6678"/>
    <w:rsid w:val="00E0299A"/>
    <w:rsid w:val="00E1264B"/>
    <w:rsid w:val="00E85C74"/>
    <w:rsid w:val="00EA6547"/>
    <w:rsid w:val="00EF2E22"/>
    <w:rsid w:val="00F35BAF"/>
    <w:rsid w:val="00F53EB9"/>
    <w:rsid w:val="00F660DF"/>
    <w:rsid w:val="00F94664"/>
    <w:rsid w:val="00F9573C"/>
    <w:rsid w:val="00F95C08"/>
    <w:rsid w:val="00FE010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C21D3E-BD56-4DF2-B680-9A89B1AC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6494</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ECE/TRANS/WP.29/2017/129</vt:lpstr>
      <vt:lpstr>ECE/TRANS/WP.29/2017/129</vt:lpstr>
    </vt:vector>
  </TitlesOfParts>
  <Company>DCM</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ECE/TRANS/WP.29/2017/129</dc:title>
  <dc:subject/>
  <dc:creator>Nicolas MORIN</dc:creator>
  <cp:keywords/>
  <cp:lastModifiedBy>Marie-Claude Collet</cp:lastModifiedBy>
  <cp:revision>3</cp:revision>
  <cp:lastPrinted>2017-09-26T13:08:00Z</cp:lastPrinted>
  <dcterms:created xsi:type="dcterms:W3CDTF">2017-09-26T13:07:00Z</dcterms:created>
  <dcterms:modified xsi:type="dcterms:W3CDTF">2017-09-26T13:08:00Z</dcterms:modified>
</cp:coreProperties>
</file>