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06B7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06B74" w:rsidP="00906B74">
            <w:pPr>
              <w:jc w:val="right"/>
            </w:pPr>
            <w:r w:rsidRPr="00906B74">
              <w:rPr>
                <w:sz w:val="40"/>
              </w:rPr>
              <w:t>ECE</w:t>
            </w:r>
            <w:r>
              <w:t>/TRANS/WP.29/GRSG/2016/14/Add.1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06B74" w:rsidP="00892A2F">
            <w:pPr>
              <w:spacing w:before="240"/>
            </w:pPr>
            <w:r>
              <w:t>Distr. générale</w:t>
            </w:r>
          </w:p>
          <w:p w:rsidR="00906B74" w:rsidRDefault="00906B74" w:rsidP="00906B74">
            <w:pPr>
              <w:spacing w:line="240" w:lineRule="exact"/>
            </w:pPr>
            <w:r>
              <w:t>22 juillet 2016</w:t>
            </w:r>
          </w:p>
          <w:p w:rsidR="00906B74" w:rsidRDefault="00906B74" w:rsidP="00906B74">
            <w:pPr>
              <w:spacing w:line="240" w:lineRule="exact"/>
            </w:pPr>
            <w:r>
              <w:t>Français</w:t>
            </w:r>
          </w:p>
          <w:p w:rsidR="00906B74" w:rsidRPr="00DB58B5" w:rsidRDefault="00906B74" w:rsidP="00906B7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01F6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06B74" w:rsidRDefault="00906B74" w:rsidP="00AF0CB5">
      <w:pPr>
        <w:spacing w:before="120"/>
        <w:rPr>
          <w:b/>
          <w:sz w:val="24"/>
          <w:szCs w:val="24"/>
        </w:rPr>
      </w:pPr>
      <w:r w:rsidRPr="00685843">
        <w:rPr>
          <w:b/>
          <w:sz w:val="24"/>
          <w:szCs w:val="24"/>
        </w:rPr>
        <w:t>Forum mondial de l</w:t>
      </w:r>
      <w:r w:rsidR="00D01F61">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06B74" w:rsidRDefault="00906B74" w:rsidP="00257168">
      <w:pPr>
        <w:spacing w:before="120" w:after="120" w:line="240" w:lineRule="exact"/>
        <w:rPr>
          <w:b/>
        </w:rPr>
      </w:pPr>
      <w:r>
        <w:rPr>
          <w:b/>
        </w:rPr>
        <w:t>Groupe de travail des dispositions générales de sécurité</w:t>
      </w:r>
    </w:p>
    <w:p w:rsidR="00906B74" w:rsidRDefault="00906B74" w:rsidP="00257168">
      <w:pPr>
        <w:spacing w:before="120" w:line="240" w:lineRule="exact"/>
        <w:rPr>
          <w:b/>
        </w:rPr>
      </w:pPr>
      <w:r>
        <w:rPr>
          <w:b/>
        </w:rPr>
        <w:t>111</w:t>
      </w:r>
      <w:r w:rsidRPr="00906B74">
        <w:rPr>
          <w:b/>
          <w:vertAlign w:val="superscript"/>
        </w:rPr>
        <w:t>e</w:t>
      </w:r>
      <w:r>
        <w:rPr>
          <w:b/>
        </w:rPr>
        <w:t xml:space="preserve"> session</w:t>
      </w:r>
    </w:p>
    <w:p w:rsidR="00906B74" w:rsidRDefault="00906B74" w:rsidP="00257168">
      <w:pPr>
        <w:spacing w:line="240" w:lineRule="exact"/>
      </w:pPr>
      <w:r>
        <w:t xml:space="preserve">Genève, </w:t>
      </w:r>
      <w:r w:rsidRPr="00B65181">
        <w:rPr>
          <w:lang w:val="fr-FR"/>
        </w:rPr>
        <w:t>11</w:t>
      </w:r>
      <w:r>
        <w:rPr>
          <w:lang w:val="fr-FR"/>
        </w:rPr>
        <w:t>-</w:t>
      </w:r>
      <w:r w:rsidRPr="00B65181">
        <w:rPr>
          <w:lang w:val="fr-FR"/>
        </w:rPr>
        <w:t>14 octobre 2016</w:t>
      </w:r>
    </w:p>
    <w:p w:rsidR="00906B74" w:rsidRDefault="00906B74" w:rsidP="00257168">
      <w:pPr>
        <w:spacing w:line="240" w:lineRule="exact"/>
      </w:pPr>
      <w:r>
        <w:t>Point 1 de l</w:t>
      </w:r>
      <w:r w:rsidR="00D01F61">
        <w:t>’</w:t>
      </w:r>
      <w:r>
        <w:t>ordre du jour provisoire</w:t>
      </w:r>
    </w:p>
    <w:p w:rsidR="00F9573C" w:rsidRDefault="00906B74" w:rsidP="00AF0CB5">
      <w:pPr>
        <w:rPr>
          <w:b/>
          <w:lang w:val="fr-FR"/>
        </w:rPr>
      </w:pPr>
      <w:r w:rsidRPr="00B65181">
        <w:rPr>
          <w:b/>
          <w:lang w:val="fr-FR"/>
        </w:rPr>
        <w:t>Adoption de l</w:t>
      </w:r>
      <w:r w:rsidR="00D01F61">
        <w:rPr>
          <w:b/>
          <w:lang w:val="fr-FR"/>
        </w:rPr>
        <w:t>’</w:t>
      </w:r>
      <w:r w:rsidRPr="00B65181">
        <w:rPr>
          <w:b/>
          <w:lang w:val="fr-FR"/>
        </w:rPr>
        <w:t>ordre du jour</w:t>
      </w:r>
    </w:p>
    <w:p w:rsidR="00906B74" w:rsidRDefault="00906B74" w:rsidP="00906B74">
      <w:pPr>
        <w:pStyle w:val="HChG"/>
        <w:rPr>
          <w:sz w:val="36"/>
          <w:lang w:val="fr-FR"/>
        </w:rPr>
      </w:pPr>
      <w:r>
        <w:tab/>
      </w:r>
      <w:r>
        <w:tab/>
      </w:r>
      <w:r w:rsidRPr="00B65181">
        <w:rPr>
          <w:sz w:val="36"/>
          <w:lang w:val="fr-FR"/>
        </w:rPr>
        <w:t>Ordre du jour provisoire de la 111</w:t>
      </w:r>
      <w:r w:rsidRPr="00B65181">
        <w:rPr>
          <w:sz w:val="36"/>
          <w:vertAlign w:val="superscript"/>
          <w:lang w:val="fr-FR"/>
        </w:rPr>
        <w:t>e</w:t>
      </w:r>
      <w:r w:rsidRPr="00B65181">
        <w:rPr>
          <w:sz w:val="36"/>
          <w:lang w:val="fr-FR"/>
        </w:rPr>
        <w:t xml:space="preserve"> session</w:t>
      </w:r>
    </w:p>
    <w:p w:rsidR="00906B74" w:rsidRDefault="00906B74" w:rsidP="00906B74">
      <w:pPr>
        <w:pStyle w:val="H23G"/>
        <w:rPr>
          <w:lang w:val="fr-FR"/>
        </w:rPr>
      </w:pPr>
      <w:r>
        <w:rPr>
          <w:lang w:val="fr-FR"/>
        </w:rPr>
        <w:tab/>
      </w:r>
      <w:r>
        <w:rPr>
          <w:lang w:val="fr-FR"/>
        </w:rPr>
        <w:tab/>
        <w:t>Additif</w:t>
      </w:r>
    </w:p>
    <w:p w:rsidR="00906B74" w:rsidRDefault="00906B74" w:rsidP="00EF2D39">
      <w:pPr>
        <w:pStyle w:val="HChG"/>
        <w:rPr>
          <w:lang w:val="fr-FR"/>
        </w:rPr>
      </w:pPr>
      <w:r>
        <w:rPr>
          <w:lang w:val="fr-FR"/>
        </w:rPr>
        <w:tab/>
      </w:r>
      <w:r>
        <w:rPr>
          <w:lang w:val="fr-FR"/>
        </w:rPr>
        <w:tab/>
        <w:t>Annotations</w:t>
      </w:r>
    </w:p>
    <w:p w:rsidR="00906B74" w:rsidRDefault="00906B74" w:rsidP="00EF2D39">
      <w:pPr>
        <w:pStyle w:val="H1G"/>
        <w:rPr>
          <w:lang w:val="fr-FR"/>
        </w:rPr>
      </w:pPr>
      <w:r>
        <w:rPr>
          <w:lang w:val="fr-FR"/>
        </w:rPr>
        <w:tab/>
      </w:r>
      <w:r w:rsidR="00EF2D39" w:rsidRPr="00B65181">
        <w:rPr>
          <w:lang w:val="fr-FR"/>
        </w:rPr>
        <w:t>1.</w:t>
      </w:r>
      <w:r w:rsidR="00EF2D39" w:rsidRPr="00B65181">
        <w:rPr>
          <w:lang w:val="fr-FR"/>
        </w:rPr>
        <w:tab/>
        <w:t>Adoption de l</w:t>
      </w:r>
      <w:r w:rsidR="00D01F61">
        <w:rPr>
          <w:lang w:val="fr-FR"/>
        </w:rPr>
        <w:t>’</w:t>
      </w:r>
      <w:r w:rsidR="00EF2D39" w:rsidRPr="00B65181">
        <w:rPr>
          <w:lang w:val="fr-FR"/>
        </w:rPr>
        <w:t>ordre du jour</w:t>
      </w:r>
    </w:p>
    <w:p w:rsidR="00EF2D39" w:rsidRDefault="00EF2D39" w:rsidP="00EF2D39">
      <w:pPr>
        <w:pStyle w:val="SingleTxtG"/>
        <w:ind w:firstLine="567"/>
        <w:rPr>
          <w:lang w:val="fr-FR"/>
        </w:rPr>
      </w:pPr>
      <w:r w:rsidRPr="00EF2D39">
        <w:rPr>
          <w:spacing w:val="-4"/>
          <w:lang w:val="fr-FR"/>
        </w:rPr>
        <w:t>Conformément à l</w:t>
      </w:r>
      <w:r w:rsidR="00D01F61">
        <w:rPr>
          <w:spacing w:val="-4"/>
          <w:lang w:val="fr-FR"/>
        </w:rPr>
        <w:t>’</w:t>
      </w:r>
      <w:r w:rsidRPr="00EF2D39">
        <w:rPr>
          <w:spacing w:val="-4"/>
          <w:lang w:val="fr-FR"/>
        </w:rPr>
        <w:t>article 7 du chapitre III du Règlement intérieur (TRANS/WP.29/690,</w:t>
      </w:r>
      <w:r>
        <w:rPr>
          <w:lang w:val="fr-FR"/>
        </w:rPr>
        <w:t xml:space="preserve"> Amend.1 et </w:t>
      </w:r>
      <w:r w:rsidRPr="00EF2D39">
        <w:rPr>
          <w:lang w:val="fr-FR"/>
        </w:rPr>
        <w:t>2) du Forum mondial de l</w:t>
      </w:r>
      <w:r w:rsidR="00D01F61">
        <w:rPr>
          <w:lang w:val="fr-FR"/>
        </w:rPr>
        <w:t>’</w:t>
      </w:r>
      <w:r w:rsidRPr="00EF2D39">
        <w:rPr>
          <w:lang w:val="fr-FR"/>
        </w:rPr>
        <w:t>harmonisation des Règlements concernant les véhicules (WP.29), le premier point de l</w:t>
      </w:r>
      <w:r w:rsidR="00D01F61">
        <w:rPr>
          <w:lang w:val="fr-FR"/>
        </w:rPr>
        <w:t>’</w:t>
      </w:r>
      <w:r w:rsidRPr="00EF2D39">
        <w:rPr>
          <w:lang w:val="fr-FR"/>
        </w:rPr>
        <w:t>ordre du jour provisoire est l</w:t>
      </w:r>
      <w:r w:rsidR="00D01F61">
        <w:rPr>
          <w:lang w:val="fr-FR"/>
        </w:rPr>
        <w:t>’</w:t>
      </w:r>
      <w:r w:rsidRPr="00EF2D39">
        <w:rPr>
          <w:lang w:val="fr-FR"/>
        </w:rPr>
        <w:t>adoption de l</w:t>
      </w:r>
      <w:r w:rsidR="00D01F61">
        <w:rPr>
          <w:lang w:val="fr-FR"/>
        </w:rPr>
        <w:t>’</w:t>
      </w:r>
      <w:r w:rsidRPr="00EF2D39">
        <w:rPr>
          <w:lang w:val="fr-FR"/>
        </w:rPr>
        <w:t>ordre du jour.</w:t>
      </w:r>
    </w:p>
    <w:p w:rsidR="00EF2D39" w:rsidRDefault="00EF2D39" w:rsidP="00EF2D39">
      <w:pPr>
        <w:pStyle w:val="SingleTxtG"/>
        <w:ind w:left="2268" w:hanging="1134"/>
        <w:jc w:val="left"/>
        <w:rPr>
          <w:lang w:val="fr-FR"/>
        </w:rPr>
      </w:pPr>
      <w:r w:rsidRPr="00EF2D39">
        <w:rPr>
          <w:bCs/>
          <w:i/>
          <w:lang w:val="fr-FR"/>
        </w:rPr>
        <w:t>Documents</w:t>
      </w:r>
      <w:r>
        <w:rPr>
          <w:bCs/>
          <w:lang w:val="fr-FR"/>
        </w:rPr>
        <w:t> </w:t>
      </w:r>
      <w:r w:rsidRPr="00EF2D39">
        <w:rPr>
          <w:bCs/>
          <w:lang w:val="fr-FR"/>
        </w:rPr>
        <w:t>:</w:t>
      </w:r>
      <w:r w:rsidRPr="00EF2D39">
        <w:rPr>
          <w:lang w:val="fr-FR"/>
        </w:rPr>
        <w:tab/>
      </w:r>
      <w:r w:rsidRPr="00B65181">
        <w:rPr>
          <w:lang w:val="fr-FR"/>
        </w:rPr>
        <w:t>ECE/TRANS/WP.29/GRSP/2016/14 et Add.1</w:t>
      </w:r>
      <w:r>
        <w:rPr>
          <w:lang w:val="fr-FR"/>
        </w:rPr>
        <w:t> ;</w:t>
      </w:r>
      <w:r>
        <w:rPr>
          <w:lang w:val="fr-FR"/>
        </w:rPr>
        <w:br/>
      </w:r>
      <w:r w:rsidR="00EC5E47">
        <w:rPr>
          <w:lang w:val="fr-FR"/>
        </w:rPr>
        <w:t>d</w:t>
      </w:r>
      <w:r w:rsidRPr="00B65181">
        <w:rPr>
          <w:lang w:val="fr-FR"/>
        </w:rPr>
        <w:t>ocument informel GRSG-111-01</w:t>
      </w:r>
      <w:r w:rsidR="00645CDE">
        <w:rPr>
          <w:lang w:val="fr-FR"/>
        </w:rPr>
        <w:t>.</w:t>
      </w:r>
    </w:p>
    <w:p w:rsidR="00645CDE" w:rsidRPr="00645CDE" w:rsidRDefault="00645CDE" w:rsidP="00645CDE">
      <w:pPr>
        <w:pStyle w:val="H1G"/>
        <w:rPr>
          <w:lang w:val="fr-FR"/>
        </w:rPr>
      </w:pPr>
      <w:r w:rsidRPr="00645CDE">
        <w:rPr>
          <w:lang w:val="fr-FR"/>
        </w:rPr>
        <w:tab/>
        <w:t>2.</w:t>
      </w:r>
      <w:r w:rsidRPr="00645CDE">
        <w:rPr>
          <w:lang w:val="fr-FR"/>
        </w:rPr>
        <w:tab/>
        <w:t xml:space="preserve">Règlement </w:t>
      </w:r>
      <w:r w:rsidRPr="00645CDE">
        <w:rPr>
          <w:rFonts w:eastAsia="MS Mincho"/>
          <w:szCs w:val="22"/>
          <w:lang w:val="fr-FR"/>
        </w:rPr>
        <w:t>n</w:t>
      </w:r>
      <w:r w:rsidRPr="00645CDE">
        <w:rPr>
          <w:rFonts w:eastAsia="MS Mincho"/>
          <w:szCs w:val="22"/>
          <w:vertAlign w:val="superscript"/>
          <w:lang w:val="fr-FR"/>
        </w:rPr>
        <w:t>o</w:t>
      </w:r>
      <w:r>
        <w:rPr>
          <w:lang w:val="fr-FR"/>
        </w:rPr>
        <w:t> </w:t>
      </w:r>
      <w:r w:rsidRPr="00645CDE">
        <w:rPr>
          <w:lang w:val="fr-FR"/>
        </w:rPr>
        <w:t>107 (Véhicules des catégories M</w:t>
      </w:r>
      <w:r w:rsidRPr="00645CDE">
        <w:rPr>
          <w:vertAlign w:val="subscript"/>
          <w:lang w:val="fr-FR"/>
        </w:rPr>
        <w:t>2</w:t>
      </w:r>
      <w:r w:rsidRPr="00645CDE">
        <w:rPr>
          <w:lang w:val="fr-FR"/>
        </w:rPr>
        <w:t xml:space="preserve"> et M</w:t>
      </w:r>
      <w:r w:rsidRPr="00645CDE">
        <w:rPr>
          <w:vertAlign w:val="subscript"/>
          <w:lang w:val="fr-FR"/>
        </w:rPr>
        <w:t>3</w:t>
      </w:r>
      <w:r w:rsidRPr="00645CDE">
        <w:rPr>
          <w:lang w:val="fr-FR"/>
        </w:rPr>
        <w:t>)</w:t>
      </w:r>
    </w:p>
    <w:p w:rsidR="00645CDE" w:rsidRPr="00645CDE" w:rsidRDefault="00645CDE" w:rsidP="00645CDE">
      <w:pPr>
        <w:pStyle w:val="SingleTxtG"/>
        <w:ind w:firstLine="567"/>
        <w:rPr>
          <w:lang w:val="fr-FR"/>
        </w:rPr>
      </w:pPr>
      <w:r w:rsidRPr="00645CDE">
        <w:rPr>
          <w:lang w:val="fr-FR"/>
        </w:rPr>
        <w:t>Le Groupe de travail des dispositions générales de sécurité (GRSG) a décidé d</w:t>
      </w:r>
      <w:r w:rsidR="00D01F61">
        <w:rPr>
          <w:lang w:val="fr-FR"/>
        </w:rPr>
        <w:t>’</w:t>
      </w:r>
      <w:r w:rsidRPr="00645CDE">
        <w:rPr>
          <w:lang w:val="fr-FR"/>
        </w:rPr>
        <w:t xml:space="preserve">examiner une proposition de la Belgique (ECE/TRANS/WP.29/GRSG/2016/5) visant à retirer du Règlement </w:t>
      </w:r>
      <w:r w:rsidR="0089145B" w:rsidRPr="0089145B">
        <w:rPr>
          <w:rFonts w:eastAsia="MS Mincho"/>
          <w:szCs w:val="22"/>
          <w:lang w:val="fr-FR"/>
        </w:rPr>
        <w:t>n</w:t>
      </w:r>
      <w:r w:rsidR="0089145B" w:rsidRPr="0089145B">
        <w:rPr>
          <w:rFonts w:eastAsia="MS Mincho"/>
          <w:szCs w:val="22"/>
          <w:vertAlign w:val="superscript"/>
          <w:lang w:val="fr-FR"/>
        </w:rPr>
        <w:t>o</w:t>
      </w:r>
      <w:r w:rsidR="0089145B">
        <w:rPr>
          <w:lang w:val="fr-FR"/>
        </w:rPr>
        <w:t> </w:t>
      </w:r>
      <w:r w:rsidRPr="00645CDE">
        <w:rPr>
          <w:lang w:val="fr-FR"/>
        </w:rPr>
        <w:t xml:space="preserve">107 les prescriptions supplémentaires de sécurité applicables aux trolleybus et à les introduire dans le Règlement </w:t>
      </w:r>
      <w:r w:rsidR="0089145B" w:rsidRPr="0089145B">
        <w:rPr>
          <w:rFonts w:eastAsia="MS Mincho"/>
          <w:szCs w:val="22"/>
          <w:lang w:val="fr-FR"/>
        </w:rPr>
        <w:t>n</w:t>
      </w:r>
      <w:r w:rsidR="0089145B" w:rsidRPr="0089145B">
        <w:rPr>
          <w:rFonts w:eastAsia="MS Mincho"/>
          <w:szCs w:val="22"/>
          <w:vertAlign w:val="superscript"/>
          <w:lang w:val="fr-FR"/>
        </w:rPr>
        <w:t>o</w:t>
      </w:r>
      <w:r w:rsidR="0089145B">
        <w:rPr>
          <w:lang w:val="fr-FR"/>
        </w:rPr>
        <w:t> </w:t>
      </w:r>
      <w:r w:rsidRPr="00645CDE">
        <w:rPr>
          <w:lang w:val="fr-FR"/>
        </w:rPr>
        <w:t>100 sur la sécurité des véhicules électriques à batterie. Le GRSG devrait à ce propos recevoir les résultats d</w:t>
      </w:r>
      <w:r w:rsidR="00D01F61">
        <w:rPr>
          <w:lang w:val="fr-FR"/>
        </w:rPr>
        <w:t>’</w:t>
      </w:r>
      <w:r w:rsidRPr="00645CDE">
        <w:rPr>
          <w:lang w:val="fr-FR"/>
        </w:rPr>
        <w:t>une analyse détaillée effectuée par la Belgique dans le but de déterminer si les champs d</w:t>
      </w:r>
      <w:r w:rsidR="00D01F61">
        <w:rPr>
          <w:lang w:val="fr-FR"/>
        </w:rPr>
        <w:t>’</w:t>
      </w:r>
      <w:r w:rsidRPr="00645CDE">
        <w:rPr>
          <w:lang w:val="fr-FR"/>
        </w:rPr>
        <w:t xml:space="preserve">application </w:t>
      </w:r>
      <w:r w:rsidRPr="00645CDE">
        <w:rPr>
          <w:lang w:val="fr-FR"/>
        </w:rPr>
        <w:lastRenderedPageBreak/>
        <w:t>et</w:t>
      </w:r>
      <w:r w:rsidR="00AF50F8">
        <w:rPr>
          <w:lang w:val="fr-FR"/>
        </w:rPr>
        <w:t> </w:t>
      </w:r>
      <w:r w:rsidRPr="00645CDE">
        <w:rPr>
          <w:lang w:val="fr-FR"/>
        </w:rPr>
        <w:t>les dispositions techniques relatives aux trolleybus des Règlements n</w:t>
      </w:r>
      <w:r w:rsidRPr="00645CDE">
        <w:rPr>
          <w:vertAlign w:val="superscript"/>
          <w:lang w:val="fr-FR"/>
        </w:rPr>
        <w:t>os</w:t>
      </w:r>
      <w:r w:rsidRPr="00645CDE">
        <w:rPr>
          <w:lang w:val="fr-FR"/>
        </w:rPr>
        <w:t xml:space="preserve"> 10, 100 et 107 sont compatibles ou non.</w:t>
      </w:r>
    </w:p>
    <w:p w:rsidR="00645CDE" w:rsidRPr="00645CDE" w:rsidRDefault="00645CDE" w:rsidP="00645CDE">
      <w:pPr>
        <w:pStyle w:val="SingleTxtG"/>
        <w:ind w:firstLine="567"/>
        <w:rPr>
          <w:lang w:val="fr-FR"/>
        </w:rPr>
      </w:pPr>
      <w:r w:rsidRPr="00645CDE">
        <w:rPr>
          <w:lang w:val="fr-FR"/>
        </w:rPr>
        <w:t>Le Groupe de travail examinera sans doute le document ECE/TRANS/WP.29/</w:t>
      </w:r>
      <w:r w:rsidR="009B31B3">
        <w:rPr>
          <w:lang w:val="fr-FR"/>
        </w:rPr>
        <w:br/>
      </w:r>
      <w:r w:rsidRPr="00645CDE">
        <w:rPr>
          <w:lang w:val="fr-FR"/>
        </w:rPr>
        <w:t>GRSG/2016/20 présenté par l</w:t>
      </w:r>
      <w:r w:rsidR="00D01F61">
        <w:rPr>
          <w:lang w:val="fr-FR"/>
        </w:rPr>
        <w:t>’</w:t>
      </w:r>
      <w:r w:rsidRPr="00645CDE">
        <w:rPr>
          <w:lang w:val="fr-FR"/>
        </w:rPr>
        <w:t>Allemagne, relatif à l</w:t>
      </w:r>
      <w:r w:rsidR="00D01F61">
        <w:rPr>
          <w:lang w:val="fr-FR"/>
        </w:rPr>
        <w:t>’</w:t>
      </w:r>
      <w:r w:rsidRPr="00645CDE">
        <w:rPr>
          <w:lang w:val="fr-FR"/>
        </w:rPr>
        <w:t>amélioration des aménagements et de l</w:t>
      </w:r>
      <w:r w:rsidR="00D01F61">
        <w:rPr>
          <w:lang w:val="fr-FR"/>
        </w:rPr>
        <w:t>’</w:t>
      </w:r>
      <w:r w:rsidRPr="00645CDE">
        <w:rPr>
          <w:lang w:val="fr-FR"/>
        </w:rPr>
        <w:t>accessibilité pour les voyageurs à mobilité réduite</w:t>
      </w:r>
      <w:r w:rsidR="0089145B">
        <w:rPr>
          <w:lang w:val="fr-FR"/>
        </w:rPr>
        <w:t>.</w:t>
      </w:r>
    </w:p>
    <w:p w:rsidR="00645CDE" w:rsidRPr="00645CDE" w:rsidRDefault="00645CDE" w:rsidP="0089145B">
      <w:pPr>
        <w:pStyle w:val="SingleTxtG"/>
        <w:ind w:left="2268" w:hanging="1134"/>
        <w:jc w:val="left"/>
        <w:rPr>
          <w:lang w:val="en-GB"/>
        </w:rPr>
      </w:pPr>
      <w:r w:rsidRPr="0089145B">
        <w:rPr>
          <w:bCs/>
          <w:i/>
          <w:lang w:val="fr-FR"/>
        </w:rPr>
        <w:t>Documents</w:t>
      </w:r>
      <w:r w:rsidR="0089145B">
        <w:rPr>
          <w:bCs/>
          <w:i/>
          <w:lang w:val="fr-FR"/>
        </w:rPr>
        <w:t> </w:t>
      </w:r>
      <w:r w:rsidRPr="0089145B">
        <w:rPr>
          <w:bCs/>
          <w:lang w:val="fr-FR"/>
        </w:rPr>
        <w:t>:</w:t>
      </w:r>
      <w:r w:rsidRPr="0089145B">
        <w:rPr>
          <w:lang w:val="fr-FR"/>
        </w:rPr>
        <w:tab/>
      </w:r>
      <w:r w:rsidRPr="00645CDE">
        <w:rPr>
          <w:lang w:val="fr-FR"/>
        </w:rPr>
        <w:t>ECE/TRANS/WP.29/GRSG/2016/5</w:t>
      </w:r>
      <w:r w:rsidR="0089145B">
        <w:rPr>
          <w:lang w:val="fr-FR"/>
        </w:rPr>
        <w:t> ;</w:t>
      </w:r>
      <w:r w:rsidR="00EC5E47">
        <w:rPr>
          <w:lang w:val="fr-FR"/>
        </w:rPr>
        <w:br/>
      </w:r>
      <w:r w:rsidRPr="00645CDE">
        <w:rPr>
          <w:lang w:val="fr-FR"/>
        </w:rPr>
        <w:t>ECE/TRANS/WP.29/GRSG/2016/20</w:t>
      </w:r>
      <w:r w:rsidR="0089145B">
        <w:rPr>
          <w:lang w:val="fr-FR"/>
        </w:rPr>
        <w:t>.</w:t>
      </w:r>
    </w:p>
    <w:p w:rsidR="00645CDE" w:rsidRPr="00645CDE" w:rsidRDefault="00645CDE" w:rsidP="0089145B">
      <w:pPr>
        <w:pStyle w:val="H1G"/>
        <w:rPr>
          <w:lang w:val="fr-FR"/>
        </w:rPr>
      </w:pPr>
      <w:r w:rsidRPr="00645CDE">
        <w:rPr>
          <w:lang w:val="fr-FR"/>
        </w:rPr>
        <w:tab/>
        <w:t>3.</w:t>
      </w:r>
      <w:r w:rsidRPr="00645CDE">
        <w:rPr>
          <w:lang w:val="fr-FR"/>
        </w:rPr>
        <w:tab/>
        <w:t xml:space="preserve">Règlement </w:t>
      </w:r>
      <w:r w:rsidR="0089145B" w:rsidRPr="0089145B">
        <w:rPr>
          <w:rFonts w:eastAsia="MS Mincho"/>
          <w:szCs w:val="22"/>
          <w:lang w:val="fr-FR"/>
        </w:rPr>
        <w:t>n</w:t>
      </w:r>
      <w:r w:rsidR="0089145B" w:rsidRPr="0089145B">
        <w:rPr>
          <w:rFonts w:eastAsia="MS Mincho"/>
          <w:szCs w:val="22"/>
          <w:vertAlign w:val="superscript"/>
          <w:lang w:val="fr-FR"/>
        </w:rPr>
        <w:t>o</w:t>
      </w:r>
      <w:r w:rsidR="0089145B">
        <w:rPr>
          <w:lang w:val="fr-FR"/>
        </w:rPr>
        <w:t> </w:t>
      </w:r>
      <w:r w:rsidRPr="00645CDE">
        <w:rPr>
          <w:lang w:val="fr-FR"/>
        </w:rPr>
        <w:t>39 (Indicateur de vitesse/compteur kilométrique</w:t>
      </w:r>
      <w:r w:rsidR="0089145B">
        <w:rPr>
          <w:lang w:val="fr-FR"/>
        </w:rPr>
        <w:t>)</w:t>
      </w:r>
    </w:p>
    <w:p w:rsidR="00645CDE" w:rsidRPr="00645CDE" w:rsidRDefault="00645CDE" w:rsidP="00645CDE">
      <w:pPr>
        <w:pStyle w:val="SingleTxtG"/>
        <w:ind w:firstLine="567"/>
        <w:rPr>
          <w:lang w:val="fr-FR"/>
        </w:rPr>
      </w:pPr>
      <w:r w:rsidRPr="00645CDE">
        <w:rPr>
          <w:lang w:val="fr-FR"/>
        </w:rPr>
        <w:t>Suite à l</w:t>
      </w:r>
      <w:r w:rsidR="00D01F61">
        <w:rPr>
          <w:lang w:val="fr-FR"/>
        </w:rPr>
        <w:t>’</w:t>
      </w:r>
      <w:r w:rsidRPr="00645CDE">
        <w:rPr>
          <w:lang w:val="fr-FR"/>
        </w:rPr>
        <w:t xml:space="preserve">adoption de nouvelles dispositions relatives à la protection contre la fraude au kilométrage, </w:t>
      </w:r>
      <w:r w:rsidRPr="00645CDE">
        <w:rPr>
          <w:bCs/>
          <w:lang w:val="fr-FR"/>
        </w:rPr>
        <w:t>le GRSG devrait être informé par la Fédération internationale de l</w:t>
      </w:r>
      <w:r w:rsidR="00D01F61">
        <w:rPr>
          <w:bCs/>
          <w:lang w:val="fr-FR"/>
        </w:rPr>
        <w:t>’</w:t>
      </w:r>
      <w:r w:rsidRPr="00645CDE">
        <w:rPr>
          <w:bCs/>
          <w:lang w:val="fr-FR"/>
        </w:rPr>
        <w:t>automobile (FIA) et l</w:t>
      </w:r>
      <w:r w:rsidR="00D01F61">
        <w:rPr>
          <w:bCs/>
          <w:lang w:val="fr-FR"/>
        </w:rPr>
        <w:t>’</w:t>
      </w:r>
      <w:r w:rsidRPr="00645CDE">
        <w:rPr>
          <w:bCs/>
          <w:lang w:val="fr-FR"/>
        </w:rPr>
        <w:t>Organisation internationale des constructeurs d</w:t>
      </w:r>
      <w:r w:rsidR="00D01F61">
        <w:rPr>
          <w:bCs/>
          <w:lang w:val="fr-FR"/>
        </w:rPr>
        <w:t>’</w:t>
      </w:r>
      <w:r w:rsidRPr="00645CDE">
        <w:rPr>
          <w:bCs/>
          <w:lang w:val="fr-FR"/>
        </w:rPr>
        <w:t>automobiles (OICA) des résultats de leur action conjointe concernant les spécifications relatives à la sécurité et à la sécurité fonctionnelle des normes 26262 et 15408 de l</w:t>
      </w:r>
      <w:r w:rsidR="00D01F61">
        <w:rPr>
          <w:bCs/>
          <w:lang w:val="fr-FR"/>
        </w:rPr>
        <w:t>’</w:t>
      </w:r>
      <w:r w:rsidRPr="00645CDE">
        <w:rPr>
          <w:bCs/>
          <w:lang w:val="fr-FR"/>
        </w:rPr>
        <w:t>Organisation internationale de normalisation (ISO) portant sur la cybersécurité, la protection des données et l</w:t>
      </w:r>
      <w:r w:rsidR="00D01F61">
        <w:rPr>
          <w:bCs/>
          <w:lang w:val="fr-FR"/>
        </w:rPr>
        <w:t>’</w:t>
      </w:r>
      <w:r w:rsidRPr="00645CDE">
        <w:rPr>
          <w:bCs/>
          <w:lang w:val="fr-FR"/>
        </w:rPr>
        <w:t>accès à distance aux données du véhicule.</w:t>
      </w:r>
    </w:p>
    <w:p w:rsidR="00645CDE" w:rsidRPr="00645CDE" w:rsidRDefault="00645CDE" w:rsidP="00645CDE">
      <w:pPr>
        <w:pStyle w:val="SingleTxtG"/>
        <w:ind w:firstLine="567"/>
        <w:rPr>
          <w:lang w:val="fr-FR"/>
        </w:rPr>
      </w:pPr>
      <w:r w:rsidRPr="00645CDE">
        <w:rPr>
          <w:lang w:val="fr-FR"/>
        </w:rPr>
        <w:t>Le Groupe de travail devrait reprendre l</w:t>
      </w:r>
      <w:r w:rsidR="00D01F61">
        <w:rPr>
          <w:lang w:val="fr-FR"/>
        </w:rPr>
        <w:t>’</w:t>
      </w:r>
      <w:r w:rsidRPr="00645CDE">
        <w:rPr>
          <w:lang w:val="fr-FR"/>
        </w:rPr>
        <w:t>examen d</w:t>
      </w:r>
      <w:r w:rsidR="00D01F61">
        <w:rPr>
          <w:lang w:val="fr-FR"/>
        </w:rPr>
        <w:t>’</w:t>
      </w:r>
      <w:r w:rsidRPr="00645CDE">
        <w:rPr>
          <w:lang w:val="fr-FR"/>
        </w:rPr>
        <w:t>une proposition révisée établie par l</w:t>
      </w:r>
      <w:r w:rsidR="00D01F61">
        <w:rPr>
          <w:lang w:val="fr-FR"/>
        </w:rPr>
        <w:t>’</w:t>
      </w:r>
      <w:r w:rsidRPr="00645CDE">
        <w:rPr>
          <w:lang w:val="fr-FR"/>
        </w:rPr>
        <w:t xml:space="preserve">expert de la Commission européenne (CE) qui vise à modifier les prescriptions </w:t>
      </w:r>
      <w:r w:rsidR="0053302C">
        <w:rPr>
          <w:lang w:val="fr-FR"/>
        </w:rPr>
        <w:t>relatives</w:t>
      </w:r>
      <w:r w:rsidRPr="00645CDE">
        <w:rPr>
          <w:lang w:val="fr-FR"/>
        </w:rPr>
        <w:t xml:space="preserve"> à l</w:t>
      </w:r>
      <w:r w:rsidR="00D01F61">
        <w:rPr>
          <w:lang w:val="fr-FR"/>
        </w:rPr>
        <w:t>’</w:t>
      </w:r>
      <w:r w:rsidRPr="00645CDE">
        <w:rPr>
          <w:lang w:val="fr-FR"/>
        </w:rPr>
        <w:t>affichage numérique des indicateurs de vitesse, en tenant c</w:t>
      </w:r>
      <w:r w:rsidR="0053302C">
        <w:rPr>
          <w:lang w:val="fr-FR"/>
        </w:rPr>
        <w:t>ompte des observations reçues à</w:t>
      </w:r>
      <w:r w:rsidRPr="00645CDE">
        <w:rPr>
          <w:lang w:val="fr-FR"/>
        </w:rPr>
        <w:t xml:space="preserve"> sa dernière session (ECE/TRANS/WP.29/GRSG/2016/25).</w:t>
      </w:r>
    </w:p>
    <w:p w:rsidR="00645CDE" w:rsidRPr="00645CDE" w:rsidRDefault="00645CDE" w:rsidP="0089145B">
      <w:pPr>
        <w:pStyle w:val="SingleTxtG"/>
        <w:ind w:left="2268" w:hanging="1134"/>
        <w:jc w:val="left"/>
        <w:rPr>
          <w:lang w:val="fr-FR"/>
        </w:rPr>
      </w:pPr>
      <w:r w:rsidRPr="0089145B">
        <w:rPr>
          <w:bCs/>
          <w:i/>
          <w:lang w:val="fr-FR"/>
        </w:rPr>
        <w:t>Documents</w:t>
      </w:r>
      <w:r w:rsidR="0089145B">
        <w:rPr>
          <w:bCs/>
          <w:i/>
          <w:lang w:val="fr-FR"/>
        </w:rPr>
        <w:t> </w:t>
      </w:r>
      <w:r w:rsidRPr="0089145B">
        <w:rPr>
          <w:bCs/>
          <w:lang w:val="fr-FR"/>
        </w:rPr>
        <w:t>:</w:t>
      </w:r>
      <w:r w:rsidRPr="00645CDE">
        <w:rPr>
          <w:lang w:val="fr-FR"/>
        </w:rPr>
        <w:tab/>
        <w:t>(ECE/TRANS/WP.29/GRSG/2015/16)</w:t>
      </w:r>
      <w:r w:rsidR="00D01F61">
        <w:rPr>
          <w:lang w:val="fr-FR"/>
        </w:rPr>
        <w:t> ;</w:t>
      </w:r>
      <w:r w:rsidR="00FB6DAA">
        <w:rPr>
          <w:lang w:val="fr-FR"/>
        </w:rPr>
        <w:br/>
      </w:r>
      <w:r w:rsidR="00D01F61" w:rsidRPr="00D01F61">
        <w:rPr>
          <w:spacing w:val="-2"/>
          <w:lang w:val="fr-FR"/>
        </w:rPr>
        <w:t>(</w:t>
      </w:r>
      <w:r w:rsidR="00E04669">
        <w:rPr>
          <w:spacing w:val="-2"/>
          <w:lang w:val="fr-FR"/>
        </w:rPr>
        <w:t>d</w:t>
      </w:r>
      <w:r w:rsidR="00D01F61" w:rsidRPr="00D01F61">
        <w:rPr>
          <w:spacing w:val="-2"/>
          <w:lang w:val="fr-FR"/>
        </w:rPr>
        <w:t>ocument informel GRSG-109-13) ;</w:t>
      </w:r>
      <w:r w:rsidR="00FB6DAA">
        <w:rPr>
          <w:spacing w:val="-2"/>
          <w:lang w:val="fr-FR"/>
        </w:rPr>
        <w:br/>
      </w:r>
      <w:r w:rsidRPr="00645CDE">
        <w:rPr>
          <w:lang w:val="fr-FR"/>
        </w:rPr>
        <w:t>ECE/TRANS/WP.29/GRSG/2016/25</w:t>
      </w:r>
      <w:r w:rsidR="00D01F61">
        <w:rPr>
          <w:lang w:val="fr-FR"/>
        </w:rPr>
        <w:t>.</w:t>
      </w:r>
    </w:p>
    <w:p w:rsidR="00645CDE" w:rsidRPr="00645CDE" w:rsidRDefault="00645CDE" w:rsidP="00D01F61">
      <w:pPr>
        <w:pStyle w:val="H1G"/>
        <w:rPr>
          <w:lang w:val="fr-FR"/>
        </w:rPr>
      </w:pPr>
      <w:r w:rsidRPr="00645CDE">
        <w:rPr>
          <w:lang w:val="fr-FR"/>
        </w:rPr>
        <w:tab/>
        <w:t>4.</w:t>
      </w:r>
      <w:r w:rsidRPr="00645CDE">
        <w:rPr>
          <w:lang w:val="fr-FR"/>
        </w:rPr>
        <w:tab/>
        <w:t xml:space="preserve">Règlement </w:t>
      </w:r>
      <w:r w:rsidR="00D01F61" w:rsidRPr="0089145B">
        <w:rPr>
          <w:rFonts w:eastAsia="MS Mincho"/>
          <w:szCs w:val="22"/>
          <w:lang w:val="fr-FR"/>
        </w:rPr>
        <w:t>n</w:t>
      </w:r>
      <w:r w:rsidR="00D01F61" w:rsidRPr="0089145B">
        <w:rPr>
          <w:rFonts w:eastAsia="MS Mincho"/>
          <w:szCs w:val="22"/>
          <w:vertAlign w:val="superscript"/>
          <w:lang w:val="fr-FR"/>
        </w:rPr>
        <w:t>o</w:t>
      </w:r>
      <w:r w:rsidR="00D01F61">
        <w:rPr>
          <w:lang w:val="fr-FR"/>
        </w:rPr>
        <w:t> </w:t>
      </w:r>
      <w:r w:rsidRPr="00645CDE">
        <w:rPr>
          <w:lang w:val="fr-FR"/>
        </w:rPr>
        <w:t>43 (Vitrages de sécurité)</w:t>
      </w:r>
    </w:p>
    <w:p w:rsidR="00645CDE" w:rsidRPr="00645CDE" w:rsidRDefault="00645CDE" w:rsidP="00645CDE">
      <w:pPr>
        <w:pStyle w:val="SingleTxtG"/>
        <w:ind w:firstLine="567"/>
        <w:rPr>
          <w:lang w:val="fr-FR"/>
        </w:rPr>
      </w:pPr>
      <w:r w:rsidRPr="00645CDE">
        <w:rPr>
          <w:lang w:val="fr-FR"/>
        </w:rPr>
        <w:t xml:space="preserve">Le </w:t>
      </w:r>
      <w:r w:rsidR="0053302C">
        <w:rPr>
          <w:lang w:val="fr-FR"/>
        </w:rPr>
        <w:t>Groupe de travail</w:t>
      </w:r>
      <w:r w:rsidRPr="00645CDE">
        <w:rPr>
          <w:lang w:val="fr-FR"/>
        </w:rPr>
        <w:t xml:space="preserve"> a décidé de reprendre l</w:t>
      </w:r>
      <w:r w:rsidR="00D01F61">
        <w:rPr>
          <w:lang w:val="fr-FR"/>
        </w:rPr>
        <w:t>’</w:t>
      </w:r>
      <w:r w:rsidRPr="00645CDE">
        <w:rPr>
          <w:lang w:val="fr-FR"/>
        </w:rPr>
        <w:t>examen d</w:t>
      </w:r>
      <w:r w:rsidR="00D01F61">
        <w:rPr>
          <w:lang w:val="fr-FR"/>
        </w:rPr>
        <w:t>’</w:t>
      </w:r>
      <w:r w:rsidRPr="00645CDE">
        <w:rPr>
          <w:lang w:val="fr-FR"/>
        </w:rPr>
        <w:t>une proposition de la Hongrie qui vise à préciser les prescriptions applicables au dispositif utilisé pour les essais d</w:t>
      </w:r>
      <w:r w:rsidR="00D01F61">
        <w:rPr>
          <w:lang w:val="fr-FR"/>
        </w:rPr>
        <w:t>’</w:t>
      </w:r>
      <w:r w:rsidRPr="00645CDE">
        <w:rPr>
          <w:lang w:val="fr-FR"/>
        </w:rPr>
        <w:t>abrasion (ECE/TRANS/WP.29/GRSG/2015/22), dans l</w:t>
      </w:r>
      <w:r w:rsidR="00D01F61">
        <w:rPr>
          <w:lang w:val="fr-FR"/>
        </w:rPr>
        <w:t>’</w:t>
      </w:r>
      <w:r w:rsidRPr="00645CDE">
        <w:rPr>
          <w:lang w:val="fr-FR"/>
        </w:rPr>
        <w:t>attente de la publication de la norme ISO correspondante.</w:t>
      </w:r>
    </w:p>
    <w:p w:rsidR="00645CDE" w:rsidRPr="00645CDE" w:rsidRDefault="00645CDE" w:rsidP="00645CDE">
      <w:pPr>
        <w:pStyle w:val="SingleTxtG"/>
        <w:ind w:firstLine="567"/>
        <w:rPr>
          <w:lang w:val="fr-FR"/>
        </w:rPr>
      </w:pPr>
      <w:r w:rsidRPr="00645CDE">
        <w:rPr>
          <w:lang w:val="fr-FR"/>
        </w:rPr>
        <w:t>Le Groupe de travail examinera sans doute une proposition de l</w:t>
      </w:r>
      <w:r w:rsidR="00D01F61">
        <w:rPr>
          <w:lang w:val="fr-FR"/>
        </w:rPr>
        <w:t>’</w:t>
      </w:r>
      <w:r w:rsidRPr="00645CDE">
        <w:rPr>
          <w:lang w:val="fr-FR"/>
        </w:rPr>
        <w:t>Allemagne visant à harmoniser les prescriptions relatives aux vitrages en plastique autres que les pare-brise et celles qui concernent les pare-brise en plastique (ECE/TRANS/WP.29/GRSG/2016/21).</w:t>
      </w:r>
    </w:p>
    <w:p w:rsidR="00645CDE" w:rsidRPr="00645CDE" w:rsidRDefault="00645CDE" w:rsidP="0089145B">
      <w:pPr>
        <w:pStyle w:val="SingleTxtG"/>
        <w:ind w:left="2268" w:hanging="1134"/>
        <w:jc w:val="left"/>
        <w:rPr>
          <w:lang w:val="fr-FR"/>
        </w:rPr>
      </w:pPr>
      <w:r w:rsidRPr="00D01F61">
        <w:rPr>
          <w:bCs/>
          <w:i/>
          <w:lang w:val="fr-FR"/>
        </w:rPr>
        <w:t>Documents</w:t>
      </w:r>
      <w:r w:rsidR="00D01F61">
        <w:rPr>
          <w:bCs/>
          <w:lang w:val="fr-FR"/>
        </w:rPr>
        <w:t> </w:t>
      </w:r>
      <w:r w:rsidRPr="00D01F61">
        <w:rPr>
          <w:bCs/>
          <w:lang w:val="fr-FR"/>
        </w:rPr>
        <w:t>:</w:t>
      </w:r>
      <w:r w:rsidRPr="00645CDE">
        <w:rPr>
          <w:lang w:val="fr-FR"/>
        </w:rPr>
        <w:tab/>
        <w:t>ECE/TRANS/WP.29/GRSG/2015/22</w:t>
      </w:r>
      <w:r w:rsidR="00D01F61">
        <w:rPr>
          <w:lang w:val="fr-FR"/>
        </w:rPr>
        <w:t> ;</w:t>
      </w:r>
      <w:r w:rsidR="00FB6DAA">
        <w:rPr>
          <w:lang w:val="fr-FR"/>
        </w:rPr>
        <w:br/>
      </w:r>
      <w:r w:rsidRPr="00645CDE">
        <w:rPr>
          <w:lang w:val="fr-FR"/>
        </w:rPr>
        <w:t>ECE/TRANS/WP.29/GRSG/2016/21</w:t>
      </w:r>
      <w:r w:rsidR="00D01F61">
        <w:rPr>
          <w:lang w:val="fr-FR"/>
        </w:rPr>
        <w:t>.</w:t>
      </w:r>
    </w:p>
    <w:p w:rsidR="00645CDE" w:rsidRPr="00645CDE" w:rsidRDefault="00645CDE" w:rsidP="00D01F61">
      <w:pPr>
        <w:pStyle w:val="H1G"/>
        <w:rPr>
          <w:lang w:val="fr-FR"/>
        </w:rPr>
      </w:pPr>
      <w:r w:rsidRPr="00645CDE">
        <w:rPr>
          <w:lang w:val="fr-FR"/>
        </w:rPr>
        <w:tab/>
        <w:t>5.</w:t>
      </w:r>
      <w:r w:rsidRPr="00645CDE">
        <w:rPr>
          <w:lang w:val="fr-FR"/>
        </w:rPr>
        <w:tab/>
        <w:t xml:space="preserve">Règlement </w:t>
      </w:r>
      <w:r w:rsidR="00D01F61" w:rsidRPr="0089145B">
        <w:rPr>
          <w:rFonts w:eastAsia="MS Mincho"/>
          <w:szCs w:val="22"/>
          <w:lang w:val="fr-FR"/>
        </w:rPr>
        <w:t>n</w:t>
      </w:r>
      <w:r w:rsidR="00D01F61" w:rsidRPr="0089145B">
        <w:rPr>
          <w:rFonts w:eastAsia="MS Mincho"/>
          <w:szCs w:val="22"/>
          <w:vertAlign w:val="superscript"/>
          <w:lang w:val="fr-FR"/>
        </w:rPr>
        <w:t>o</w:t>
      </w:r>
      <w:r w:rsidR="00D01F61">
        <w:rPr>
          <w:lang w:val="fr-FR"/>
        </w:rPr>
        <w:t> </w:t>
      </w:r>
      <w:r w:rsidRPr="00645CDE">
        <w:rPr>
          <w:lang w:val="fr-FR"/>
        </w:rPr>
        <w:t>46 (Dispositifs de vision indirecte)</w:t>
      </w:r>
    </w:p>
    <w:p w:rsidR="00645CDE" w:rsidRPr="00645CDE" w:rsidRDefault="00645CDE" w:rsidP="00D01F61">
      <w:pPr>
        <w:pStyle w:val="SingleTxtG"/>
        <w:ind w:firstLine="567"/>
        <w:rPr>
          <w:lang w:val="fr-FR"/>
        </w:rPr>
      </w:pPr>
      <w:r w:rsidRPr="00645CDE">
        <w:rPr>
          <w:lang w:val="fr-FR"/>
        </w:rPr>
        <w:t>Le Groupe de travail sera informé par le Japon de l</w:t>
      </w:r>
      <w:r w:rsidR="00D01F61">
        <w:rPr>
          <w:lang w:val="fr-FR"/>
        </w:rPr>
        <w:t>’</w:t>
      </w:r>
      <w:r w:rsidRPr="00645CDE">
        <w:rPr>
          <w:lang w:val="fr-FR"/>
        </w:rPr>
        <w:t>état d</w:t>
      </w:r>
      <w:r w:rsidR="00D01F61">
        <w:rPr>
          <w:lang w:val="fr-FR"/>
        </w:rPr>
        <w:t>’</w:t>
      </w:r>
      <w:r w:rsidRPr="00645CDE">
        <w:rPr>
          <w:lang w:val="fr-FR"/>
        </w:rPr>
        <w:t>avancement des travaux de l</w:t>
      </w:r>
      <w:r w:rsidR="00D01F61">
        <w:rPr>
          <w:lang w:val="fr-FR"/>
        </w:rPr>
        <w:t>’</w:t>
      </w:r>
      <w:r w:rsidRPr="00645CDE">
        <w:rPr>
          <w:lang w:val="fr-FR"/>
        </w:rPr>
        <w:t xml:space="preserve">Équipe spéciale du Règlement </w:t>
      </w:r>
      <w:r w:rsidR="00D11850" w:rsidRPr="00D11850">
        <w:rPr>
          <w:rFonts w:eastAsia="MS Mincho"/>
          <w:szCs w:val="22"/>
          <w:lang w:val="fr-FR"/>
        </w:rPr>
        <w:t>n</w:t>
      </w:r>
      <w:r w:rsidR="00D11850" w:rsidRPr="00D11850">
        <w:rPr>
          <w:rFonts w:eastAsia="MS Mincho"/>
          <w:szCs w:val="22"/>
          <w:vertAlign w:val="superscript"/>
          <w:lang w:val="fr-FR"/>
        </w:rPr>
        <w:t>o</w:t>
      </w:r>
      <w:r w:rsidR="00D11850">
        <w:rPr>
          <w:rFonts w:eastAsia="MS Mincho"/>
          <w:szCs w:val="22"/>
          <w:lang w:val="fr-FR"/>
        </w:rPr>
        <w:t> </w:t>
      </w:r>
      <w:r w:rsidRPr="00645CDE">
        <w:rPr>
          <w:lang w:val="fr-FR"/>
        </w:rPr>
        <w:t>46 visant à établir de nouvelles prescriptions relatives à la zone de vision rapprochée.</w:t>
      </w:r>
    </w:p>
    <w:p w:rsidR="00645CDE" w:rsidRPr="00645CDE" w:rsidRDefault="00645CDE" w:rsidP="0089145B">
      <w:pPr>
        <w:pStyle w:val="SingleTxtG"/>
        <w:ind w:left="2268" w:hanging="1134"/>
        <w:jc w:val="left"/>
        <w:rPr>
          <w:lang w:val="fr-FR"/>
        </w:rPr>
      </w:pPr>
      <w:r w:rsidRPr="00D01F61">
        <w:rPr>
          <w:bCs/>
          <w:i/>
          <w:lang w:val="fr-FR"/>
        </w:rPr>
        <w:t>Document</w:t>
      </w:r>
      <w:r w:rsidR="00D01F61">
        <w:rPr>
          <w:b/>
          <w:bCs/>
          <w:lang w:val="fr-FR"/>
        </w:rPr>
        <w:t> </w:t>
      </w:r>
      <w:r w:rsidRPr="00D01F61">
        <w:rPr>
          <w:bCs/>
          <w:lang w:val="fr-FR"/>
        </w:rPr>
        <w:t>:</w:t>
      </w:r>
      <w:r w:rsidRPr="00645CDE">
        <w:rPr>
          <w:lang w:val="fr-FR"/>
        </w:rPr>
        <w:tab/>
        <w:t>(</w:t>
      </w:r>
      <w:r w:rsidR="00E04669">
        <w:rPr>
          <w:lang w:val="fr-FR"/>
        </w:rPr>
        <w:t>d</w:t>
      </w:r>
      <w:r w:rsidRPr="00645CDE">
        <w:rPr>
          <w:lang w:val="fr-FR"/>
        </w:rPr>
        <w:t>ocument informel GRSG-110-12)</w:t>
      </w:r>
      <w:r w:rsidR="00D01F61">
        <w:rPr>
          <w:lang w:val="fr-FR"/>
        </w:rPr>
        <w:t>.</w:t>
      </w:r>
    </w:p>
    <w:p w:rsidR="00645CDE" w:rsidRPr="00645CDE" w:rsidRDefault="00645CDE" w:rsidP="00D01F61">
      <w:pPr>
        <w:pStyle w:val="H1G"/>
        <w:rPr>
          <w:lang w:val="fr-FR"/>
        </w:rPr>
      </w:pPr>
      <w:r w:rsidRPr="00645CDE">
        <w:rPr>
          <w:lang w:val="fr-FR"/>
        </w:rPr>
        <w:lastRenderedPageBreak/>
        <w:tab/>
        <w:t>6.</w:t>
      </w:r>
      <w:r w:rsidRPr="00645CDE">
        <w:rPr>
          <w:lang w:val="fr-FR"/>
        </w:rPr>
        <w:tab/>
        <w:t xml:space="preserve">Règlement </w:t>
      </w:r>
      <w:r w:rsidR="00D01F61" w:rsidRPr="0089145B">
        <w:rPr>
          <w:rFonts w:eastAsia="MS Mincho"/>
          <w:szCs w:val="22"/>
          <w:lang w:val="fr-FR"/>
        </w:rPr>
        <w:t>n</w:t>
      </w:r>
      <w:r w:rsidR="00D01F61" w:rsidRPr="0089145B">
        <w:rPr>
          <w:rFonts w:eastAsia="MS Mincho"/>
          <w:szCs w:val="22"/>
          <w:vertAlign w:val="superscript"/>
          <w:lang w:val="fr-FR"/>
        </w:rPr>
        <w:t>o</w:t>
      </w:r>
      <w:r w:rsidR="00D01F61">
        <w:rPr>
          <w:lang w:val="fr-FR"/>
        </w:rPr>
        <w:t> </w:t>
      </w:r>
      <w:r w:rsidRPr="00645CDE">
        <w:rPr>
          <w:lang w:val="fr-FR"/>
        </w:rPr>
        <w:t>66 (Résistance de la superstructure (autobus))</w:t>
      </w:r>
    </w:p>
    <w:p w:rsidR="00645CDE" w:rsidRPr="00645CDE" w:rsidRDefault="00645CDE" w:rsidP="00645CDE">
      <w:pPr>
        <w:pStyle w:val="SingleTxtG"/>
        <w:ind w:firstLine="567"/>
        <w:rPr>
          <w:lang w:val="fr-FR"/>
        </w:rPr>
      </w:pPr>
      <w:r w:rsidRPr="00645CDE">
        <w:rPr>
          <w:lang w:val="fr-FR"/>
        </w:rPr>
        <w:t>Le Groupe de travail a décidé de reprendre l</w:t>
      </w:r>
      <w:r w:rsidR="00D01F61">
        <w:rPr>
          <w:lang w:val="fr-FR"/>
        </w:rPr>
        <w:t>’</w:t>
      </w:r>
      <w:r w:rsidRPr="00645CDE">
        <w:rPr>
          <w:lang w:val="fr-FR"/>
        </w:rPr>
        <w:t>examen d</w:t>
      </w:r>
      <w:r w:rsidR="00D01F61">
        <w:rPr>
          <w:lang w:val="fr-FR"/>
        </w:rPr>
        <w:t>’</w:t>
      </w:r>
      <w:r w:rsidRPr="00645CDE">
        <w:rPr>
          <w:lang w:val="fr-FR"/>
        </w:rPr>
        <w:t>une proposition de l</w:t>
      </w:r>
      <w:r w:rsidR="00D01F61">
        <w:rPr>
          <w:lang w:val="fr-FR"/>
        </w:rPr>
        <w:t>’</w:t>
      </w:r>
      <w:r w:rsidRPr="00645CDE">
        <w:rPr>
          <w:lang w:val="fr-FR"/>
        </w:rPr>
        <w:t>OICA visant à préciser les dispositions du Règlement relatives aux intrusions dans l</w:t>
      </w:r>
      <w:r w:rsidR="00D01F61">
        <w:rPr>
          <w:lang w:val="fr-FR"/>
        </w:rPr>
        <w:t>’</w:t>
      </w:r>
      <w:r w:rsidRPr="00645CDE">
        <w:rPr>
          <w:lang w:val="fr-FR"/>
        </w:rPr>
        <w:t>espace de survie.</w:t>
      </w:r>
    </w:p>
    <w:p w:rsidR="00645CDE" w:rsidRPr="00645CDE" w:rsidRDefault="00645CDE" w:rsidP="00D01F61">
      <w:pPr>
        <w:pStyle w:val="SingleTxtG"/>
        <w:ind w:left="2268" w:hanging="1134"/>
        <w:jc w:val="left"/>
        <w:rPr>
          <w:lang w:val="fr-FR"/>
        </w:rPr>
      </w:pPr>
      <w:r w:rsidRPr="00D01F61">
        <w:rPr>
          <w:bCs/>
          <w:i/>
          <w:lang w:val="fr-FR"/>
        </w:rPr>
        <w:t>Documents</w:t>
      </w:r>
      <w:r w:rsidR="00D01F61">
        <w:rPr>
          <w:bCs/>
          <w:lang w:val="fr-FR"/>
        </w:rPr>
        <w:t> </w:t>
      </w:r>
      <w:r w:rsidRPr="00D01F61">
        <w:rPr>
          <w:bCs/>
          <w:lang w:val="fr-FR"/>
        </w:rPr>
        <w:t>:</w:t>
      </w:r>
      <w:r w:rsidRPr="00645CDE">
        <w:rPr>
          <w:lang w:val="fr-FR"/>
        </w:rPr>
        <w:tab/>
        <w:t>ECE/TRANS/WP.29/GRSG/2016/11</w:t>
      </w:r>
      <w:r w:rsidR="00D01F61">
        <w:rPr>
          <w:lang w:val="fr-FR"/>
        </w:rPr>
        <w:t> ;</w:t>
      </w:r>
      <w:r w:rsidR="00E04669">
        <w:rPr>
          <w:lang w:val="fr-FR"/>
        </w:rPr>
        <w:br/>
      </w:r>
      <w:r w:rsidRPr="00645CDE">
        <w:rPr>
          <w:lang w:val="fr-FR"/>
        </w:rPr>
        <w:t>(</w:t>
      </w:r>
      <w:r w:rsidR="00E04669">
        <w:rPr>
          <w:lang w:val="fr-FR"/>
        </w:rPr>
        <w:t>d</w:t>
      </w:r>
      <w:r w:rsidRPr="00645CDE">
        <w:rPr>
          <w:lang w:val="fr-FR"/>
        </w:rPr>
        <w:t>ocument informel GRSG-110-16)</w:t>
      </w:r>
      <w:r w:rsidR="00D01F61">
        <w:rPr>
          <w:lang w:val="fr-FR"/>
        </w:rPr>
        <w:t>.</w:t>
      </w:r>
    </w:p>
    <w:p w:rsidR="00645CDE" w:rsidRPr="00645CDE" w:rsidRDefault="00645CDE" w:rsidP="00CD1949">
      <w:pPr>
        <w:pStyle w:val="H1G"/>
        <w:rPr>
          <w:lang w:val="fr-FR"/>
        </w:rPr>
      </w:pPr>
      <w:r w:rsidRPr="00645CDE">
        <w:rPr>
          <w:lang w:val="fr-FR"/>
        </w:rPr>
        <w:tab/>
        <w:t>7.</w:t>
      </w:r>
      <w:r w:rsidRPr="00645CDE">
        <w:rPr>
          <w:lang w:val="fr-FR"/>
        </w:rPr>
        <w:tab/>
        <w:t xml:space="preserve">Règlement </w:t>
      </w:r>
      <w:r w:rsidR="00CD1949" w:rsidRPr="00CD1949">
        <w:rPr>
          <w:rFonts w:eastAsia="MS Mincho"/>
          <w:szCs w:val="22"/>
          <w:lang w:val="fr-FR"/>
        </w:rPr>
        <w:t>n</w:t>
      </w:r>
      <w:r w:rsidR="00CD1949" w:rsidRPr="00CD1949">
        <w:rPr>
          <w:rFonts w:eastAsia="MS Mincho"/>
          <w:szCs w:val="22"/>
          <w:vertAlign w:val="superscript"/>
          <w:lang w:val="fr-FR"/>
        </w:rPr>
        <w:t>o</w:t>
      </w:r>
      <w:r w:rsidR="00CD1949">
        <w:rPr>
          <w:lang w:val="fr-FR"/>
        </w:rPr>
        <w:t> </w:t>
      </w:r>
      <w:r w:rsidRPr="00645CDE">
        <w:rPr>
          <w:lang w:val="fr-FR"/>
        </w:rPr>
        <w:t>67 (Véhicules alimentés au GPL)</w:t>
      </w:r>
    </w:p>
    <w:p w:rsidR="00645CDE" w:rsidRPr="00645CDE" w:rsidRDefault="00645CDE" w:rsidP="00CD1949">
      <w:pPr>
        <w:pStyle w:val="SingleTxtG"/>
        <w:ind w:firstLine="567"/>
        <w:rPr>
          <w:lang w:val="fr-FR"/>
        </w:rPr>
      </w:pPr>
      <w:r w:rsidRPr="00645CDE">
        <w:rPr>
          <w:lang w:val="fr-FR"/>
        </w:rPr>
        <w:t>Le Groupe de travail poursuivra l</w:t>
      </w:r>
      <w:r w:rsidR="00D01F61">
        <w:rPr>
          <w:lang w:val="fr-FR"/>
        </w:rPr>
        <w:t>’</w:t>
      </w:r>
      <w:r w:rsidRPr="00645CDE">
        <w:rPr>
          <w:lang w:val="fr-FR"/>
        </w:rPr>
        <w:t>examen d</w:t>
      </w:r>
      <w:r w:rsidR="00D01F61">
        <w:rPr>
          <w:lang w:val="fr-FR"/>
        </w:rPr>
        <w:t>’</w:t>
      </w:r>
      <w:r w:rsidRPr="00645CDE">
        <w:rPr>
          <w:lang w:val="fr-FR"/>
        </w:rPr>
        <w:t>une proposition actualisée des Pays</w:t>
      </w:r>
      <w:r w:rsidR="00CD1949">
        <w:rPr>
          <w:lang w:val="fr-FR"/>
        </w:rPr>
        <w:noBreakHyphen/>
      </w:r>
      <w:r w:rsidRPr="00645CDE">
        <w:rPr>
          <w:lang w:val="fr-FR"/>
        </w:rPr>
        <w:t xml:space="preserve">Bas </w:t>
      </w:r>
      <w:r w:rsidRPr="00645CDE">
        <w:rPr>
          <w:bCs/>
          <w:lang w:val="fr-FR"/>
        </w:rPr>
        <w:t>visant à permettre l</w:t>
      </w:r>
      <w:r w:rsidR="00D01F61">
        <w:rPr>
          <w:bCs/>
          <w:lang w:val="fr-FR"/>
        </w:rPr>
        <w:t>’</w:t>
      </w:r>
      <w:r w:rsidRPr="00645CDE">
        <w:rPr>
          <w:bCs/>
          <w:lang w:val="fr-FR"/>
        </w:rPr>
        <w:t>utilisation de flexibles de la classe 0/I avec des raccords faits de tuyaux rigides constitués d</w:t>
      </w:r>
      <w:r w:rsidR="00D01F61">
        <w:rPr>
          <w:bCs/>
          <w:lang w:val="fr-FR"/>
        </w:rPr>
        <w:t>’</w:t>
      </w:r>
      <w:r w:rsidRPr="00645CDE">
        <w:rPr>
          <w:bCs/>
          <w:lang w:val="fr-FR"/>
        </w:rPr>
        <w:t>un matériau autre que sans soudure, si elle est disponible.</w:t>
      </w:r>
    </w:p>
    <w:p w:rsidR="00645CDE" w:rsidRPr="00645CDE" w:rsidRDefault="00645CDE" w:rsidP="00CD1949">
      <w:pPr>
        <w:pStyle w:val="SingleTxtG"/>
        <w:ind w:firstLine="567"/>
        <w:rPr>
          <w:lang w:val="fr-FR"/>
        </w:rPr>
      </w:pPr>
      <w:r w:rsidRPr="00645CDE">
        <w:rPr>
          <w:lang w:val="fr-FR"/>
        </w:rPr>
        <w:t>Le GRSG a également décidé d</w:t>
      </w:r>
      <w:r w:rsidR="00D01F61">
        <w:rPr>
          <w:lang w:val="fr-FR"/>
        </w:rPr>
        <w:t>’</w:t>
      </w:r>
      <w:r w:rsidRPr="00645CDE">
        <w:rPr>
          <w:lang w:val="fr-FR"/>
        </w:rPr>
        <w:t>examiner une dernière fois le document ECE/TRANS/WP.29/GRSG/2016/15, proposé par l</w:t>
      </w:r>
      <w:r w:rsidR="00D01F61">
        <w:rPr>
          <w:lang w:val="fr-FR"/>
        </w:rPr>
        <w:t>’</w:t>
      </w:r>
      <w:r w:rsidRPr="00645CDE">
        <w:rPr>
          <w:lang w:val="fr-FR"/>
        </w:rPr>
        <w:t>Association européenne des gaz de pétrole liquéfiés (AEGPL), qui porte sur des dispositions visant à éviter tout reflux de gaz de pétrole liquéfié (GPL) dans le réservoir à gazole ou à essence, et vice versa.</w:t>
      </w:r>
    </w:p>
    <w:p w:rsidR="00645CDE" w:rsidRPr="00645CDE" w:rsidRDefault="00645CDE" w:rsidP="0089145B">
      <w:pPr>
        <w:pStyle w:val="SingleTxtG"/>
        <w:ind w:left="2268" w:hanging="1134"/>
        <w:jc w:val="left"/>
        <w:rPr>
          <w:lang w:val="fr-FR"/>
        </w:rPr>
      </w:pPr>
      <w:r w:rsidRPr="00CD1949">
        <w:rPr>
          <w:bCs/>
          <w:i/>
          <w:lang w:val="fr-FR"/>
        </w:rPr>
        <w:t>Documents</w:t>
      </w:r>
      <w:r w:rsidR="00CD1949">
        <w:rPr>
          <w:bCs/>
          <w:i/>
          <w:lang w:val="fr-FR"/>
        </w:rPr>
        <w:t> </w:t>
      </w:r>
      <w:r w:rsidRPr="00CD1949">
        <w:rPr>
          <w:bCs/>
          <w:lang w:val="fr-FR"/>
        </w:rPr>
        <w:t>:</w:t>
      </w:r>
      <w:r w:rsidRPr="00645CDE">
        <w:rPr>
          <w:lang w:val="fr-FR"/>
        </w:rPr>
        <w:tab/>
        <w:t>(ECE/TRANS/WP.29/GRSG/2016/7)</w:t>
      </w:r>
      <w:r w:rsidR="00CD1949">
        <w:rPr>
          <w:lang w:val="fr-FR"/>
        </w:rPr>
        <w:t> ;</w:t>
      </w:r>
      <w:r w:rsidR="00E04669">
        <w:rPr>
          <w:lang w:val="fr-FR"/>
        </w:rPr>
        <w:br/>
      </w:r>
      <w:r w:rsidRPr="00645CDE">
        <w:rPr>
          <w:lang w:val="fr-FR"/>
        </w:rPr>
        <w:t>ECE/TRANS/WP.29/GRSG/2016/15</w:t>
      </w:r>
      <w:r w:rsidR="00CD1949">
        <w:rPr>
          <w:lang w:val="fr-FR"/>
        </w:rPr>
        <w:t>.</w:t>
      </w:r>
    </w:p>
    <w:p w:rsidR="00645CDE" w:rsidRPr="00645CDE" w:rsidRDefault="00645CDE" w:rsidP="00CD1949">
      <w:pPr>
        <w:pStyle w:val="H1G"/>
        <w:rPr>
          <w:lang w:val="fr-FR"/>
        </w:rPr>
      </w:pPr>
      <w:r w:rsidRPr="00645CDE">
        <w:rPr>
          <w:lang w:val="fr-FR"/>
        </w:rPr>
        <w:tab/>
        <w:t>8.</w:t>
      </w:r>
      <w:r w:rsidRPr="00645CDE">
        <w:rPr>
          <w:lang w:val="fr-FR"/>
        </w:rPr>
        <w:tab/>
        <w:t xml:space="preserve">Règlement </w:t>
      </w:r>
      <w:r w:rsidR="00CD1949" w:rsidRPr="00CD1949">
        <w:rPr>
          <w:rFonts w:eastAsia="MS Mincho"/>
          <w:szCs w:val="22"/>
          <w:lang w:val="fr-FR"/>
        </w:rPr>
        <w:t>n</w:t>
      </w:r>
      <w:r w:rsidR="00CD1949" w:rsidRPr="00CD1949">
        <w:rPr>
          <w:rFonts w:eastAsia="MS Mincho"/>
          <w:szCs w:val="22"/>
          <w:vertAlign w:val="superscript"/>
          <w:lang w:val="fr-FR"/>
        </w:rPr>
        <w:t>o</w:t>
      </w:r>
      <w:r w:rsidR="00CD1949">
        <w:rPr>
          <w:lang w:val="fr-FR"/>
        </w:rPr>
        <w:t> </w:t>
      </w:r>
      <w:r w:rsidRPr="00645CDE">
        <w:rPr>
          <w:lang w:val="fr-FR"/>
        </w:rPr>
        <w:t>73 (Dispositifs de protection latérale</w:t>
      </w:r>
      <w:r w:rsidR="00CD1949">
        <w:rPr>
          <w:lang w:val="fr-FR"/>
        </w:rPr>
        <w:t>)</w:t>
      </w:r>
    </w:p>
    <w:p w:rsidR="00645CDE" w:rsidRPr="00645CDE" w:rsidRDefault="00645CDE" w:rsidP="00CD1949">
      <w:pPr>
        <w:pStyle w:val="SingleTxtG"/>
        <w:ind w:firstLine="567"/>
        <w:rPr>
          <w:lang w:val="fr-FR"/>
        </w:rPr>
      </w:pPr>
      <w:r w:rsidRPr="00645CDE">
        <w:rPr>
          <w:lang w:val="fr-FR"/>
        </w:rPr>
        <w:t>Le Groupe de travail reprendra l</w:t>
      </w:r>
      <w:r w:rsidR="00D01F61">
        <w:rPr>
          <w:lang w:val="fr-FR"/>
        </w:rPr>
        <w:t>’</w:t>
      </w:r>
      <w:r w:rsidRPr="00645CDE">
        <w:rPr>
          <w:lang w:val="fr-FR"/>
        </w:rPr>
        <w:t>examen du document ECE/TRANS/WP.29/</w:t>
      </w:r>
      <w:r w:rsidR="00CD1949">
        <w:rPr>
          <w:lang w:val="fr-FR"/>
        </w:rPr>
        <w:br/>
      </w:r>
      <w:r w:rsidRPr="00645CDE">
        <w:rPr>
          <w:lang w:val="fr-FR"/>
        </w:rPr>
        <w:t>GRSG/2016/18 soumis par le Comité de liaison de la construction de carrosseries et de remorques (CLCCR), dans lequel il est proposé de faire en sorte que des dispositifs de protection latérale soient installés sur le plus grand nombre possible de véhicules.</w:t>
      </w:r>
    </w:p>
    <w:p w:rsidR="00645CDE" w:rsidRPr="00645CDE" w:rsidRDefault="00645CDE" w:rsidP="00CD1949">
      <w:pPr>
        <w:pStyle w:val="SingleTxtG"/>
        <w:ind w:left="2268" w:hanging="1134"/>
        <w:jc w:val="left"/>
        <w:rPr>
          <w:lang w:val="fr-FR"/>
        </w:rPr>
      </w:pPr>
      <w:r w:rsidRPr="00CD1949">
        <w:rPr>
          <w:bCs/>
          <w:i/>
          <w:lang w:val="fr-FR"/>
        </w:rPr>
        <w:t>Documents</w:t>
      </w:r>
      <w:r w:rsidR="00CD1949">
        <w:rPr>
          <w:bCs/>
          <w:lang w:val="fr-FR"/>
        </w:rPr>
        <w:t> </w:t>
      </w:r>
      <w:r w:rsidRPr="00CD1949">
        <w:rPr>
          <w:bCs/>
          <w:lang w:val="fr-FR"/>
        </w:rPr>
        <w:t>:</w:t>
      </w:r>
      <w:r w:rsidRPr="00645CDE">
        <w:rPr>
          <w:lang w:val="fr-FR"/>
        </w:rPr>
        <w:tab/>
        <w:t>(ECE/TRANS/WP.29/GRSG/2016/2)</w:t>
      </w:r>
      <w:r w:rsidR="00CD1949">
        <w:rPr>
          <w:lang w:val="fr-FR"/>
        </w:rPr>
        <w:t> ;</w:t>
      </w:r>
      <w:r w:rsidR="00E04669">
        <w:rPr>
          <w:lang w:val="fr-FR"/>
        </w:rPr>
        <w:br/>
      </w:r>
      <w:r w:rsidRPr="00A36C9A">
        <w:rPr>
          <w:spacing w:val="-2"/>
          <w:lang w:val="fr-FR"/>
        </w:rPr>
        <w:t>ECE/TRANS/WP.29/GRSG/2016/18</w:t>
      </w:r>
      <w:r w:rsidR="00CD1949" w:rsidRPr="00A36C9A">
        <w:rPr>
          <w:spacing w:val="-2"/>
          <w:lang w:val="fr-FR"/>
        </w:rPr>
        <w:t> ;</w:t>
      </w:r>
      <w:r w:rsidR="00E04669">
        <w:rPr>
          <w:lang w:val="fr-FR"/>
        </w:rPr>
        <w:br/>
      </w:r>
      <w:r w:rsidRPr="00645CDE">
        <w:rPr>
          <w:lang w:val="fr-FR"/>
        </w:rPr>
        <w:t>(</w:t>
      </w:r>
      <w:r w:rsidR="00E04669">
        <w:rPr>
          <w:lang w:val="fr-FR"/>
        </w:rPr>
        <w:t>d</w:t>
      </w:r>
      <w:r w:rsidRPr="00645CDE">
        <w:rPr>
          <w:lang w:val="fr-FR"/>
        </w:rPr>
        <w:t>ocument informel GRSG-110-20-Rev.1)</w:t>
      </w:r>
      <w:r w:rsidR="00CD1949">
        <w:rPr>
          <w:lang w:val="fr-FR"/>
        </w:rPr>
        <w:t>.</w:t>
      </w:r>
    </w:p>
    <w:p w:rsidR="00645CDE" w:rsidRPr="00645CDE" w:rsidRDefault="00645CDE" w:rsidP="00CD1949">
      <w:pPr>
        <w:pStyle w:val="H1G"/>
        <w:rPr>
          <w:lang w:val="fr-FR"/>
        </w:rPr>
      </w:pPr>
      <w:r w:rsidRPr="00645CDE">
        <w:rPr>
          <w:lang w:val="fr-FR"/>
        </w:rPr>
        <w:tab/>
        <w:t>9.</w:t>
      </w:r>
      <w:r w:rsidRPr="00645CDE">
        <w:rPr>
          <w:lang w:val="fr-FR"/>
        </w:rPr>
        <w:tab/>
        <w:t xml:space="preserve">Règlement </w:t>
      </w:r>
      <w:r w:rsidR="00CD1949" w:rsidRPr="00CD1949">
        <w:rPr>
          <w:rFonts w:eastAsia="MS Mincho"/>
          <w:szCs w:val="22"/>
          <w:lang w:val="fr-FR"/>
        </w:rPr>
        <w:t>n</w:t>
      </w:r>
      <w:r w:rsidR="00CD1949" w:rsidRPr="00CD1949">
        <w:rPr>
          <w:rFonts w:eastAsia="MS Mincho"/>
          <w:szCs w:val="22"/>
          <w:vertAlign w:val="superscript"/>
          <w:lang w:val="fr-FR"/>
        </w:rPr>
        <w:t>o</w:t>
      </w:r>
      <w:r w:rsidR="00CD1949">
        <w:rPr>
          <w:lang w:val="fr-FR"/>
        </w:rPr>
        <w:t> </w:t>
      </w:r>
      <w:r w:rsidRPr="00645CDE">
        <w:rPr>
          <w:lang w:val="fr-FR"/>
        </w:rPr>
        <w:t>110 (Véhicules alimentés au GNC/GNL)</w:t>
      </w:r>
    </w:p>
    <w:p w:rsidR="00645CDE" w:rsidRPr="00645CDE" w:rsidRDefault="00645CDE" w:rsidP="00CD1949">
      <w:pPr>
        <w:pStyle w:val="SingleTxtG"/>
        <w:ind w:firstLine="567"/>
        <w:rPr>
          <w:bCs/>
          <w:lang w:val="fr-FR"/>
        </w:rPr>
      </w:pPr>
      <w:r w:rsidRPr="00645CDE">
        <w:rPr>
          <w:lang w:val="fr-FR"/>
        </w:rPr>
        <w:t>Le Groupe de travail devrait examiner une proposition actualisée de l</w:t>
      </w:r>
      <w:r w:rsidR="00D01F61">
        <w:rPr>
          <w:lang w:val="fr-FR"/>
        </w:rPr>
        <w:t>’</w:t>
      </w:r>
      <w:r w:rsidRPr="00645CDE">
        <w:rPr>
          <w:lang w:val="fr-FR"/>
        </w:rPr>
        <w:t>Organisation internationale de normalisation (ISO) visant à aligner les prescriptions applicables aux bouteilles de GNC sur celles de la norme ISO</w:t>
      </w:r>
      <w:r w:rsidR="00EC5E47">
        <w:rPr>
          <w:lang w:val="fr-FR"/>
        </w:rPr>
        <w:t> </w:t>
      </w:r>
      <w:r w:rsidRPr="00645CDE">
        <w:rPr>
          <w:lang w:val="fr-FR"/>
        </w:rPr>
        <w:t>11439:2013 (ECE/TRANS/WP.29/GRSG/</w:t>
      </w:r>
      <w:r w:rsidR="00E04669">
        <w:rPr>
          <w:lang w:val="fr-FR"/>
        </w:rPr>
        <w:br/>
      </w:r>
      <w:r w:rsidRPr="00645CDE">
        <w:rPr>
          <w:lang w:val="fr-FR"/>
        </w:rPr>
        <w:t>2016/22).</w:t>
      </w:r>
    </w:p>
    <w:p w:rsidR="00645CDE" w:rsidRPr="00645CDE" w:rsidRDefault="00645CDE" w:rsidP="00CD1949">
      <w:pPr>
        <w:pStyle w:val="SingleTxtG"/>
        <w:ind w:firstLine="567"/>
        <w:rPr>
          <w:lang w:val="fr-FR"/>
        </w:rPr>
      </w:pPr>
      <w:r w:rsidRPr="00645CDE">
        <w:rPr>
          <w:lang w:val="fr-FR"/>
        </w:rPr>
        <w:t>Le GRSG examinera sans doute des propositions établies conjointement par les Pays-Bas et l</w:t>
      </w:r>
      <w:r w:rsidR="00D01F61">
        <w:rPr>
          <w:lang w:val="fr-FR"/>
        </w:rPr>
        <w:t>’</w:t>
      </w:r>
      <w:r w:rsidRPr="00645CDE">
        <w:rPr>
          <w:lang w:val="fr-FR"/>
        </w:rPr>
        <w:t xml:space="preserve">Association internationale des véhicules fonctionnant au gaz naturel (NGV Global) </w:t>
      </w:r>
      <w:r w:rsidRPr="00645CDE">
        <w:rPr>
          <w:bCs/>
          <w:lang w:val="fr-FR"/>
        </w:rPr>
        <w:t xml:space="preserve">visant à préciser la référence à la norme ISO </w:t>
      </w:r>
      <w:r w:rsidRPr="00645CDE">
        <w:rPr>
          <w:lang w:val="fr-FR"/>
        </w:rPr>
        <w:t>au paragraphe 2.2 de l</w:t>
      </w:r>
      <w:r w:rsidR="00D01F61">
        <w:rPr>
          <w:lang w:val="fr-FR"/>
        </w:rPr>
        <w:t>’</w:t>
      </w:r>
      <w:r w:rsidRPr="00645CDE">
        <w:rPr>
          <w:lang w:val="fr-FR"/>
        </w:rPr>
        <w:t>annexe 4J du règlement de l</w:t>
      </w:r>
      <w:r w:rsidR="00D01F61">
        <w:rPr>
          <w:lang w:val="fr-FR"/>
        </w:rPr>
        <w:t>’</w:t>
      </w:r>
      <w:r w:rsidRPr="00645CDE">
        <w:rPr>
          <w:lang w:val="fr-FR"/>
        </w:rPr>
        <w:t>ONU, si elles sont disponibles.</w:t>
      </w:r>
    </w:p>
    <w:p w:rsidR="00645CDE" w:rsidRPr="00645CDE" w:rsidRDefault="00645CDE" w:rsidP="00CD1949">
      <w:pPr>
        <w:pStyle w:val="SingleTxtG"/>
        <w:ind w:firstLine="567"/>
        <w:rPr>
          <w:lang w:val="fr-FR"/>
        </w:rPr>
      </w:pPr>
      <w:r w:rsidRPr="00645CDE">
        <w:rPr>
          <w:lang w:val="fr-FR"/>
        </w:rPr>
        <w:t>Le Groupe de travail a décidé de reprendre l</w:t>
      </w:r>
      <w:r w:rsidR="00D01F61">
        <w:rPr>
          <w:lang w:val="fr-FR"/>
        </w:rPr>
        <w:t>’</w:t>
      </w:r>
      <w:r w:rsidRPr="00645CDE">
        <w:rPr>
          <w:lang w:val="fr-FR"/>
        </w:rPr>
        <w:t>examen du document ECE/TRANS/WP.29/GRSG/2016/16, présenté par la France, qui propose d</w:t>
      </w:r>
      <w:r w:rsidR="00D01F61">
        <w:rPr>
          <w:lang w:val="fr-FR"/>
        </w:rPr>
        <w:t>’</w:t>
      </w:r>
      <w:r w:rsidRPr="00645CDE">
        <w:rPr>
          <w:lang w:val="fr-FR"/>
        </w:rPr>
        <w:t xml:space="preserve">ajouter au Règlement </w:t>
      </w:r>
      <w:r w:rsidR="002E438B" w:rsidRPr="002E438B">
        <w:rPr>
          <w:rFonts w:eastAsia="MS Mincho"/>
          <w:szCs w:val="22"/>
          <w:lang w:val="fr-FR"/>
        </w:rPr>
        <w:t>n</w:t>
      </w:r>
      <w:r w:rsidR="002E438B" w:rsidRPr="002E438B">
        <w:rPr>
          <w:rFonts w:eastAsia="MS Mincho"/>
          <w:szCs w:val="22"/>
          <w:vertAlign w:val="superscript"/>
          <w:lang w:val="fr-FR"/>
        </w:rPr>
        <w:t>o</w:t>
      </w:r>
      <w:r w:rsidR="002E438B">
        <w:rPr>
          <w:lang w:val="fr-FR"/>
        </w:rPr>
        <w:t> </w:t>
      </w:r>
      <w:r w:rsidRPr="00645CDE">
        <w:rPr>
          <w:lang w:val="fr-FR"/>
        </w:rPr>
        <w:t>110 de nouvelles dispositions concernant l</w:t>
      </w:r>
      <w:r w:rsidR="00D01F61">
        <w:rPr>
          <w:lang w:val="fr-FR"/>
        </w:rPr>
        <w:t>’</w:t>
      </w:r>
      <w:r w:rsidRPr="00645CDE">
        <w:rPr>
          <w:lang w:val="fr-FR"/>
        </w:rPr>
        <w:t>utilisation de systèmes de réfrigération au gaz naturel sur les véhicules fonctionnant au gaz naturel (GNC ou GNL)</w:t>
      </w:r>
    </w:p>
    <w:p w:rsidR="00645CDE" w:rsidRPr="00645CDE" w:rsidRDefault="00645CDE" w:rsidP="0089145B">
      <w:pPr>
        <w:pStyle w:val="SingleTxtG"/>
        <w:ind w:left="2268" w:hanging="1134"/>
        <w:jc w:val="left"/>
        <w:rPr>
          <w:lang w:val="fr-FR"/>
        </w:rPr>
      </w:pPr>
      <w:r w:rsidRPr="00CD1949">
        <w:rPr>
          <w:bCs/>
          <w:i/>
          <w:lang w:val="fr-FR"/>
        </w:rPr>
        <w:t>Documents</w:t>
      </w:r>
      <w:r w:rsidR="009B7C54">
        <w:rPr>
          <w:bCs/>
          <w:lang w:val="fr-FR"/>
        </w:rPr>
        <w:t> :</w:t>
      </w:r>
      <w:r w:rsidRPr="00645CDE">
        <w:rPr>
          <w:lang w:val="fr-FR"/>
        </w:rPr>
        <w:tab/>
        <w:t>(ECE/TRANS/WP.29/GRSG/2016/6)</w:t>
      </w:r>
      <w:r w:rsidR="00CD1949">
        <w:rPr>
          <w:lang w:val="fr-FR"/>
        </w:rPr>
        <w:t> ;</w:t>
      </w:r>
      <w:r w:rsidR="00E04669">
        <w:rPr>
          <w:lang w:val="fr-FR"/>
        </w:rPr>
        <w:br/>
      </w:r>
      <w:r w:rsidRPr="00A36C9A">
        <w:rPr>
          <w:spacing w:val="-2"/>
          <w:lang w:val="fr-FR"/>
        </w:rPr>
        <w:t>ECE/TRANS/WP.29/GRSG/2016/16</w:t>
      </w:r>
      <w:r w:rsidR="00CD1949" w:rsidRPr="00A36C9A">
        <w:rPr>
          <w:spacing w:val="-2"/>
          <w:lang w:val="fr-FR"/>
        </w:rPr>
        <w:t> ;</w:t>
      </w:r>
      <w:r w:rsidR="00E04669">
        <w:rPr>
          <w:lang w:val="fr-FR"/>
        </w:rPr>
        <w:br/>
      </w:r>
      <w:r w:rsidRPr="00645CDE">
        <w:rPr>
          <w:lang w:val="fr-FR"/>
        </w:rPr>
        <w:t>ECE/TRANS/WP.29/GRSG/2016/22</w:t>
      </w:r>
      <w:r w:rsidR="009B7C54">
        <w:rPr>
          <w:lang w:val="fr-FR"/>
        </w:rPr>
        <w:t>.</w:t>
      </w:r>
    </w:p>
    <w:p w:rsidR="00645CDE" w:rsidRPr="00645CDE" w:rsidRDefault="00645CDE" w:rsidP="009B7C54">
      <w:pPr>
        <w:pStyle w:val="H1G"/>
        <w:rPr>
          <w:lang w:val="fr-FR"/>
        </w:rPr>
      </w:pPr>
      <w:r w:rsidRPr="00645CDE">
        <w:rPr>
          <w:lang w:val="fr-FR"/>
        </w:rPr>
        <w:lastRenderedPageBreak/>
        <w:tab/>
        <w:t>10.</w:t>
      </w:r>
      <w:r w:rsidRPr="00645CDE">
        <w:rPr>
          <w:lang w:val="fr-FR"/>
        </w:rPr>
        <w:tab/>
        <w:t xml:space="preserve">Règlement </w:t>
      </w:r>
      <w:r w:rsidR="009B7C54" w:rsidRPr="009B7C54">
        <w:rPr>
          <w:rFonts w:eastAsia="MS Mincho"/>
          <w:szCs w:val="22"/>
          <w:lang w:val="fr-FR"/>
        </w:rPr>
        <w:t>n</w:t>
      </w:r>
      <w:r w:rsidR="009B7C54" w:rsidRPr="009B7C54">
        <w:rPr>
          <w:rFonts w:eastAsia="MS Mincho"/>
          <w:szCs w:val="22"/>
          <w:vertAlign w:val="superscript"/>
          <w:lang w:val="fr-FR"/>
        </w:rPr>
        <w:t>o</w:t>
      </w:r>
      <w:r w:rsidR="009B7C54">
        <w:rPr>
          <w:lang w:val="fr-FR"/>
        </w:rPr>
        <w:t> </w:t>
      </w:r>
      <w:r w:rsidRPr="00645CDE">
        <w:rPr>
          <w:lang w:val="fr-FR"/>
        </w:rPr>
        <w:t>116 (Dispositifs antivol et systèmes d</w:t>
      </w:r>
      <w:r w:rsidR="00D01F61">
        <w:rPr>
          <w:lang w:val="fr-FR"/>
        </w:rPr>
        <w:t>’</w:t>
      </w:r>
      <w:r w:rsidRPr="00645CDE">
        <w:rPr>
          <w:lang w:val="fr-FR"/>
        </w:rPr>
        <w:t>alarme</w:t>
      </w:r>
      <w:r w:rsidR="009B7C54">
        <w:rPr>
          <w:lang w:val="fr-FR"/>
        </w:rPr>
        <w:t>)</w:t>
      </w:r>
    </w:p>
    <w:p w:rsidR="00645CDE" w:rsidRPr="00645CDE" w:rsidRDefault="00645CDE" w:rsidP="00CD1949">
      <w:pPr>
        <w:pStyle w:val="SingleTxtG"/>
        <w:ind w:firstLine="567"/>
        <w:rPr>
          <w:lang w:val="fr-FR"/>
        </w:rPr>
      </w:pPr>
      <w:r w:rsidRPr="00645CDE">
        <w:rPr>
          <w:lang w:val="fr-FR"/>
        </w:rPr>
        <w:t>Après l</w:t>
      </w:r>
      <w:r w:rsidR="00D01F61">
        <w:rPr>
          <w:lang w:val="fr-FR"/>
        </w:rPr>
        <w:t>’</w:t>
      </w:r>
      <w:r w:rsidRPr="00645CDE">
        <w:rPr>
          <w:lang w:val="fr-FR"/>
        </w:rPr>
        <w:t>examen du document ECE/TRANS/WP.29/GRSG/2015/7, le GRSG examinera sans doute, s</w:t>
      </w:r>
      <w:r w:rsidR="00D01F61">
        <w:rPr>
          <w:lang w:val="fr-FR"/>
        </w:rPr>
        <w:t>’</w:t>
      </w:r>
      <w:r w:rsidRPr="00645CDE">
        <w:rPr>
          <w:lang w:val="fr-FR"/>
        </w:rPr>
        <w:t>il est disponible, un document révisé par l</w:t>
      </w:r>
      <w:r w:rsidR="00D01F61">
        <w:rPr>
          <w:lang w:val="fr-FR"/>
        </w:rPr>
        <w:t>’</w:t>
      </w:r>
      <w:r w:rsidRPr="00645CDE">
        <w:rPr>
          <w:lang w:val="fr-FR"/>
        </w:rPr>
        <w:t>OICA en faveur de l</w:t>
      </w:r>
      <w:r w:rsidR="00D01F61">
        <w:rPr>
          <w:lang w:val="fr-FR"/>
        </w:rPr>
        <w:t>’</w:t>
      </w:r>
      <w:r w:rsidRPr="00645CDE">
        <w:rPr>
          <w:lang w:val="fr-FR"/>
        </w:rPr>
        <w:t>introduction de diverses gammes de tension de fonctionnement selon la technologie utilisée pour les batteries.</w:t>
      </w:r>
    </w:p>
    <w:p w:rsidR="00645CDE" w:rsidRPr="00645CDE" w:rsidRDefault="00645CDE" w:rsidP="0089145B">
      <w:pPr>
        <w:pStyle w:val="SingleTxtG"/>
        <w:ind w:left="2268" w:hanging="1134"/>
        <w:jc w:val="left"/>
        <w:rPr>
          <w:lang w:val="fr-FR"/>
        </w:rPr>
      </w:pPr>
      <w:r w:rsidRPr="009B7C54">
        <w:rPr>
          <w:bCs/>
          <w:i/>
          <w:lang w:val="fr-FR"/>
        </w:rPr>
        <w:t>Document</w:t>
      </w:r>
      <w:r w:rsidR="009B7C54">
        <w:rPr>
          <w:bCs/>
          <w:i/>
          <w:lang w:val="fr-FR"/>
        </w:rPr>
        <w:t> </w:t>
      </w:r>
      <w:r w:rsidRPr="009B7C54">
        <w:rPr>
          <w:bCs/>
          <w:lang w:val="fr-FR"/>
        </w:rPr>
        <w:t>:</w:t>
      </w:r>
      <w:r w:rsidRPr="00645CDE">
        <w:rPr>
          <w:lang w:val="fr-FR"/>
        </w:rPr>
        <w:tab/>
        <w:t>(ECE/TRANS/WP.29/GRSG/2015/7)</w:t>
      </w:r>
      <w:r w:rsidR="009B7C54">
        <w:rPr>
          <w:lang w:val="fr-FR"/>
        </w:rPr>
        <w:t>.</w:t>
      </w:r>
    </w:p>
    <w:p w:rsidR="00645CDE" w:rsidRPr="00645CDE" w:rsidRDefault="00645CDE" w:rsidP="009B7C54">
      <w:pPr>
        <w:pStyle w:val="H1G"/>
        <w:rPr>
          <w:lang w:val="fr-FR"/>
        </w:rPr>
      </w:pPr>
      <w:r w:rsidRPr="00645CDE">
        <w:rPr>
          <w:lang w:val="fr-FR"/>
        </w:rPr>
        <w:tab/>
        <w:t>11.</w:t>
      </w:r>
      <w:r w:rsidRPr="00645CDE">
        <w:rPr>
          <w:lang w:val="fr-FR"/>
        </w:rPr>
        <w:tab/>
        <w:t xml:space="preserve">Règlement </w:t>
      </w:r>
      <w:r w:rsidR="009B7C54" w:rsidRPr="009B7C54">
        <w:rPr>
          <w:rFonts w:eastAsia="MS Mincho"/>
          <w:szCs w:val="22"/>
          <w:lang w:val="fr-FR"/>
        </w:rPr>
        <w:t>n</w:t>
      </w:r>
      <w:r w:rsidR="009B7C54" w:rsidRPr="009B7C54">
        <w:rPr>
          <w:rFonts w:eastAsia="MS Mincho"/>
          <w:szCs w:val="22"/>
          <w:vertAlign w:val="superscript"/>
          <w:lang w:val="fr-FR"/>
        </w:rPr>
        <w:t>o</w:t>
      </w:r>
      <w:r w:rsidR="009B7C54">
        <w:rPr>
          <w:lang w:val="fr-FR"/>
        </w:rPr>
        <w:t> </w:t>
      </w:r>
      <w:r w:rsidRPr="00645CDE">
        <w:rPr>
          <w:lang w:val="fr-FR"/>
        </w:rPr>
        <w:t>118 (Comportement au feu des matériaux)</w:t>
      </w:r>
    </w:p>
    <w:p w:rsidR="00645CDE" w:rsidRPr="00645CDE" w:rsidRDefault="00645CDE" w:rsidP="00CD1949">
      <w:pPr>
        <w:pStyle w:val="SingleTxtG"/>
        <w:ind w:firstLine="567"/>
        <w:rPr>
          <w:lang w:val="fr-FR"/>
        </w:rPr>
      </w:pPr>
      <w:r w:rsidRPr="00645CDE">
        <w:rPr>
          <w:lang w:val="fr-FR"/>
        </w:rPr>
        <w:t>Le Groupe de travail a décidé de procéder à l</w:t>
      </w:r>
      <w:r w:rsidR="00D01F61">
        <w:rPr>
          <w:lang w:val="fr-FR"/>
        </w:rPr>
        <w:t>’</w:t>
      </w:r>
      <w:r w:rsidRPr="00645CDE">
        <w:rPr>
          <w:lang w:val="fr-FR"/>
        </w:rPr>
        <w:t>examen final d</w:t>
      </w:r>
      <w:r w:rsidR="00D01F61">
        <w:rPr>
          <w:lang w:val="fr-FR"/>
        </w:rPr>
        <w:t>’</w:t>
      </w:r>
      <w:r w:rsidRPr="00645CDE">
        <w:rPr>
          <w:lang w:val="fr-FR"/>
        </w:rPr>
        <w:t>une proposition de l</w:t>
      </w:r>
      <w:r w:rsidR="00D01F61">
        <w:rPr>
          <w:lang w:val="fr-FR"/>
        </w:rPr>
        <w:t>’</w:t>
      </w:r>
      <w:r w:rsidRPr="00645CDE">
        <w:rPr>
          <w:lang w:val="fr-FR"/>
        </w:rPr>
        <w:t>Allemagne (ECE/TRANS/WP.29/GRSG/2016/3) visant à introduire des prescriptions d</w:t>
      </w:r>
      <w:r w:rsidR="00D01F61">
        <w:rPr>
          <w:lang w:val="fr-FR"/>
        </w:rPr>
        <w:t>’</w:t>
      </w:r>
      <w:r w:rsidRPr="00645CDE">
        <w:rPr>
          <w:lang w:val="fr-FR"/>
        </w:rPr>
        <w:t>essai supplémentaires pour les gaines de câbles.</w:t>
      </w:r>
    </w:p>
    <w:p w:rsidR="00645CDE" w:rsidRPr="00645CDE" w:rsidRDefault="00645CDE" w:rsidP="00CD1949">
      <w:pPr>
        <w:pStyle w:val="SingleTxtG"/>
        <w:ind w:firstLine="567"/>
        <w:rPr>
          <w:lang w:val="fr-FR"/>
        </w:rPr>
      </w:pPr>
      <w:r w:rsidRPr="00645CDE">
        <w:rPr>
          <w:lang w:val="fr-FR"/>
        </w:rPr>
        <w:t>Il examinera sans doute les propositions de l</w:t>
      </w:r>
      <w:r w:rsidR="00D01F61">
        <w:rPr>
          <w:lang w:val="fr-FR"/>
        </w:rPr>
        <w:t>’</w:t>
      </w:r>
      <w:r w:rsidRPr="00645CDE">
        <w:rPr>
          <w:lang w:val="fr-FR"/>
        </w:rPr>
        <w:t xml:space="preserve">Allemagne visant </w:t>
      </w:r>
      <w:r w:rsidRPr="00645CDE">
        <w:rPr>
          <w:bCs/>
          <w:lang w:val="fr-FR"/>
        </w:rPr>
        <w:t>à supprimer les formalités sans intérêt pour le niveau de sécurité</w:t>
      </w:r>
      <w:r w:rsidRPr="00645CDE">
        <w:rPr>
          <w:lang w:val="fr-FR"/>
        </w:rPr>
        <w:t xml:space="preserve"> (ECE/TRANS/WP.29/GRSG/2016/23) et à améliorer les prescriptions d</w:t>
      </w:r>
      <w:r w:rsidR="00D01F61">
        <w:rPr>
          <w:lang w:val="fr-FR"/>
        </w:rPr>
        <w:t>’</w:t>
      </w:r>
      <w:r w:rsidRPr="00645CDE">
        <w:rPr>
          <w:lang w:val="fr-FR"/>
        </w:rPr>
        <w:t>essai applicables aux câbles, ainsi qu</w:t>
      </w:r>
      <w:r w:rsidR="00D01F61">
        <w:rPr>
          <w:lang w:val="fr-FR"/>
        </w:rPr>
        <w:t>’</w:t>
      </w:r>
      <w:r w:rsidRPr="00645CDE">
        <w:rPr>
          <w:lang w:val="fr-FR"/>
        </w:rPr>
        <w:t>aux gaines et manchons de câbles (ECE/TRANS/WP.29/GRSG/2016/24).</w:t>
      </w:r>
    </w:p>
    <w:p w:rsidR="00645CDE" w:rsidRPr="00645CDE" w:rsidRDefault="00645CDE" w:rsidP="0089145B">
      <w:pPr>
        <w:pStyle w:val="SingleTxtG"/>
        <w:ind w:left="2268" w:hanging="1134"/>
        <w:jc w:val="left"/>
        <w:rPr>
          <w:lang w:val="fr-FR"/>
        </w:rPr>
      </w:pPr>
      <w:r w:rsidRPr="002E438B">
        <w:rPr>
          <w:bCs/>
          <w:i/>
          <w:lang w:val="fr-FR"/>
        </w:rPr>
        <w:t>Documents</w:t>
      </w:r>
      <w:r w:rsidR="002E438B">
        <w:rPr>
          <w:bCs/>
          <w:lang w:val="fr-FR"/>
        </w:rPr>
        <w:t> </w:t>
      </w:r>
      <w:r w:rsidRPr="002E438B">
        <w:rPr>
          <w:bCs/>
          <w:lang w:val="fr-FR"/>
        </w:rPr>
        <w:t>:</w:t>
      </w:r>
      <w:r w:rsidRPr="00645CDE">
        <w:rPr>
          <w:lang w:val="fr-FR"/>
        </w:rPr>
        <w:tab/>
        <w:t>ECE/TRANS/WP.29/GRSG/2016/3</w:t>
      </w:r>
      <w:r w:rsidR="002E438B">
        <w:rPr>
          <w:lang w:val="fr-FR"/>
        </w:rPr>
        <w:t> ;</w:t>
      </w:r>
      <w:r w:rsidRPr="00645CDE">
        <w:rPr>
          <w:lang w:val="fr-FR"/>
        </w:rPr>
        <w:tab/>
      </w:r>
      <w:r w:rsidRPr="00A55427">
        <w:rPr>
          <w:spacing w:val="-2"/>
          <w:lang w:val="en-US"/>
        </w:rPr>
        <w:t>ECE/TRANS/WP.29/GRSG/2016/23</w:t>
      </w:r>
      <w:r w:rsidR="00A55427">
        <w:rPr>
          <w:spacing w:val="-2"/>
          <w:lang w:val="en-US"/>
        </w:rPr>
        <w:t xml:space="preserve"> </w:t>
      </w:r>
      <w:r w:rsidR="002E438B" w:rsidRPr="00A55427">
        <w:rPr>
          <w:spacing w:val="-2"/>
          <w:lang w:val="en-US"/>
        </w:rPr>
        <w:t>;</w:t>
      </w:r>
      <w:r w:rsidR="00A55427">
        <w:rPr>
          <w:spacing w:val="-2"/>
          <w:lang w:val="en-US"/>
        </w:rPr>
        <w:br/>
      </w:r>
      <w:r w:rsidRPr="00645CDE">
        <w:rPr>
          <w:lang w:val="en-US"/>
        </w:rPr>
        <w:t>ECE/TRANS/WP.29/GRSG/2016/24</w:t>
      </w:r>
      <w:r w:rsidR="002E438B">
        <w:rPr>
          <w:lang w:val="en-US"/>
        </w:rPr>
        <w:t> ;</w:t>
      </w:r>
      <w:r w:rsidR="00A55427">
        <w:rPr>
          <w:lang w:val="en-US"/>
        </w:rPr>
        <w:br/>
      </w:r>
      <w:r w:rsidR="002C5217">
        <w:rPr>
          <w:lang w:val="fr-FR"/>
        </w:rPr>
        <w:t>d</w:t>
      </w:r>
      <w:r w:rsidRPr="00645CDE">
        <w:rPr>
          <w:lang w:val="fr-FR"/>
        </w:rPr>
        <w:t>ocument informel GRSG-110-02</w:t>
      </w:r>
      <w:r w:rsidR="002E438B">
        <w:rPr>
          <w:lang w:val="fr-FR"/>
        </w:rPr>
        <w:t>.</w:t>
      </w:r>
    </w:p>
    <w:p w:rsidR="00645CDE" w:rsidRPr="00645CDE" w:rsidRDefault="00645CDE" w:rsidP="002E438B">
      <w:pPr>
        <w:pStyle w:val="H1G"/>
        <w:rPr>
          <w:lang w:val="fr-FR"/>
        </w:rPr>
      </w:pPr>
      <w:r w:rsidRPr="00645CDE">
        <w:rPr>
          <w:lang w:val="fr-FR"/>
        </w:rPr>
        <w:tab/>
        <w:t>12.</w:t>
      </w:r>
      <w:r w:rsidRPr="00645CDE">
        <w:rPr>
          <w:lang w:val="fr-FR"/>
        </w:rPr>
        <w:tab/>
        <w:t xml:space="preserve">Règlement </w:t>
      </w:r>
      <w:r w:rsidR="002E438B" w:rsidRPr="002E438B">
        <w:rPr>
          <w:rFonts w:eastAsia="MS Mincho"/>
          <w:szCs w:val="22"/>
          <w:lang w:val="fr-FR"/>
        </w:rPr>
        <w:t>n</w:t>
      </w:r>
      <w:r w:rsidR="002E438B" w:rsidRPr="002E438B">
        <w:rPr>
          <w:rFonts w:eastAsia="MS Mincho"/>
          <w:szCs w:val="22"/>
          <w:vertAlign w:val="superscript"/>
          <w:lang w:val="fr-FR"/>
        </w:rPr>
        <w:t>o</w:t>
      </w:r>
      <w:r w:rsidR="002E438B">
        <w:rPr>
          <w:lang w:val="fr-FR"/>
        </w:rPr>
        <w:t> </w:t>
      </w:r>
      <w:r w:rsidRPr="00645CDE">
        <w:rPr>
          <w:lang w:val="fr-FR"/>
        </w:rPr>
        <w:t xml:space="preserve">121 (Identification des commandes manuelles, </w:t>
      </w:r>
      <w:r w:rsidR="002E438B">
        <w:rPr>
          <w:lang w:val="fr-FR"/>
        </w:rPr>
        <w:br/>
      </w:r>
      <w:r w:rsidRPr="00645CDE">
        <w:rPr>
          <w:lang w:val="fr-FR"/>
        </w:rPr>
        <w:t>des témoins et des indicateurs)</w:t>
      </w:r>
    </w:p>
    <w:p w:rsidR="00645CDE" w:rsidRPr="00645CDE" w:rsidRDefault="00645CDE" w:rsidP="00CD1949">
      <w:pPr>
        <w:pStyle w:val="SingleTxtG"/>
        <w:ind w:firstLine="567"/>
        <w:rPr>
          <w:lang w:val="fr-FR"/>
        </w:rPr>
      </w:pPr>
      <w:r w:rsidRPr="00645CDE">
        <w:rPr>
          <w:lang w:val="fr-FR"/>
        </w:rPr>
        <w:t>À sa précédente session, le Groupe de travail a pleinement souscrit au document ECE/TRANS/WP.29/GRSG/2016/17, dans lequel il est proposé d</w:t>
      </w:r>
      <w:r w:rsidR="00D01F61">
        <w:rPr>
          <w:lang w:val="fr-FR"/>
        </w:rPr>
        <w:t>’</w:t>
      </w:r>
      <w:r w:rsidRPr="00645CDE">
        <w:rPr>
          <w:lang w:val="fr-FR"/>
        </w:rPr>
        <w:t>ajouter au Règlement un nouveau symbole pour la commande d</w:t>
      </w:r>
      <w:r w:rsidR="00D01F61">
        <w:rPr>
          <w:lang w:val="fr-FR"/>
        </w:rPr>
        <w:t>’</w:t>
      </w:r>
      <w:r w:rsidRPr="00645CDE">
        <w:rPr>
          <w:lang w:val="fr-FR"/>
        </w:rPr>
        <w:t>appel d</w:t>
      </w:r>
      <w:r w:rsidR="00D01F61">
        <w:rPr>
          <w:lang w:val="fr-FR"/>
        </w:rPr>
        <w:t>’</w:t>
      </w:r>
      <w:r w:rsidRPr="00645CDE">
        <w:rPr>
          <w:lang w:val="fr-FR"/>
        </w:rPr>
        <w:t>urgence et le témoin correspondant. Le GRSG a décidé de soumettre cette proposition parallèlement au nouveau projet de règlement sur les systèmes d</w:t>
      </w:r>
      <w:r w:rsidR="00D01F61">
        <w:rPr>
          <w:lang w:val="fr-FR"/>
        </w:rPr>
        <w:t>’</w:t>
      </w:r>
      <w:r w:rsidRPr="00645CDE">
        <w:rPr>
          <w:lang w:val="fr-FR"/>
        </w:rPr>
        <w:t>appel d</w:t>
      </w:r>
      <w:r w:rsidR="00D01F61">
        <w:rPr>
          <w:lang w:val="fr-FR"/>
        </w:rPr>
        <w:t>’</w:t>
      </w:r>
      <w:r w:rsidRPr="00645CDE">
        <w:rPr>
          <w:lang w:val="fr-FR"/>
        </w:rPr>
        <w:t>urgence en cas d</w:t>
      </w:r>
      <w:r w:rsidR="00D01F61">
        <w:rPr>
          <w:lang w:val="fr-FR"/>
        </w:rPr>
        <w:t>’</w:t>
      </w:r>
      <w:r w:rsidRPr="00645CDE">
        <w:rPr>
          <w:lang w:val="fr-FR"/>
        </w:rPr>
        <w:t>accident. Aussi a</w:t>
      </w:r>
      <w:r w:rsidR="00C756AF">
        <w:rPr>
          <w:lang w:val="fr-FR"/>
        </w:rPr>
        <w:t>-</w:t>
      </w:r>
      <w:r w:rsidRPr="00645CDE">
        <w:rPr>
          <w:lang w:val="fr-FR"/>
        </w:rPr>
        <w:t>t-il a préféré maintenir le document à l</w:t>
      </w:r>
      <w:r w:rsidR="00D01F61">
        <w:rPr>
          <w:lang w:val="fr-FR"/>
        </w:rPr>
        <w:t>’</w:t>
      </w:r>
      <w:r w:rsidRPr="00645CDE">
        <w:rPr>
          <w:lang w:val="fr-FR"/>
        </w:rPr>
        <w:t>ordre du jour en attendant l</w:t>
      </w:r>
      <w:r w:rsidR="00D01F61">
        <w:rPr>
          <w:lang w:val="fr-FR"/>
        </w:rPr>
        <w:t>’</w:t>
      </w:r>
      <w:r w:rsidRPr="00645CDE">
        <w:rPr>
          <w:lang w:val="fr-FR"/>
        </w:rPr>
        <w:t>adoption du nouveau projet de règlement sur les systèmes d</w:t>
      </w:r>
      <w:r w:rsidR="00D01F61">
        <w:rPr>
          <w:lang w:val="fr-FR"/>
        </w:rPr>
        <w:t>’</w:t>
      </w:r>
      <w:r w:rsidRPr="00645CDE">
        <w:rPr>
          <w:lang w:val="fr-FR"/>
        </w:rPr>
        <w:t>appel d</w:t>
      </w:r>
      <w:r w:rsidR="00D01F61">
        <w:rPr>
          <w:lang w:val="fr-FR"/>
        </w:rPr>
        <w:t>’</w:t>
      </w:r>
      <w:r w:rsidRPr="00645CDE">
        <w:rPr>
          <w:lang w:val="fr-FR"/>
        </w:rPr>
        <w:t>urgence en cas d</w:t>
      </w:r>
      <w:r w:rsidR="00D01F61">
        <w:rPr>
          <w:lang w:val="fr-FR"/>
        </w:rPr>
        <w:t>’</w:t>
      </w:r>
      <w:r w:rsidRPr="00645CDE">
        <w:rPr>
          <w:lang w:val="fr-FR"/>
        </w:rPr>
        <w:t>accident (point</w:t>
      </w:r>
      <w:r w:rsidR="00C756AF">
        <w:rPr>
          <w:lang w:val="fr-FR"/>
        </w:rPr>
        <w:t> </w:t>
      </w:r>
      <w:r w:rsidRPr="00645CDE">
        <w:rPr>
          <w:lang w:val="fr-FR"/>
        </w:rPr>
        <w:t>13 de l</w:t>
      </w:r>
      <w:r w:rsidR="00D01F61">
        <w:rPr>
          <w:lang w:val="fr-FR"/>
        </w:rPr>
        <w:t>’</w:t>
      </w:r>
      <w:r w:rsidRPr="00645CDE">
        <w:rPr>
          <w:lang w:val="fr-FR"/>
        </w:rPr>
        <w:t>ordre du</w:t>
      </w:r>
      <w:r w:rsidR="00C756AF">
        <w:rPr>
          <w:lang w:val="fr-FR"/>
        </w:rPr>
        <w:t> </w:t>
      </w:r>
      <w:r w:rsidRPr="00645CDE">
        <w:rPr>
          <w:lang w:val="fr-FR"/>
        </w:rPr>
        <w:t>jour).</w:t>
      </w:r>
    </w:p>
    <w:p w:rsidR="00645CDE" w:rsidRPr="00645CDE" w:rsidRDefault="00645CDE" w:rsidP="00CD1949">
      <w:pPr>
        <w:pStyle w:val="SingleTxtG"/>
        <w:ind w:firstLine="567"/>
        <w:rPr>
          <w:lang w:val="fr-FR"/>
        </w:rPr>
      </w:pPr>
      <w:r w:rsidRPr="00645CDE">
        <w:rPr>
          <w:lang w:val="fr-FR"/>
        </w:rPr>
        <w:t>Le GRSG examinera sans doute le document ECE/TRANS/WP.29/GRSG/2016/26 présenté par l</w:t>
      </w:r>
      <w:r w:rsidR="00D01F61">
        <w:rPr>
          <w:lang w:val="fr-FR"/>
        </w:rPr>
        <w:t>’</w:t>
      </w:r>
      <w:r w:rsidRPr="00645CDE">
        <w:rPr>
          <w:lang w:val="fr-FR"/>
        </w:rPr>
        <w:t>OICA, dans lequel il est proposé d</w:t>
      </w:r>
      <w:r w:rsidR="00D01F61">
        <w:rPr>
          <w:lang w:val="fr-FR"/>
        </w:rPr>
        <w:t>’</w:t>
      </w:r>
      <w:r w:rsidRPr="00645CDE">
        <w:rPr>
          <w:lang w:val="fr-FR"/>
        </w:rPr>
        <w:t>aligner les dispositions du Règlement</w:t>
      </w:r>
      <w:r w:rsidR="00D11850">
        <w:rPr>
          <w:lang w:val="fr-FR"/>
        </w:rPr>
        <w:t> </w:t>
      </w:r>
      <w:r w:rsidR="00D11850" w:rsidRPr="00D11850">
        <w:rPr>
          <w:rFonts w:eastAsia="MS Mincho"/>
          <w:szCs w:val="22"/>
          <w:lang w:val="fr-FR"/>
        </w:rPr>
        <w:t>n</w:t>
      </w:r>
      <w:r w:rsidR="00D11850" w:rsidRPr="00D11850">
        <w:rPr>
          <w:rFonts w:eastAsia="MS Mincho"/>
          <w:szCs w:val="22"/>
          <w:vertAlign w:val="superscript"/>
          <w:lang w:val="fr-FR"/>
        </w:rPr>
        <w:t>o</w:t>
      </w:r>
      <w:r w:rsidR="00D11850">
        <w:rPr>
          <w:lang w:val="fr-FR"/>
        </w:rPr>
        <w:t> </w:t>
      </w:r>
      <w:r w:rsidRPr="00645CDE">
        <w:rPr>
          <w:lang w:val="fr-FR"/>
        </w:rPr>
        <w:t>121 sur celles de la série 07 d</w:t>
      </w:r>
      <w:r w:rsidR="00D01F61">
        <w:rPr>
          <w:lang w:val="fr-FR"/>
        </w:rPr>
        <w:t>’</w:t>
      </w:r>
      <w:r w:rsidRPr="00645CDE">
        <w:rPr>
          <w:lang w:val="fr-FR"/>
        </w:rPr>
        <w:t xml:space="preserve">amendements au Règlement </w:t>
      </w:r>
      <w:r w:rsidR="00C756AF" w:rsidRPr="00C756AF">
        <w:rPr>
          <w:rFonts w:eastAsia="MS Mincho"/>
          <w:szCs w:val="22"/>
          <w:lang w:val="fr-FR"/>
        </w:rPr>
        <w:t>n</w:t>
      </w:r>
      <w:r w:rsidR="00C756AF" w:rsidRPr="00C756AF">
        <w:rPr>
          <w:rFonts w:eastAsia="MS Mincho"/>
          <w:szCs w:val="22"/>
          <w:vertAlign w:val="superscript"/>
          <w:lang w:val="fr-FR"/>
        </w:rPr>
        <w:t>o</w:t>
      </w:r>
      <w:r w:rsidR="00C756AF">
        <w:rPr>
          <w:lang w:val="fr-FR"/>
        </w:rPr>
        <w:t> </w:t>
      </w:r>
      <w:r w:rsidRPr="00645CDE">
        <w:rPr>
          <w:lang w:val="fr-FR"/>
        </w:rPr>
        <w:t>16.</w:t>
      </w:r>
    </w:p>
    <w:p w:rsidR="00645CDE" w:rsidRPr="00645CDE" w:rsidRDefault="00645CDE" w:rsidP="0089145B">
      <w:pPr>
        <w:pStyle w:val="SingleTxtG"/>
        <w:ind w:left="2268" w:hanging="1134"/>
        <w:jc w:val="left"/>
        <w:rPr>
          <w:lang w:val="fr-FR"/>
        </w:rPr>
      </w:pPr>
      <w:r w:rsidRPr="00C756AF">
        <w:rPr>
          <w:bCs/>
          <w:i/>
          <w:lang w:val="fr-FR"/>
        </w:rPr>
        <w:t>Documents</w:t>
      </w:r>
      <w:r w:rsidR="00C756AF">
        <w:rPr>
          <w:bCs/>
          <w:lang w:val="fr-FR"/>
        </w:rPr>
        <w:t> </w:t>
      </w:r>
      <w:r w:rsidRPr="00C756AF">
        <w:rPr>
          <w:bCs/>
          <w:lang w:val="fr-FR"/>
        </w:rPr>
        <w:t>:</w:t>
      </w:r>
      <w:r w:rsidRPr="00645CDE">
        <w:rPr>
          <w:lang w:val="fr-FR"/>
        </w:rPr>
        <w:tab/>
        <w:t>ECE/TRANS/WP.29/GRSG/2016/17</w:t>
      </w:r>
      <w:r w:rsidR="00C756AF">
        <w:rPr>
          <w:lang w:val="fr-FR"/>
        </w:rPr>
        <w:t> ;</w:t>
      </w:r>
      <w:r w:rsidR="002C5217">
        <w:rPr>
          <w:lang w:val="fr-FR"/>
        </w:rPr>
        <w:br/>
      </w:r>
      <w:r w:rsidRPr="00645CDE">
        <w:rPr>
          <w:lang w:val="fr-FR"/>
        </w:rPr>
        <w:t>ECE/TRANS/WP.29/GRSG/2016/26</w:t>
      </w:r>
      <w:r w:rsidR="00C756AF">
        <w:rPr>
          <w:lang w:val="fr-FR"/>
        </w:rPr>
        <w:t>.</w:t>
      </w:r>
    </w:p>
    <w:p w:rsidR="00645CDE" w:rsidRPr="00645CDE" w:rsidRDefault="00C756AF" w:rsidP="00C756AF">
      <w:pPr>
        <w:pStyle w:val="H1G"/>
        <w:rPr>
          <w:lang w:val="fr-FR"/>
        </w:rPr>
      </w:pPr>
      <w:r>
        <w:rPr>
          <w:lang w:val="fr-FR"/>
        </w:rPr>
        <w:tab/>
      </w:r>
      <w:r w:rsidR="00645CDE" w:rsidRPr="00645CDE">
        <w:rPr>
          <w:lang w:val="fr-FR"/>
        </w:rPr>
        <w:t>13.</w:t>
      </w:r>
      <w:r w:rsidR="00645CDE" w:rsidRPr="00645CDE">
        <w:rPr>
          <w:lang w:val="fr-FR"/>
        </w:rPr>
        <w:tab/>
        <w:t>Systèmes d</w:t>
      </w:r>
      <w:r w:rsidR="00D01F61">
        <w:rPr>
          <w:lang w:val="fr-FR"/>
        </w:rPr>
        <w:t>’</w:t>
      </w:r>
      <w:r w:rsidR="00645CDE" w:rsidRPr="00645CDE">
        <w:rPr>
          <w:lang w:val="fr-FR"/>
        </w:rPr>
        <w:t>appel d</w:t>
      </w:r>
      <w:r w:rsidR="00D01F61">
        <w:rPr>
          <w:lang w:val="fr-FR"/>
        </w:rPr>
        <w:t>’</w:t>
      </w:r>
      <w:r w:rsidR="00645CDE" w:rsidRPr="00645CDE">
        <w:rPr>
          <w:lang w:val="fr-FR"/>
        </w:rPr>
        <w:t>urgence en cas d</w:t>
      </w:r>
      <w:r w:rsidR="00D01F61">
        <w:rPr>
          <w:lang w:val="fr-FR"/>
        </w:rPr>
        <w:t>’</w:t>
      </w:r>
      <w:r w:rsidR="00645CDE" w:rsidRPr="00645CDE">
        <w:rPr>
          <w:lang w:val="fr-FR"/>
        </w:rPr>
        <w:t>accident</w:t>
      </w:r>
    </w:p>
    <w:p w:rsidR="00645CDE" w:rsidRPr="00645CDE" w:rsidRDefault="00645CDE" w:rsidP="00CD1949">
      <w:pPr>
        <w:pStyle w:val="SingleTxtG"/>
        <w:ind w:firstLine="567"/>
        <w:rPr>
          <w:lang w:val="fr-FR"/>
        </w:rPr>
      </w:pPr>
      <w:r w:rsidRPr="00645CDE">
        <w:rPr>
          <w:lang w:val="fr-FR"/>
        </w:rPr>
        <w:t>Le Groupe de travail sera informé par le Président du groupe de travail informel des systèmes d</w:t>
      </w:r>
      <w:r w:rsidR="00D01F61">
        <w:rPr>
          <w:lang w:val="fr-FR"/>
        </w:rPr>
        <w:t>’</w:t>
      </w:r>
      <w:r w:rsidRPr="00645CDE">
        <w:rPr>
          <w:lang w:val="fr-FR"/>
        </w:rPr>
        <w:t>appel d</w:t>
      </w:r>
      <w:r w:rsidR="00D01F61">
        <w:rPr>
          <w:lang w:val="fr-FR"/>
        </w:rPr>
        <w:t>’</w:t>
      </w:r>
      <w:r w:rsidRPr="00645CDE">
        <w:rPr>
          <w:lang w:val="fr-FR"/>
        </w:rPr>
        <w:t>urgence en cas d</w:t>
      </w:r>
      <w:r w:rsidR="00D01F61">
        <w:rPr>
          <w:lang w:val="fr-FR"/>
        </w:rPr>
        <w:t>’</w:t>
      </w:r>
      <w:r w:rsidRPr="00645CDE">
        <w:rPr>
          <w:lang w:val="fr-FR"/>
        </w:rPr>
        <w:t>accident des progrès réalisés dans le cadre de l</w:t>
      </w:r>
      <w:r w:rsidR="00D01F61">
        <w:rPr>
          <w:lang w:val="fr-FR"/>
        </w:rPr>
        <w:t>’</w:t>
      </w:r>
      <w:r w:rsidRPr="00645CDE">
        <w:rPr>
          <w:lang w:val="fr-FR"/>
        </w:rPr>
        <w:t>élaboration d</w:t>
      </w:r>
      <w:r w:rsidR="00D01F61">
        <w:rPr>
          <w:lang w:val="fr-FR"/>
        </w:rPr>
        <w:t>’</w:t>
      </w:r>
      <w:r w:rsidRPr="00645CDE">
        <w:rPr>
          <w:lang w:val="fr-FR"/>
        </w:rPr>
        <w:t>un nouveau projet de règlement. Le GRSG devrait examiner une première proposition de projet de règlement sur la base du document ECE/TRANS/WP.29/</w:t>
      </w:r>
      <w:r w:rsidR="00C756AF">
        <w:rPr>
          <w:lang w:val="fr-FR"/>
        </w:rPr>
        <w:br/>
      </w:r>
      <w:r w:rsidRPr="00645CDE">
        <w:rPr>
          <w:lang w:val="fr-FR"/>
        </w:rPr>
        <w:t>GRSG/2016/19.</w:t>
      </w:r>
    </w:p>
    <w:p w:rsidR="00645CDE" w:rsidRPr="00645CDE" w:rsidRDefault="00645CDE" w:rsidP="0089145B">
      <w:pPr>
        <w:pStyle w:val="SingleTxtG"/>
        <w:ind w:left="2268" w:hanging="1134"/>
        <w:jc w:val="left"/>
        <w:rPr>
          <w:lang w:val="fr-FR"/>
        </w:rPr>
      </w:pPr>
      <w:r w:rsidRPr="00C756AF">
        <w:rPr>
          <w:bCs/>
          <w:i/>
          <w:lang w:val="fr-FR"/>
        </w:rPr>
        <w:t>Document</w:t>
      </w:r>
      <w:r w:rsidR="00C756AF">
        <w:rPr>
          <w:bCs/>
          <w:lang w:val="fr-FR"/>
        </w:rPr>
        <w:t> </w:t>
      </w:r>
      <w:r w:rsidRPr="00C756AF">
        <w:rPr>
          <w:bCs/>
          <w:lang w:val="fr-FR"/>
        </w:rPr>
        <w:t>:</w:t>
      </w:r>
      <w:r w:rsidRPr="00C756AF">
        <w:rPr>
          <w:lang w:val="fr-FR"/>
        </w:rPr>
        <w:tab/>
      </w:r>
      <w:r w:rsidRPr="00645CDE">
        <w:rPr>
          <w:lang w:val="fr-FR"/>
        </w:rPr>
        <w:t>ECE/TRANS/WP.29/GRSG/2016/19</w:t>
      </w:r>
      <w:r w:rsidR="00C756AF">
        <w:rPr>
          <w:lang w:val="fr-FR"/>
        </w:rPr>
        <w:t>.</w:t>
      </w:r>
    </w:p>
    <w:p w:rsidR="00645CDE" w:rsidRPr="00C756AF" w:rsidRDefault="00C756AF" w:rsidP="00C756AF">
      <w:pPr>
        <w:pStyle w:val="H1G"/>
        <w:rPr>
          <w:rFonts w:ascii="Times New Roman Gras" w:hAnsi="Times New Roman Gras"/>
          <w:spacing w:val="-2"/>
          <w:lang w:val="fr-FR"/>
        </w:rPr>
      </w:pPr>
      <w:r>
        <w:rPr>
          <w:lang w:val="fr-FR"/>
        </w:rPr>
        <w:lastRenderedPageBreak/>
        <w:tab/>
      </w:r>
      <w:r w:rsidR="00645CDE" w:rsidRPr="00645CDE">
        <w:rPr>
          <w:lang w:val="fr-FR"/>
        </w:rPr>
        <w:t>14.</w:t>
      </w:r>
      <w:r w:rsidR="00645CDE" w:rsidRPr="00645CDE">
        <w:rPr>
          <w:lang w:val="fr-FR"/>
        </w:rPr>
        <w:tab/>
      </w:r>
      <w:r w:rsidR="00645CDE" w:rsidRPr="00C756AF">
        <w:rPr>
          <w:rFonts w:ascii="Times New Roman Gras" w:hAnsi="Times New Roman Gras"/>
          <w:spacing w:val="-2"/>
          <w:lang w:val="fr-FR"/>
        </w:rPr>
        <w:t>Homologation de type internationale de l</w:t>
      </w:r>
      <w:r w:rsidR="00D01F61" w:rsidRPr="00C756AF">
        <w:rPr>
          <w:rFonts w:ascii="Times New Roman Gras" w:hAnsi="Times New Roman Gras"/>
          <w:spacing w:val="-2"/>
          <w:lang w:val="fr-FR"/>
        </w:rPr>
        <w:t>’</w:t>
      </w:r>
      <w:r w:rsidR="00645CDE" w:rsidRPr="00C756AF">
        <w:rPr>
          <w:rFonts w:ascii="Times New Roman Gras" w:hAnsi="Times New Roman Gras"/>
          <w:spacing w:val="-2"/>
          <w:lang w:val="fr-FR"/>
        </w:rPr>
        <w:t xml:space="preserve">ensemble </w:t>
      </w:r>
      <w:r w:rsidRPr="00C756AF">
        <w:rPr>
          <w:rFonts w:ascii="Times New Roman Gras" w:hAnsi="Times New Roman Gras"/>
          <w:spacing w:val="-2"/>
          <w:lang w:val="fr-FR"/>
        </w:rPr>
        <w:t>du véhicule (IWVTA)</w:t>
      </w:r>
    </w:p>
    <w:p w:rsidR="00645CDE" w:rsidRPr="00645CDE" w:rsidRDefault="00645CDE" w:rsidP="00CD1949">
      <w:pPr>
        <w:pStyle w:val="SingleTxtG"/>
        <w:ind w:firstLine="567"/>
        <w:rPr>
          <w:lang w:val="fr-FR"/>
        </w:rPr>
      </w:pPr>
      <w:r w:rsidRPr="00645CDE">
        <w:rPr>
          <w:lang w:val="fr-FR"/>
        </w:rPr>
        <w:t>Le Groupe de travail souhaitera sans doute être informé par l</w:t>
      </w:r>
      <w:r w:rsidR="00D01F61">
        <w:rPr>
          <w:lang w:val="fr-FR"/>
        </w:rPr>
        <w:t>’</w:t>
      </w:r>
      <w:r w:rsidRPr="00645CDE">
        <w:rPr>
          <w:lang w:val="fr-FR"/>
        </w:rPr>
        <w:t>ambassadeur pour l</w:t>
      </w:r>
      <w:r w:rsidR="00D01F61">
        <w:rPr>
          <w:lang w:val="fr-FR"/>
        </w:rPr>
        <w:t>’</w:t>
      </w:r>
      <w:r w:rsidRPr="00645CDE">
        <w:rPr>
          <w:lang w:val="fr-FR"/>
        </w:rPr>
        <w:t>homologation de type internationale de l</w:t>
      </w:r>
      <w:r w:rsidR="00D01F61">
        <w:rPr>
          <w:lang w:val="fr-FR"/>
        </w:rPr>
        <w:t>’</w:t>
      </w:r>
      <w:r w:rsidRPr="00645CDE">
        <w:rPr>
          <w:lang w:val="fr-FR"/>
        </w:rPr>
        <w:t>ensemble du véhicule des résultats des récentes réunions du groupe informel concernant l</w:t>
      </w:r>
      <w:r w:rsidR="00D01F61">
        <w:rPr>
          <w:lang w:val="fr-FR"/>
        </w:rPr>
        <w:t>’</w:t>
      </w:r>
      <w:r w:rsidRPr="00645CDE">
        <w:rPr>
          <w:lang w:val="fr-FR"/>
        </w:rPr>
        <w:t>IWVTA. À sa précédente session, le GRSG a décidé de donner suite à l</w:t>
      </w:r>
      <w:r w:rsidR="00D01F61">
        <w:rPr>
          <w:lang w:val="fr-FR"/>
        </w:rPr>
        <w:t>’</w:t>
      </w:r>
      <w:r w:rsidRPr="00645CDE">
        <w:rPr>
          <w:lang w:val="fr-FR"/>
        </w:rPr>
        <w:t>idée d</w:t>
      </w:r>
      <w:r w:rsidR="00D01F61">
        <w:rPr>
          <w:lang w:val="fr-FR"/>
        </w:rPr>
        <w:t>’</w:t>
      </w:r>
      <w:r w:rsidRPr="00645CDE">
        <w:rPr>
          <w:lang w:val="fr-FR"/>
        </w:rPr>
        <w:t>avoir à l</w:t>
      </w:r>
      <w:r w:rsidR="00D01F61">
        <w:rPr>
          <w:lang w:val="fr-FR"/>
        </w:rPr>
        <w:t>’</w:t>
      </w:r>
      <w:r w:rsidRPr="00645CDE">
        <w:rPr>
          <w:lang w:val="fr-FR"/>
        </w:rPr>
        <w:t>avenir trois règlements distincts concernant respectivement</w:t>
      </w:r>
      <w:r w:rsidR="00C756AF">
        <w:rPr>
          <w:lang w:val="fr-FR"/>
        </w:rPr>
        <w:t xml:space="preserve"> : </w:t>
      </w:r>
      <w:r w:rsidRPr="00645CDE">
        <w:rPr>
          <w:lang w:val="fr-FR"/>
        </w:rPr>
        <w:t>i)</w:t>
      </w:r>
      <w:r w:rsidR="00C756AF">
        <w:rPr>
          <w:lang w:val="fr-FR"/>
        </w:rPr>
        <w:t> </w:t>
      </w:r>
      <w:r w:rsidRPr="00645CDE">
        <w:rPr>
          <w:lang w:val="fr-FR"/>
        </w:rPr>
        <w:t>les dispositifs antivol</w:t>
      </w:r>
      <w:r w:rsidR="00C756AF">
        <w:rPr>
          <w:lang w:val="fr-FR"/>
        </w:rPr>
        <w:t> ;</w:t>
      </w:r>
      <w:r w:rsidRPr="00645CDE">
        <w:rPr>
          <w:lang w:val="fr-FR"/>
        </w:rPr>
        <w:t xml:space="preserve"> ii)</w:t>
      </w:r>
      <w:r w:rsidR="00C756AF">
        <w:rPr>
          <w:lang w:val="fr-FR"/>
        </w:rPr>
        <w:t> </w:t>
      </w:r>
      <w:r w:rsidRPr="00645CDE">
        <w:rPr>
          <w:lang w:val="fr-FR"/>
        </w:rPr>
        <w:t>les systèmes d</w:t>
      </w:r>
      <w:r w:rsidR="00D01F61">
        <w:rPr>
          <w:lang w:val="fr-FR"/>
        </w:rPr>
        <w:t>’</w:t>
      </w:r>
      <w:r w:rsidRPr="00645CDE">
        <w:rPr>
          <w:lang w:val="fr-FR"/>
        </w:rPr>
        <w:t>alarme</w:t>
      </w:r>
      <w:r w:rsidR="00C756AF">
        <w:rPr>
          <w:lang w:val="fr-FR"/>
        </w:rPr>
        <w:t> ;</w:t>
      </w:r>
      <w:r w:rsidRPr="00645CDE">
        <w:rPr>
          <w:lang w:val="fr-FR"/>
        </w:rPr>
        <w:t xml:space="preserve"> et iii)</w:t>
      </w:r>
      <w:r w:rsidR="00C756AF">
        <w:rPr>
          <w:lang w:val="fr-FR"/>
        </w:rPr>
        <w:t> </w:t>
      </w:r>
      <w:r w:rsidRPr="00645CDE">
        <w:rPr>
          <w:lang w:val="fr-FR"/>
        </w:rPr>
        <w:t>les dispositifs d</w:t>
      </w:r>
      <w:r w:rsidR="00D01F61">
        <w:rPr>
          <w:lang w:val="fr-FR"/>
        </w:rPr>
        <w:t>’</w:t>
      </w:r>
      <w:r w:rsidRPr="00645CDE">
        <w:rPr>
          <w:lang w:val="fr-FR"/>
        </w:rPr>
        <w:t>immobilisation. Le Groupe de travail, qui a décidé de reprendre l</w:t>
      </w:r>
      <w:r w:rsidR="00D01F61">
        <w:rPr>
          <w:lang w:val="fr-FR"/>
        </w:rPr>
        <w:t>’</w:t>
      </w:r>
      <w:r w:rsidRPr="00645CDE">
        <w:rPr>
          <w:lang w:val="fr-FR"/>
        </w:rPr>
        <w:t>examen de cette question, étudiera les propositions concrètes éventuelles.</w:t>
      </w:r>
    </w:p>
    <w:p w:rsidR="00645CDE" w:rsidRPr="00645CDE" w:rsidRDefault="00645CDE" w:rsidP="00645CDE">
      <w:pPr>
        <w:pStyle w:val="SingleTxtG"/>
        <w:rPr>
          <w:lang w:val="fr-FR"/>
        </w:rPr>
      </w:pPr>
      <w:r w:rsidRPr="00C756AF">
        <w:rPr>
          <w:bCs/>
          <w:i/>
          <w:lang w:val="fr-FR"/>
        </w:rPr>
        <w:t>Document</w:t>
      </w:r>
      <w:r w:rsidR="00C756AF">
        <w:rPr>
          <w:bCs/>
          <w:lang w:val="fr-FR"/>
        </w:rPr>
        <w:t> </w:t>
      </w:r>
      <w:r w:rsidRPr="00C756AF">
        <w:rPr>
          <w:bCs/>
          <w:lang w:val="fr-FR"/>
        </w:rPr>
        <w:t>:</w:t>
      </w:r>
      <w:r w:rsidRPr="00645CDE">
        <w:rPr>
          <w:lang w:val="fr-FR"/>
        </w:rPr>
        <w:tab/>
        <w:t>(</w:t>
      </w:r>
      <w:r w:rsidR="002C5217">
        <w:rPr>
          <w:lang w:val="fr-FR"/>
        </w:rPr>
        <w:t>d</w:t>
      </w:r>
      <w:r w:rsidRPr="00645CDE">
        <w:rPr>
          <w:lang w:val="fr-FR"/>
        </w:rPr>
        <w:t>ocument informel GRSG-110-24)</w:t>
      </w:r>
      <w:r w:rsidR="00C756AF">
        <w:rPr>
          <w:lang w:val="fr-FR"/>
        </w:rPr>
        <w:t>.</w:t>
      </w:r>
    </w:p>
    <w:p w:rsidR="00645CDE" w:rsidRPr="00645CDE" w:rsidRDefault="00C756AF" w:rsidP="00C756AF">
      <w:pPr>
        <w:pStyle w:val="H1G"/>
        <w:rPr>
          <w:lang w:val="fr-FR"/>
        </w:rPr>
      </w:pPr>
      <w:r>
        <w:rPr>
          <w:lang w:val="fr-FR"/>
        </w:rPr>
        <w:tab/>
      </w:r>
      <w:r w:rsidR="00645CDE" w:rsidRPr="00645CDE">
        <w:rPr>
          <w:lang w:val="fr-FR"/>
        </w:rPr>
        <w:t>15.</w:t>
      </w:r>
      <w:r w:rsidR="00645CDE" w:rsidRPr="00645CDE">
        <w:rPr>
          <w:lang w:val="fr-FR"/>
        </w:rPr>
        <w:tab/>
        <w:t>Résolution d</w:t>
      </w:r>
      <w:r w:rsidR="00D01F61">
        <w:rPr>
          <w:lang w:val="fr-FR"/>
        </w:rPr>
        <w:t>’</w:t>
      </w:r>
      <w:r w:rsidR="00645CDE" w:rsidRPr="00645CDE">
        <w:rPr>
          <w:lang w:val="fr-FR"/>
        </w:rPr>
        <w:t>ensemble sur la construction des véhicules (R.E.3)</w:t>
      </w:r>
    </w:p>
    <w:p w:rsidR="00645CDE" w:rsidRPr="00645CDE" w:rsidRDefault="00645CDE" w:rsidP="00CD1949">
      <w:pPr>
        <w:pStyle w:val="SingleTxtG"/>
        <w:ind w:firstLine="567"/>
        <w:rPr>
          <w:lang w:val="fr-FR"/>
        </w:rPr>
      </w:pPr>
      <w:r w:rsidRPr="00645CDE">
        <w:rPr>
          <w:lang w:val="fr-FR"/>
        </w:rPr>
        <w:t>Le GRSG reprendra l</w:t>
      </w:r>
      <w:r w:rsidR="00D01F61">
        <w:rPr>
          <w:lang w:val="fr-FR"/>
        </w:rPr>
        <w:t>’</w:t>
      </w:r>
      <w:r w:rsidRPr="00645CDE">
        <w:rPr>
          <w:lang w:val="fr-FR"/>
        </w:rPr>
        <w:t>examen d</w:t>
      </w:r>
      <w:r w:rsidR="00D01F61">
        <w:rPr>
          <w:lang w:val="fr-FR"/>
        </w:rPr>
        <w:t>’</w:t>
      </w:r>
      <w:r w:rsidRPr="00645CDE">
        <w:rPr>
          <w:lang w:val="fr-FR"/>
        </w:rPr>
        <w:t xml:space="preserve">une éventuelle version actualisée du document ECE/TRANS/WP.29/GRSG/2015/30, portant sur les </w:t>
      </w:r>
      <w:r w:rsidR="00C756AF">
        <w:rPr>
          <w:lang w:val="fr-FR"/>
        </w:rPr>
        <w:t>« </w:t>
      </w:r>
      <w:r w:rsidRPr="00645CDE">
        <w:rPr>
          <w:lang w:val="fr-FR"/>
        </w:rPr>
        <w:t>roues jumelées</w:t>
      </w:r>
      <w:r w:rsidR="00C756AF">
        <w:rPr>
          <w:lang w:val="fr-FR"/>
        </w:rPr>
        <w:t> »</w:t>
      </w:r>
      <w:r w:rsidRPr="00645CDE">
        <w:rPr>
          <w:lang w:val="fr-FR"/>
        </w:rPr>
        <w:t>.</w:t>
      </w:r>
    </w:p>
    <w:p w:rsidR="00645CDE" w:rsidRPr="00645CDE" w:rsidRDefault="00645CDE" w:rsidP="00645CDE">
      <w:pPr>
        <w:pStyle w:val="SingleTxtG"/>
        <w:rPr>
          <w:lang w:val="fr-FR"/>
        </w:rPr>
      </w:pPr>
      <w:r w:rsidRPr="00C756AF">
        <w:rPr>
          <w:bCs/>
          <w:i/>
          <w:lang w:val="fr-FR"/>
        </w:rPr>
        <w:t>Document</w:t>
      </w:r>
      <w:r w:rsidR="00C756AF">
        <w:rPr>
          <w:bCs/>
          <w:lang w:val="fr-FR"/>
        </w:rPr>
        <w:t> </w:t>
      </w:r>
      <w:r w:rsidRPr="00C756AF">
        <w:rPr>
          <w:bCs/>
          <w:lang w:val="fr-FR"/>
        </w:rPr>
        <w:t>:</w:t>
      </w:r>
      <w:r w:rsidRPr="00C756AF">
        <w:rPr>
          <w:lang w:val="fr-FR"/>
        </w:rPr>
        <w:tab/>
      </w:r>
      <w:r w:rsidRPr="00645CDE">
        <w:rPr>
          <w:lang w:val="fr-FR"/>
        </w:rPr>
        <w:t>ECE/TRANS/WP.29/GRSG/2015/30</w:t>
      </w:r>
      <w:r w:rsidR="00C756AF">
        <w:rPr>
          <w:lang w:val="fr-FR"/>
        </w:rPr>
        <w:t>.</w:t>
      </w:r>
    </w:p>
    <w:p w:rsidR="00645CDE" w:rsidRPr="00645CDE" w:rsidRDefault="00C756AF" w:rsidP="00C756AF">
      <w:pPr>
        <w:pStyle w:val="H1G"/>
        <w:rPr>
          <w:lang w:val="fr-FR"/>
        </w:rPr>
      </w:pPr>
      <w:r>
        <w:rPr>
          <w:lang w:val="fr-FR"/>
        </w:rPr>
        <w:tab/>
      </w:r>
      <w:r w:rsidR="00645CDE" w:rsidRPr="00645CDE">
        <w:rPr>
          <w:lang w:val="fr-FR"/>
        </w:rPr>
        <w:t>16.</w:t>
      </w:r>
      <w:r w:rsidR="00645CDE" w:rsidRPr="00645CDE">
        <w:rPr>
          <w:lang w:val="fr-FR"/>
        </w:rPr>
        <w:tab/>
        <w:t>Systèmes embarqués de stockage des données électroniques</w:t>
      </w:r>
    </w:p>
    <w:p w:rsidR="00645CDE" w:rsidRPr="00645CDE" w:rsidRDefault="00645CDE" w:rsidP="00C756AF">
      <w:pPr>
        <w:pStyle w:val="SingleTxtG"/>
        <w:ind w:firstLine="567"/>
        <w:rPr>
          <w:lang w:val="fr-FR"/>
        </w:rPr>
      </w:pPr>
      <w:r w:rsidRPr="00645CDE">
        <w:rPr>
          <w:lang w:val="fr-FR"/>
        </w:rPr>
        <w:t>Le Groupe de travail, qui a jugé nécessaire l</w:t>
      </w:r>
      <w:r w:rsidR="00D01F61">
        <w:rPr>
          <w:lang w:val="fr-FR"/>
        </w:rPr>
        <w:t>’</w:t>
      </w:r>
      <w:r w:rsidRPr="00645CDE">
        <w:rPr>
          <w:lang w:val="fr-FR"/>
        </w:rPr>
        <w:t>élaboration d</w:t>
      </w:r>
      <w:r w:rsidR="00D01F61">
        <w:rPr>
          <w:lang w:val="fr-FR"/>
        </w:rPr>
        <w:t>’</w:t>
      </w:r>
      <w:r w:rsidRPr="00645CDE">
        <w:rPr>
          <w:lang w:val="fr-FR"/>
        </w:rPr>
        <w:t xml:space="preserve">une réglementation harmonisée portant sur les systèmes embarqués de stockage des données électroniques pour les </w:t>
      </w:r>
      <w:r w:rsidRPr="00645CDE">
        <w:rPr>
          <w:bCs/>
          <w:lang w:val="fr-FR"/>
        </w:rPr>
        <w:t>véhicules automatisés</w:t>
      </w:r>
      <w:r w:rsidRPr="00645CDE">
        <w:rPr>
          <w:lang w:val="fr-FR"/>
        </w:rPr>
        <w:t>, devrait examiner une proposition concrète du Royaume-Uni de Grande-Bretagne et d</w:t>
      </w:r>
      <w:r w:rsidR="00D01F61">
        <w:rPr>
          <w:lang w:val="fr-FR"/>
        </w:rPr>
        <w:t>’</w:t>
      </w:r>
      <w:r w:rsidRPr="00645CDE">
        <w:rPr>
          <w:lang w:val="fr-FR"/>
        </w:rPr>
        <w:t>Irlande du Nord concernant l</w:t>
      </w:r>
      <w:r w:rsidR="00D01F61">
        <w:rPr>
          <w:lang w:val="fr-FR"/>
        </w:rPr>
        <w:t>’</w:t>
      </w:r>
      <w:r w:rsidRPr="00645CDE">
        <w:rPr>
          <w:lang w:val="fr-FR"/>
        </w:rPr>
        <w:t>éventuelle marche à suivre, en tenant compte de l</w:t>
      </w:r>
      <w:r w:rsidR="00D01F61">
        <w:rPr>
          <w:lang w:val="fr-FR"/>
        </w:rPr>
        <w:t>’</w:t>
      </w:r>
      <w:r w:rsidRPr="00645CDE">
        <w:rPr>
          <w:lang w:val="fr-FR"/>
        </w:rPr>
        <w:t>avis du WP.29, s</w:t>
      </w:r>
      <w:r w:rsidR="00D01F61">
        <w:rPr>
          <w:lang w:val="fr-FR"/>
        </w:rPr>
        <w:t>’</w:t>
      </w:r>
      <w:r w:rsidRPr="00645CDE">
        <w:rPr>
          <w:lang w:val="fr-FR"/>
        </w:rPr>
        <w:t>il est disponible.</w:t>
      </w:r>
    </w:p>
    <w:p w:rsidR="00645CDE" w:rsidRPr="00645CDE" w:rsidRDefault="00C756AF" w:rsidP="00FF072D">
      <w:pPr>
        <w:pStyle w:val="H1G"/>
        <w:spacing w:before="320" w:after="200"/>
        <w:rPr>
          <w:lang w:val="fr-FR"/>
        </w:rPr>
      </w:pPr>
      <w:r>
        <w:rPr>
          <w:lang w:val="fr-FR"/>
        </w:rPr>
        <w:tab/>
      </w:r>
      <w:r w:rsidR="00645CDE" w:rsidRPr="00645CDE">
        <w:rPr>
          <w:lang w:val="fr-FR"/>
        </w:rPr>
        <w:t>17.</w:t>
      </w:r>
      <w:r w:rsidR="00645CDE" w:rsidRPr="00645CDE">
        <w:rPr>
          <w:lang w:val="fr-FR"/>
        </w:rPr>
        <w:tab/>
        <w:t xml:space="preserve">Règlement technique mondial </w:t>
      </w:r>
      <w:r w:rsidRPr="00C756AF">
        <w:rPr>
          <w:rFonts w:eastAsia="MS Mincho"/>
          <w:szCs w:val="22"/>
          <w:lang w:val="fr-FR"/>
        </w:rPr>
        <w:t>n</w:t>
      </w:r>
      <w:r w:rsidRPr="00C756AF">
        <w:rPr>
          <w:rFonts w:eastAsia="MS Mincho"/>
          <w:szCs w:val="22"/>
          <w:vertAlign w:val="superscript"/>
          <w:lang w:val="fr-FR"/>
        </w:rPr>
        <w:t>o</w:t>
      </w:r>
      <w:r>
        <w:rPr>
          <w:lang w:val="fr-FR"/>
        </w:rPr>
        <w:t> </w:t>
      </w:r>
      <w:r w:rsidR="00645CDE" w:rsidRPr="00645CDE">
        <w:rPr>
          <w:lang w:val="fr-FR"/>
        </w:rPr>
        <w:t>6 (Vitrages de sécurité)</w:t>
      </w:r>
    </w:p>
    <w:p w:rsidR="00645CDE" w:rsidRPr="00645CDE" w:rsidRDefault="00645CDE" w:rsidP="00C756AF">
      <w:pPr>
        <w:pStyle w:val="SingleTxtG"/>
        <w:ind w:firstLine="567"/>
        <w:rPr>
          <w:lang w:val="fr-FR"/>
        </w:rPr>
      </w:pPr>
      <w:r w:rsidRPr="00645CDE">
        <w:rPr>
          <w:lang w:val="fr-FR"/>
        </w:rPr>
        <w:t>Le GRSG devrait examiner une proposition du groupe de travail informel des vitrages de toit panoramiques (VTP) visant à modifier le Règlement sur les vitrages de sécurité, si le texte en est disponible.</w:t>
      </w:r>
    </w:p>
    <w:p w:rsidR="00645CDE" w:rsidRPr="00645CDE" w:rsidRDefault="00C756AF" w:rsidP="00FF072D">
      <w:pPr>
        <w:pStyle w:val="H1G"/>
        <w:spacing w:before="320" w:after="200"/>
        <w:rPr>
          <w:lang w:val="fr-FR"/>
        </w:rPr>
      </w:pPr>
      <w:r>
        <w:rPr>
          <w:lang w:val="fr-FR"/>
        </w:rPr>
        <w:tab/>
      </w:r>
      <w:r w:rsidR="00645CDE" w:rsidRPr="00645CDE">
        <w:rPr>
          <w:lang w:val="fr-FR"/>
        </w:rPr>
        <w:t>18.</w:t>
      </w:r>
      <w:r w:rsidR="00645CDE" w:rsidRPr="00645CDE">
        <w:rPr>
          <w:lang w:val="fr-FR"/>
        </w:rPr>
        <w:tab/>
        <w:t xml:space="preserve">Nouveau </w:t>
      </w:r>
      <w:r w:rsidR="002C5217">
        <w:rPr>
          <w:lang w:val="fr-FR"/>
        </w:rPr>
        <w:t>r</w:t>
      </w:r>
      <w:r w:rsidR="00645CDE" w:rsidRPr="00645CDE">
        <w:rPr>
          <w:lang w:val="fr-FR"/>
        </w:rPr>
        <w:t>èglement sur les systèmes avancés d</w:t>
      </w:r>
      <w:r w:rsidR="00D01F61">
        <w:rPr>
          <w:lang w:val="fr-FR"/>
        </w:rPr>
        <w:t>’</w:t>
      </w:r>
      <w:r w:rsidR="00645CDE" w:rsidRPr="00645CDE">
        <w:rPr>
          <w:lang w:val="fr-FR"/>
        </w:rPr>
        <w:t>aide à la conduite</w:t>
      </w:r>
    </w:p>
    <w:p w:rsidR="00645CDE" w:rsidRPr="00645CDE" w:rsidRDefault="00645CDE" w:rsidP="00C756AF">
      <w:pPr>
        <w:pStyle w:val="SingleTxtG"/>
        <w:ind w:firstLine="567"/>
        <w:rPr>
          <w:lang w:val="fr-FR"/>
        </w:rPr>
      </w:pPr>
      <w:r w:rsidRPr="00645CDE">
        <w:rPr>
          <w:lang w:val="fr-FR"/>
        </w:rPr>
        <w:t>Le Groupe de travail examinera sans doute un nouveau projet de règlement sur les systèmes avancés d</w:t>
      </w:r>
      <w:r w:rsidR="00D01F61">
        <w:rPr>
          <w:lang w:val="fr-FR"/>
        </w:rPr>
        <w:t>’</w:t>
      </w:r>
      <w:r w:rsidRPr="00645CDE">
        <w:rPr>
          <w:lang w:val="fr-FR"/>
        </w:rPr>
        <w:t>aide à la conduite visant à éviter les accidents dus à l</w:t>
      </w:r>
      <w:r w:rsidR="00D01F61">
        <w:rPr>
          <w:lang w:val="fr-FR"/>
        </w:rPr>
        <w:t>’</w:t>
      </w:r>
      <w:r w:rsidRPr="00645CDE">
        <w:rPr>
          <w:lang w:val="fr-FR"/>
        </w:rPr>
        <w:t>angle mort au moyen d</w:t>
      </w:r>
      <w:r w:rsidR="00D01F61">
        <w:rPr>
          <w:lang w:val="fr-FR"/>
        </w:rPr>
        <w:t>’</w:t>
      </w:r>
      <w:r w:rsidRPr="00645CDE">
        <w:rPr>
          <w:lang w:val="fr-FR"/>
        </w:rPr>
        <w:t>un système d</w:t>
      </w:r>
      <w:r w:rsidR="00D01F61">
        <w:rPr>
          <w:lang w:val="fr-FR"/>
        </w:rPr>
        <w:t>’</w:t>
      </w:r>
      <w:r w:rsidRPr="00645CDE">
        <w:rPr>
          <w:lang w:val="fr-FR"/>
        </w:rPr>
        <w:t>information et d</w:t>
      </w:r>
      <w:r w:rsidR="00D01F61">
        <w:rPr>
          <w:lang w:val="fr-FR"/>
        </w:rPr>
        <w:t>’</w:t>
      </w:r>
      <w:r w:rsidRPr="00645CDE">
        <w:rPr>
          <w:lang w:val="fr-FR"/>
        </w:rPr>
        <w:t>alerte du conducteur présenté par l</w:t>
      </w:r>
      <w:r w:rsidR="00D01F61">
        <w:rPr>
          <w:lang w:val="fr-FR"/>
        </w:rPr>
        <w:t>’</w:t>
      </w:r>
      <w:r w:rsidRPr="00645CDE">
        <w:rPr>
          <w:lang w:val="fr-FR"/>
        </w:rPr>
        <w:t>Allemagne, si le texte en est disponible.</w:t>
      </w:r>
    </w:p>
    <w:p w:rsidR="00645CDE" w:rsidRPr="00645CDE" w:rsidRDefault="00C756AF" w:rsidP="00FF072D">
      <w:pPr>
        <w:pStyle w:val="H1G"/>
        <w:spacing w:before="320" w:after="200"/>
        <w:rPr>
          <w:lang w:val="fr-FR"/>
        </w:rPr>
      </w:pPr>
      <w:r>
        <w:rPr>
          <w:lang w:val="fr-FR"/>
        </w:rPr>
        <w:tab/>
      </w:r>
      <w:r w:rsidR="00645CDE" w:rsidRPr="00645CDE">
        <w:rPr>
          <w:lang w:val="fr-FR"/>
        </w:rPr>
        <w:t>19.</w:t>
      </w:r>
      <w:r w:rsidR="00645CDE" w:rsidRPr="00645CDE">
        <w:rPr>
          <w:lang w:val="fr-FR"/>
        </w:rPr>
        <w:tab/>
        <w:t>Élection du Bureau</w:t>
      </w:r>
    </w:p>
    <w:p w:rsidR="00645CDE" w:rsidRPr="00645CDE" w:rsidRDefault="00645CDE" w:rsidP="00C756AF">
      <w:pPr>
        <w:pStyle w:val="SingleTxtG"/>
        <w:ind w:firstLine="567"/>
        <w:rPr>
          <w:lang w:val="fr-FR"/>
        </w:rPr>
      </w:pPr>
      <w:r w:rsidRPr="00645CDE">
        <w:rPr>
          <w:lang w:val="fr-FR"/>
        </w:rPr>
        <w:t>Conformément à l</w:t>
      </w:r>
      <w:r w:rsidR="00D01F61">
        <w:rPr>
          <w:lang w:val="fr-FR"/>
        </w:rPr>
        <w:t>’</w:t>
      </w:r>
      <w:r w:rsidRPr="00645CDE">
        <w:rPr>
          <w:lang w:val="fr-FR"/>
        </w:rPr>
        <w:t>article</w:t>
      </w:r>
      <w:r w:rsidR="00692E88">
        <w:rPr>
          <w:lang w:val="fr-FR"/>
        </w:rPr>
        <w:t> </w:t>
      </w:r>
      <w:r w:rsidRPr="00645CDE">
        <w:rPr>
          <w:lang w:val="fr-FR"/>
        </w:rPr>
        <w:t xml:space="preserve">37 du Règlement intérieur (TRANS/WP.29/690 et Amend.1 et 2), le GRSG élira son </w:t>
      </w:r>
      <w:r w:rsidR="002C5217">
        <w:rPr>
          <w:lang w:val="fr-FR"/>
        </w:rPr>
        <w:t>p</w:t>
      </w:r>
      <w:r w:rsidRPr="00645CDE">
        <w:rPr>
          <w:lang w:val="fr-FR"/>
        </w:rPr>
        <w:t xml:space="preserve">résident et son </w:t>
      </w:r>
      <w:r w:rsidR="002C5217">
        <w:rPr>
          <w:lang w:val="fr-FR"/>
        </w:rPr>
        <w:t>v</w:t>
      </w:r>
      <w:r w:rsidRPr="00645CDE">
        <w:rPr>
          <w:lang w:val="fr-FR"/>
        </w:rPr>
        <w:t>ice-</w:t>
      </w:r>
      <w:r w:rsidR="002C5217">
        <w:rPr>
          <w:lang w:val="fr-FR"/>
        </w:rPr>
        <w:t>p</w:t>
      </w:r>
      <w:r w:rsidRPr="00645CDE">
        <w:rPr>
          <w:lang w:val="fr-FR"/>
        </w:rPr>
        <w:t>résident pour les sessions de l</w:t>
      </w:r>
      <w:r w:rsidR="00D01F61">
        <w:rPr>
          <w:lang w:val="fr-FR"/>
        </w:rPr>
        <w:t>’</w:t>
      </w:r>
      <w:r w:rsidRPr="00645CDE">
        <w:rPr>
          <w:lang w:val="fr-FR"/>
        </w:rPr>
        <w:t>année 2017.</w:t>
      </w:r>
    </w:p>
    <w:p w:rsidR="00645CDE" w:rsidRPr="00645CDE" w:rsidRDefault="00C756AF" w:rsidP="00FF072D">
      <w:pPr>
        <w:pStyle w:val="H1G"/>
        <w:spacing w:before="320" w:after="200"/>
        <w:rPr>
          <w:lang w:val="fr-FR"/>
        </w:rPr>
      </w:pPr>
      <w:r>
        <w:rPr>
          <w:lang w:val="fr-FR"/>
        </w:rPr>
        <w:tab/>
      </w:r>
      <w:r w:rsidR="00645CDE" w:rsidRPr="00645CDE">
        <w:rPr>
          <w:lang w:val="fr-FR"/>
        </w:rPr>
        <w:t>20.</w:t>
      </w:r>
      <w:r w:rsidR="00645CDE" w:rsidRPr="00645CDE">
        <w:rPr>
          <w:lang w:val="fr-FR"/>
        </w:rPr>
        <w:tab/>
        <w:t>Questions diverses</w:t>
      </w:r>
    </w:p>
    <w:p w:rsidR="00645CDE" w:rsidRDefault="00645CDE" w:rsidP="00C756AF">
      <w:pPr>
        <w:pStyle w:val="SingleTxtG"/>
        <w:ind w:firstLine="567"/>
        <w:rPr>
          <w:lang w:val="fr-FR"/>
        </w:rPr>
      </w:pPr>
      <w:r w:rsidRPr="00645CDE">
        <w:rPr>
          <w:lang w:val="fr-FR"/>
        </w:rPr>
        <w:t>Le GRSG souhaitera peut-être examiner toute autre proposition qui pourrait lui être présentée.</w:t>
      </w:r>
    </w:p>
    <w:p w:rsidR="00C756AF" w:rsidRPr="00C756AF" w:rsidRDefault="00C756AF" w:rsidP="00C756A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756AF" w:rsidRPr="00C756AF" w:rsidSect="00906B7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39" w:rsidRDefault="001A5639" w:rsidP="00F95C08">
      <w:pPr>
        <w:spacing w:line="240" w:lineRule="auto"/>
      </w:pPr>
    </w:p>
  </w:endnote>
  <w:endnote w:type="continuationSeparator" w:id="0">
    <w:p w:rsidR="001A5639" w:rsidRPr="00AC3823" w:rsidRDefault="001A5639" w:rsidP="00AC3823">
      <w:pPr>
        <w:pStyle w:val="Footer"/>
      </w:pPr>
    </w:p>
  </w:endnote>
  <w:endnote w:type="continuationNotice" w:id="1">
    <w:p w:rsidR="001A5639" w:rsidRDefault="001A56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74" w:rsidRPr="00906B74" w:rsidRDefault="00906B74" w:rsidP="00906B74">
    <w:pPr>
      <w:pStyle w:val="Footer"/>
      <w:tabs>
        <w:tab w:val="right" w:pos="9638"/>
      </w:tabs>
    </w:pPr>
    <w:r w:rsidRPr="00906B74">
      <w:rPr>
        <w:b/>
        <w:sz w:val="18"/>
      </w:rPr>
      <w:fldChar w:fldCharType="begin"/>
    </w:r>
    <w:r w:rsidRPr="00906B74">
      <w:rPr>
        <w:b/>
        <w:sz w:val="18"/>
      </w:rPr>
      <w:instrText xml:space="preserve"> PAGE  \* MERGEFORMAT </w:instrText>
    </w:r>
    <w:r w:rsidRPr="00906B74">
      <w:rPr>
        <w:b/>
        <w:sz w:val="18"/>
      </w:rPr>
      <w:fldChar w:fldCharType="separate"/>
    </w:r>
    <w:r w:rsidR="00907C91">
      <w:rPr>
        <w:b/>
        <w:noProof/>
        <w:sz w:val="18"/>
      </w:rPr>
      <w:t>2</w:t>
    </w:r>
    <w:r w:rsidRPr="00906B74">
      <w:rPr>
        <w:b/>
        <w:sz w:val="18"/>
      </w:rPr>
      <w:fldChar w:fldCharType="end"/>
    </w:r>
    <w:r>
      <w:rPr>
        <w:b/>
        <w:sz w:val="18"/>
      </w:rPr>
      <w:tab/>
    </w:r>
    <w:r>
      <w:t>GE.16-12710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74" w:rsidRPr="00906B74" w:rsidRDefault="00906B74" w:rsidP="00906B74">
    <w:pPr>
      <w:pStyle w:val="Footer"/>
      <w:tabs>
        <w:tab w:val="right" w:pos="9638"/>
      </w:tabs>
      <w:rPr>
        <w:b/>
        <w:sz w:val="18"/>
      </w:rPr>
    </w:pPr>
    <w:r>
      <w:t>GE.16-12710</w:t>
    </w:r>
    <w:r>
      <w:tab/>
    </w:r>
    <w:r w:rsidRPr="00906B74">
      <w:rPr>
        <w:b/>
        <w:sz w:val="18"/>
      </w:rPr>
      <w:fldChar w:fldCharType="begin"/>
    </w:r>
    <w:r w:rsidRPr="00906B74">
      <w:rPr>
        <w:b/>
        <w:sz w:val="18"/>
      </w:rPr>
      <w:instrText xml:space="preserve"> PAGE  \* MERGEFORMAT </w:instrText>
    </w:r>
    <w:r w:rsidRPr="00906B74">
      <w:rPr>
        <w:b/>
        <w:sz w:val="18"/>
      </w:rPr>
      <w:fldChar w:fldCharType="separate"/>
    </w:r>
    <w:r w:rsidR="00907C91">
      <w:rPr>
        <w:b/>
        <w:noProof/>
        <w:sz w:val="18"/>
      </w:rPr>
      <w:t>5</w:t>
    </w:r>
    <w:r w:rsidRPr="00906B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906B74" w:rsidRDefault="00906B74" w:rsidP="00906B74">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645EC958" wp14:editId="235F215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16-12710  (F)</w:t>
    </w:r>
    <w:r w:rsidR="0089145B">
      <w:rPr>
        <w:sz w:val="20"/>
      </w:rPr>
      <w:t xml:space="preserve">    170816    1</w:t>
    </w:r>
    <w:r w:rsidR="00FB6DAA">
      <w:rPr>
        <w:sz w:val="20"/>
      </w:rPr>
      <w:t>8</w:t>
    </w:r>
    <w:r w:rsidR="0089145B">
      <w:rPr>
        <w:sz w:val="20"/>
      </w:rPr>
      <w:t>0816</w:t>
    </w:r>
    <w:r>
      <w:rPr>
        <w:sz w:val="20"/>
      </w:rPr>
      <w:br/>
    </w:r>
    <w:r w:rsidRPr="00906B74">
      <w:rPr>
        <w:rFonts w:ascii="C39T30Lfz" w:hAnsi="C39T30Lfz"/>
        <w:sz w:val="56"/>
      </w:rPr>
      <w:t></w:t>
    </w:r>
    <w:r w:rsidRPr="00906B74">
      <w:rPr>
        <w:rFonts w:ascii="C39T30Lfz" w:hAnsi="C39T30Lfz"/>
        <w:sz w:val="56"/>
      </w:rPr>
      <w:t></w:t>
    </w:r>
    <w:r w:rsidRPr="00906B74">
      <w:rPr>
        <w:rFonts w:ascii="C39T30Lfz" w:hAnsi="C39T30Lfz"/>
        <w:sz w:val="56"/>
      </w:rPr>
      <w:t></w:t>
    </w:r>
    <w:r w:rsidRPr="00906B74">
      <w:rPr>
        <w:rFonts w:ascii="C39T30Lfz" w:hAnsi="C39T30Lfz"/>
        <w:sz w:val="56"/>
      </w:rPr>
      <w:t></w:t>
    </w:r>
    <w:r w:rsidRPr="00906B74">
      <w:rPr>
        <w:rFonts w:ascii="C39T30Lfz" w:hAnsi="C39T30Lfz"/>
        <w:sz w:val="56"/>
      </w:rPr>
      <w:t></w:t>
    </w:r>
    <w:r w:rsidRPr="00906B74">
      <w:rPr>
        <w:rFonts w:ascii="C39T30Lfz" w:hAnsi="C39T30Lfz"/>
        <w:sz w:val="56"/>
      </w:rPr>
      <w:t></w:t>
    </w:r>
    <w:r w:rsidRPr="00906B74">
      <w:rPr>
        <w:rFonts w:ascii="C39T30Lfz" w:hAnsi="C39T30Lfz"/>
        <w:sz w:val="56"/>
      </w:rPr>
      <w:t></w:t>
    </w:r>
    <w:r w:rsidRPr="00906B74">
      <w:rPr>
        <w:rFonts w:ascii="C39T30Lfz" w:hAnsi="C39T30Lfz"/>
        <w:sz w:val="56"/>
      </w:rPr>
      <w:t></w:t>
    </w:r>
    <w:r w:rsidRPr="00906B74">
      <w:rPr>
        <w:rFonts w:ascii="C39T30Lfz" w:hAnsi="C39T30Lfz"/>
        <w:sz w:val="56"/>
      </w:rPr>
      <w:t></w:t>
    </w:r>
    <w:r>
      <w:rPr>
        <w:noProof/>
        <w:sz w:val="20"/>
        <w:lang w:val="en-US"/>
      </w:rPr>
      <w:drawing>
        <wp:anchor distT="0" distB="0" distL="114300" distR="114300" simplePos="0" relativeHeight="251660288" behindDoc="0" locked="0" layoutInCell="1" allowOverlap="1" wp14:anchorId="138DECEE" wp14:editId="46C72B6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39" w:rsidRPr="00AC3823" w:rsidRDefault="001A5639" w:rsidP="00AC3823">
      <w:pPr>
        <w:pStyle w:val="Footer"/>
        <w:tabs>
          <w:tab w:val="right" w:pos="2155"/>
        </w:tabs>
        <w:spacing w:after="80" w:line="240" w:lineRule="atLeast"/>
        <w:ind w:left="680"/>
        <w:rPr>
          <w:u w:val="single"/>
        </w:rPr>
      </w:pPr>
      <w:r>
        <w:rPr>
          <w:u w:val="single"/>
        </w:rPr>
        <w:tab/>
      </w:r>
    </w:p>
  </w:footnote>
  <w:footnote w:type="continuationSeparator" w:id="0">
    <w:p w:rsidR="001A5639" w:rsidRPr="00AC3823" w:rsidRDefault="001A5639" w:rsidP="00AC3823">
      <w:pPr>
        <w:pStyle w:val="Footer"/>
        <w:tabs>
          <w:tab w:val="right" w:pos="2155"/>
        </w:tabs>
        <w:spacing w:after="80" w:line="240" w:lineRule="atLeast"/>
        <w:ind w:left="680"/>
        <w:rPr>
          <w:u w:val="single"/>
        </w:rPr>
      </w:pPr>
      <w:r>
        <w:rPr>
          <w:u w:val="single"/>
        </w:rPr>
        <w:tab/>
      </w:r>
    </w:p>
  </w:footnote>
  <w:footnote w:type="continuationNotice" w:id="1">
    <w:p w:rsidR="001A5639" w:rsidRPr="00AC3823" w:rsidRDefault="001A56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74" w:rsidRPr="00906B74" w:rsidRDefault="00906B74">
    <w:pPr>
      <w:pStyle w:val="Header"/>
    </w:pPr>
    <w:r>
      <w:t>ECE/TRANS/WP.29/GRSG/2016/14/Add.1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74" w:rsidRPr="00906B74" w:rsidRDefault="00906B74" w:rsidP="00906B74">
    <w:pPr>
      <w:pStyle w:val="Header"/>
      <w:jc w:val="right"/>
    </w:pPr>
    <w:r>
      <w:t>ECE/TRANS/WP.29/GRSG/2016/14/Add.1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2DBF"/>
    <w:multiLevelType w:val="multilevel"/>
    <w:tmpl w:val="10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39"/>
    <w:rsid w:val="00017F94"/>
    <w:rsid w:val="00023842"/>
    <w:rsid w:val="000334F9"/>
    <w:rsid w:val="0007796D"/>
    <w:rsid w:val="00080630"/>
    <w:rsid w:val="000B20DC"/>
    <w:rsid w:val="000B7790"/>
    <w:rsid w:val="000C7501"/>
    <w:rsid w:val="00111F2F"/>
    <w:rsid w:val="0014365E"/>
    <w:rsid w:val="00143C66"/>
    <w:rsid w:val="00176178"/>
    <w:rsid w:val="0017666A"/>
    <w:rsid w:val="001A5639"/>
    <w:rsid w:val="001F525A"/>
    <w:rsid w:val="00211919"/>
    <w:rsid w:val="00223272"/>
    <w:rsid w:val="0024779E"/>
    <w:rsid w:val="00257168"/>
    <w:rsid w:val="002744B8"/>
    <w:rsid w:val="002832AC"/>
    <w:rsid w:val="002C5217"/>
    <w:rsid w:val="002D7C93"/>
    <w:rsid w:val="002E438B"/>
    <w:rsid w:val="00305801"/>
    <w:rsid w:val="0030713D"/>
    <w:rsid w:val="00367AF2"/>
    <w:rsid w:val="00382AB2"/>
    <w:rsid w:val="003916DE"/>
    <w:rsid w:val="0042181A"/>
    <w:rsid w:val="00441C3B"/>
    <w:rsid w:val="00446FE5"/>
    <w:rsid w:val="00452396"/>
    <w:rsid w:val="004837D8"/>
    <w:rsid w:val="004E468C"/>
    <w:rsid w:val="0053302C"/>
    <w:rsid w:val="005505B7"/>
    <w:rsid w:val="00573BE5"/>
    <w:rsid w:val="00586ED3"/>
    <w:rsid w:val="00596AA9"/>
    <w:rsid w:val="00645CDE"/>
    <w:rsid w:val="00692E88"/>
    <w:rsid w:val="0071601D"/>
    <w:rsid w:val="00756457"/>
    <w:rsid w:val="007A62E6"/>
    <w:rsid w:val="007F20FA"/>
    <w:rsid w:val="0080684C"/>
    <w:rsid w:val="00831436"/>
    <w:rsid w:val="00855575"/>
    <w:rsid w:val="00871C75"/>
    <w:rsid w:val="008776DC"/>
    <w:rsid w:val="0089145B"/>
    <w:rsid w:val="00906B74"/>
    <w:rsid w:val="00907C91"/>
    <w:rsid w:val="009705C8"/>
    <w:rsid w:val="009B31B3"/>
    <w:rsid w:val="009B7C54"/>
    <w:rsid w:val="009C1CF4"/>
    <w:rsid w:val="009F6B74"/>
    <w:rsid w:val="00A30353"/>
    <w:rsid w:val="00A36C9A"/>
    <w:rsid w:val="00A55427"/>
    <w:rsid w:val="00AC3823"/>
    <w:rsid w:val="00AE323C"/>
    <w:rsid w:val="00AF0CB5"/>
    <w:rsid w:val="00AF50F8"/>
    <w:rsid w:val="00B00181"/>
    <w:rsid w:val="00B00B0D"/>
    <w:rsid w:val="00B765F7"/>
    <w:rsid w:val="00B9302E"/>
    <w:rsid w:val="00BA0CA9"/>
    <w:rsid w:val="00BC4E0A"/>
    <w:rsid w:val="00C02897"/>
    <w:rsid w:val="00C756AF"/>
    <w:rsid w:val="00CD1949"/>
    <w:rsid w:val="00D01F61"/>
    <w:rsid w:val="00D11850"/>
    <w:rsid w:val="00D3439C"/>
    <w:rsid w:val="00DB1831"/>
    <w:rsid w:val="00DD3BFD"/>
    <w:rsid w:val="00DF6678"/>
    <w:rsid w:val="00DF7A7F"/>
    <w:rsid w:val="00E04669"/>
    <w:rsid w:val="00E85C74"/>
    <w:rsid w:val="00EA451E"/>
    <w:rsid w:val="00EA6547"/>
    <w:rsid w:val="00EC5E47"/>
    <w:rsid w:val="00EF2D39"/>
    <w:rsid w:val="00EF2E22"/>
    <w:rsid w:val="00F35BAF"/>
    <w:rsid w:val="00F660DF"/>
    <w:rsid w:val="00F94664"/>
    <w:rsid w:val="00F9573C"/>
    <w:rsid w:val="00F95C08"/>
    <w:rsid w:val="00FB6DAA"/>
    <w:rsid w:val="00FF07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E13433-E203-4DA1-994A-8FB3F15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numbering" w:styleId="1ai">
    <w:name w:val="Outline List 1"/>
    <w:basedOn w:val="NoList"/>
    <w:unhideWhenUsed/>
    <w:rsid w:val="00645CD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ECE/TRANS/WP.29/GRSG/2016/14/Add.1</vt:lpstr>
      <vt:lpstr>ECE/TRANS/WP.29/GRSG/2016/14/Add.1</vt:lpstr>
    </vt:vector>
  </TitlesOfParts>
  <Company>DCM</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ECE/TRANS/WP.29/GRSG/2016/14/Add.1</dc:title>
  <dc:creator>Robert Corinne</dc:creator>
  <cp:lastModifiedBy>Caillot</cp:lastModifiedBy>
  <cp:revision>2</cp:revision>
  <cp:lastPrinted>2016-08-18T06:30:00Z</cp:lastPrinted>
  <dcterms:created xsi:type="dcterms:W3CDTF">2016-08-23T15:39:00Z</dcterms:created>
  <dcterms:modified xsi:type="dcterms:W3CDTF">2016-08-23T15:39:00Z</dcterms:modified>
</cp:coreProperties>
</file>