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8B2426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1F20EF">
              <w:t>5/</w:t>
            </w:r>
            <w:r w:rsidR="00967ACA">
              <w:t>2</w:t>
            </w:r>
            <w:r w:rsidR="008B2426">
              <w:t>6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05980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FB0BD3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67ACA">
              <w:t>Jul</w:t>
            </w:r>
            <w:r w:rsidR="009A1E55">
              <w:t>y</w:t>
            </w:r>
            <w:r w:rsidR="002B47CA">
              <w:t xml:space="preserve"> 201</w:t>
            </w:r>
            <w:r w:rsidR="001F20EF">
              <w:t>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10</w:t>
      </w:r>
      <w:r w:rsidR="00967ACA">
        <w:rPr>
          <w:b/>
        </w:rPr>
        <w:t>9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67ACA">
        <w:t xml:space="preserve">29 September </w:t>
      </w:r>
      <w:r w:rsidR="0028776F" w:rsidRPr="00C64574">
        <w:t>–</w:t>
      </w:r>
      <w:r w:rsidR="00967ACA">
        <w:t xml:space="preserve"> 2 October</w:t>
      </w:r>
      <w:r w:rsidR="00B53C21" w:rsidRPr="00C64574">
        <w:t xml:space="preserve"> </w:t>
      </w:r>
      <w:r w:rsidR="00856FAA" w:rsidRPr="00C64574">
        <w:t>201</w:t>
      </w:r>
      <w:r w:rsidR="001F20EF">
        <w:t>5</w:t>
      </w:r>
    </w:p>
    <w:p w:rsidR="00B53C21" w:rsidRPr="00DF418A" w:rsidRDefault="00915EF6" w:rsidP="00C96DF2">
      <w:r w:rsidRPr="00DF418A">
        <w:t xml:space="preserve">Item </w:t>
      </w:r>
      <w:r w:rsidR="00FC46DC">
        <w:t>3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FC46DC">
        <w:rPr>
          <w:b/>
        </w:rPr>
        <w:t>34</w:t>
      </w:r>
      <w:r w:rsidRPr="00DF418A">
        <w:rPr>
          <w:b/>
        </w:rPr>
        <w:t xml:space="preserve"> (</w:t>
      </w:r>
      <w:r w:rsidR="00FC46DC">
        <w:rPr>
          <w:b/>
        </w:rPr>
        <w:t>Prevention of fire risks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FC46DC">
        <w:rPr>
          <w:sz w:val="26"/>
          <w:szCs w:val="26"/>
        </w:rPr>
        <w:t>34</w:t>
      </w:r>
      <w:r w:rsidR="007C0546" w:rsidRPr="007948F3">
        <w:rPr>
          <w:sz w:val="26"/>
          <w:szCs w:val="26"/>
        </w:rPr>
        <w:t xml:space="preserve"> (</w:t>
      </w:r>
      <w:r w:rsidR="00FC46DC" w:rsidRPr="00FC46DC">
        <w:rPr>
          <w:sz w:val="26"/>
          <w:szCs w:val="26"/>
        </w:rPr>
        <w:t>Prevention of fire risks</w:t>
      </w:r>
      <w:r w:rsidR="007C0546" w:rsidRPr="007948F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D6F32">
        <w:t xml:space="preserve">from </w:t>
      </w:r>
      <w:r w:rsidR="008B2426">
        <w:t>India</w:t>
      </w:r>
      <w:bookmarkStart w:id="0" w:name="_GoBack"/>
      <w:bookmarkEnd w:id="0"/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DF418A" w:rsidP="00E466D9">
      <w:pPr>
        <w:ind w:left="1134" w:right="1134" w:firstLine="567"/>
        <w:jc w:val="both"/>
      </w:pPr>
      <w:r w:rsidRPr="000E2AC1">
        <w:t xml:space="preserve">The </w:t>
      </w:r>
      <w:r w:rsidR="00E466D9" w:rsidRPr="000E2AC1">
        <w:t>text reproduced below was</w:t>
      </w:r>
      <w:r w:rsidRPr="000E2AC1">
        <w:t xml:space="preserve"> prepared by the </w:t>
      </w:r>
      <w:r w:rsidR="00A83C2D" w:rsidRPr="000E2AC1">
        <w:t xml:space="preserve">expert from </w:t>
      </w:r>
      <w:r w:rsidR="008B2426">
        <w:t>India</w:t>
      </w:r>
      <w:r w:rsidR="00FC46DC">
        <w:t xml:space="preserve"> proposing to </w:t>
      </w:r>
      <w:r w:rsidR="008B2426">
        <w:t>harmonize the scope of UN Regulation No. 34 and to amend the total permissible mass limit to read "2.5 tonnes"</w:t>
      </w:r>
      <w:r w:rsidR="008B2426" w:rsidRPr="006A0B6B">
        <w:t xml:space="preserve"> </w:t>
      </w:r>
      <w:r w:rsidR="008B2426">
        <w:t>instead of "2.8 tonnes"</w:t>
      </w:r>
      <w:r w:rsidR="001F20EF" w:rsidRPr="000E2AC1">
        <w:t>.</w:t>
      </w:r>
      <w:r w:rsidR="00AF5118" w:rsidRPr="000E2AC1">
        <w:t xml:space="preserve"> </w:t>
      </w:r>
      <w:r w:rsidR="00DB1B2B" w:rsidRPr="000E2AC1">
        <w:t>It is based</w:t>
      </w:r>
      <w:r w:rsidR="00FC46DC">
        <w:t xml:space="preserve"> </w:t>
      </w:r>
      <w:r w:rsidR="008B2426">
        <w:t>on informal document GRSG-108-41</w:t>
      </w:r>
      <w:r w:rsidR="00DB1B2B" w:rsidRPr="000E2AC1">
        <w:t>, distributed during the 108</w:t>
      </w:r>
      <w:r w:rsidR="00DB1B2B" w:rsidRPr="000E2AC1">
        <w:rPr>
          <w:vertAlign w:val="superscript"/>
        </w:rPr>
        <w:t>th</w:t>
      </w:r>
      <w:r w:rsidR="00DB1B2B" w:rsidRPr="000E2AC1">
        <w:t xml:space="preserve"> session of the Working Party on General </w:t>
      </w:r>
      <w:r w:rsidR="00704FB0">
        <w:t>S</w:t>
      </w:r>
      <w:r w:rsidR="00DB1B2B" w:rsidRPr="000E2AC1">
        <w:t xml:space="preserve">afety Provisions (GRSG) (see report ECE/TRANS/WP.29/GRSG/87, para. </w:t>
      </w:r>
      <w:r w:rsidR="008B2426">
        <w:t>65</w:t>
      </w:r>
      <w:r w:rsidR="00DB1B2B" w:rsidRPr="000E2AC1">
        <w:t xml:space="preserve">). </w:t>
      </w:r>
      <w:r w:rsidR="005D6B0A" w:rsidRPr="000E2AC1">
        <w:t>The modifications to the current text of</w:t>
      </w:r>
      <w:r w:rsidR="009A1E55" w:rsidRPr="000E2AC1">
        <w:t xml:space="preserve"> </w:t>
      </w:r>
      <w:r w:rsidR="00FB0BD3">
        <w:t xml:space="preserve">UN </w:t>
      </w:r>
      <w:r w:rsidR="005D6B0A" w:rsidRPr="000E2AC1">
        <w:t xml:space="preserve">Regulation No. </w:t>
      </w:r>
      <w:r w:rsidR="00FC46DC">
        <w:t>34</w:t>
      </w:r>
      <w:r w:rsidR="005D6B0A" w:rsidRPr="000E2AC1">
        <w:t xml:space="preserve"> are marked in bold for new characters</w:t>
      </w:r>
      <w:r w:rsidR="00FC46DC" w:rsidRPr="00FC46DC">
        <w:t xml:space="preserve"> or strikethrough for deleted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C46DC" w:rsidRDefault="00FC46DC" w:rsidP="00C75C59">
      <w:pPr>
        <w:tabs>
          <w:tab w:val="left" w:pos="8505"/>
        </w:tabs>
        <w:spacing w:before="120" w:after="120" w:line="240" w:lineRule="auto"/>
        <w:ind w:left="2268" w:right="851" w:hanging="1134"/>
        <w:jc w:val="both"/>
        <w:rPr>
          <w:lang w:eastAsia="ar-SA"/>
        </w:rPr>
      </w:pPr>
      <w:r w:rsidRPr="00C75C59">
        <w:rPr>
          <w:i/>
          <w:lang w:eastAsia="ja-JP"/>
        </w:rPr>
        <w:t xml:space="preserve">Paragraph </w:t>
      </w:r>
      <w:r w:rsidR="008B2426">
        <w:rPr>
          <w:i/>
          <w:lang w:eastAsia="ja-JP"/>
        </w:rPr>
        <w:t>1.</w:t>
      </w:r>
      <w:r w:rsidRPr="00C75C59">
        <w:rPr>
          <w:i/>
          <w:lang w:eastAsia="ja-JP"/>
        </w:rPr>
        <w:t>2.,</w:t>
      </w:r>
      <w:r>
        <w:rPr>
          <w:lang w:eastAsia="ar-SA"/>
        </w:rPr>
        <w:t xml:space="preserve"> amend to read:</w:t>
      </w:r>
    </w:p>
    <w:p w:rsidR="008B2426" w:rsidRDefault="008B2426" w:rsidP="008B2426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"1.2.</w:t>
      </w:r>
      <w:r>
        <w:rPr>
          <w:lang w:eastAsia="ar-SA"/>
        </w:rPr>
        <w:tab/>
        <w:t>Part II-1: At the request of the manufacturer, to the approval of vehicles of categories M, N and O approved to Part I or IV of this Regulation fitted with liquid fuel tank(s) with regard to the prevention of fire risks in the event of a frontal and/or lateral collision as well as to the approval of vehicles of categories M</w:t>
      </w:r>
      <w:r w:rsidRPr="008B2426">
        <w:rPr>
          <w:vertAlign w:val="subscript"/>
          <w:lang w:eastAsia="ar-SA"/>
        </w:rPr>
        <w:t>1</w:t>
      </w:r>
      <w:r>
        <w:rPr>
          <w:lang w:eastAsia="ar-SA"/>
        </w:rPr>
        <w:t xml:space="preserve"> and N</w:t>
      </w:r>
      <w:r w:rsidRPr="008B2426">
        <w:rPr>
          <w:vertAlign w:val="subscript"/>
          <w:lang w:eastAsia="ar-SA"/>
        </w:rPr>
        <w:t>1</w:t>
      </w:r>
      <w:r>
        <w:rPr>
          <w:lang w:eastAsia="ar-SA"/>
        </w:rPr>
        <w:t xml:space="preserve">, which are of a total permissible mass exceeding </w:t>
      </w:r>
      <w:r w:rsidRPr="008B2426">
        <w:rPr>
          <w:strike/>
          <w:lang w:eastAsia="ar-SA"/>
        </w:rPr>
        <w:t>2.8</w:t>
      </w:r>
      <w:r>
        <w:rPr>
          <w:lang w:eastAsia="ar-SA"/>
        </w:rPr>
        <w:t xml:space="preserve"> </w:t>
      </w:r>
      <w:r w:rsidRPr="008B2426">
        <w:rPr>
          <w:b/>
          <w:lang w:eastAsia="ar-SA"/>
        </w:rPr>
        <w:t>2.5</w:t>
      </w:r>
      <w:r>
        <w:rPr>
          <w:lang w:eastAsia="ar-SA"/>
        </w:rPr>
        <w:t xml:space="preserve"> tonnes, and categories M</w:t>
      </w:r>
      <w:r w:rsidRPr="008B2426">
        <w:rPr>
          <w:vertAlign w:val="subscript"/>
          <w:lang w:eastAsia="ar-SA"/>
        </w:rPr>
        <w:t>2</w:t>
      </w:r>
      <w:r>
        <w:rPr>
          <w:lang w:eastAsia="ar-SA"/>
        </w:rPr>
        <w:t>, M</w:t>
      </w:r>
      <w:r w:rsidRPr="008B2426">
        <w:rPr>
          <w:vertAlign w:val="subscript"/>
          <w:lang w:eastAsia="ar-SA"/>
        </w:rPr>
        <w:t>3</w:t>
      </w:r>
      <w:r>
        <w:rPr>
          <w:lang w:eastAsia="ar-SA"/>
        </w:rPr>
        <w:t>, N</w:t>
      </w:r>
      <w:r w:rsidRPr="008B2426">
        <w:rPr>
          <w:vertAlign w:val="subscript"/>
          <w:lang w:eastAsia="ar-SA"/>
        </w:rPr>
        <w:t>2</w:t>
      </w:r>
      <w:r>
        <w:rPr>
          <w:lang w:eastAsia="ar-SA"/>
        </w:rPr>
        <w:t>, N</w:t>
      </w:r>
      <w:r w:rsidRPr="008B2426">
        <w:rPr>
          <w:vertAlign w:val="subscript"/>
          <w:lang w:eastAsia="ar-SA"/>
        </w:rPr>
        <w:t>3</w:t>
      </w:r>
      <w:r>
        <w:rPr>
          <w:lang w:eastAsia="ar-SA"/>
        </w:rPr>
        <w:t xml:space="preserve"> and O, fitted with tank(s) for liquid fuel, which have been approved to Part I or IV of this Regulation with regard to the prevention of fire risks in the event of a rear collision.</w:t>
      </w:r>
    </w:p>
    <w:p w:rsidR="008B2426" w:rsidRDefault="008B2426" w:rsidP="008B2426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Part II-2: To the approval of vehicles of categories M</w:t>
      </w:r>
      <w:r w:rsidRPr="008B2426">
        <w:rPr>
          <w:vertAlign w:val="subscript"/>
          <w:lang w:eastAsia="ar-SA"/>
        </w:rPr>
        <w:t>1</w:t>
      </w:r>
      <w:r>
        <w:rPr>
          <w:lang w:eastAsia="ar-SA"/>
        </w:rPr>
        <w:t xml:space="preserve"> and N</w:t>
      </w:r>
      <w:r w:rsidRPr="008B2426">
        <w:rPr>
          <w:vertAlign w:val="subscript"/>
          <w:lang w:eastAsia="ar-SA"/>
        </w:rPr>
        <w:t>1</w:t>
      </w:r>
      <w:r>
        <w:rPr>
          <w:lang w:eastAsia="ar-SA"/>
        </w:rPr>
        <w:t xml:space="preserve">, which are of a total permissible mass not exceeding </w:t>
      </w:r>
      <w:r w:rsidRPr="008B2426">
        <w:rPr>
          <w:strike/>
          <w:lang w:eastAsia="ar-SA"/>
        </w:rPr>
        <w:t>2.8</w:t>
      </w:r>
      <w:r>
        <w:rPr>
          <w:lang w:eastAsia="ar-SA"/>
        </w:rPr>
        <w:t xml:space="preserve"> </w:t>
      </w:r>
      <w:r w:rsidRPr="008B2426">
        <w:rPr>
          <w:b/>
          <w:lang w:eastAsia="ar-SA"/>
        </w:rPr>
        <w:t>2.5</w:t>
      </w:r>
      <w:r>
        <w:rPr>
          <w:lang w:eastAsia="ar-SA"/>
        </w:rPr>
        <w:t xml:space="preserve"> tonnes, fitted with liquid fuel tank(s) approved to Part I or IV of this Regulation with regard to the prevention of fire risks in the event of a rear collision."</w:t>
      </w:r>
    </w:p>
    <w:p w:rsidR="00FC46DC" w:rsidRPr="000E2AC1" w:rsidRDefault="00FC46DC" w:rsidP="000E2AC1">
      <w:pPr>
        <w:spacing w:before="120" w:after="120" w:line="240" w:lineRule="auto"/>
        <w:ind w:left="1134"/>
        <w:jc w:val="both"/>
        <w:rPr>
          <w:lang w:eastAsia="ar-SA"/>
        </w:rPr>
      </w:pP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8B2426" w:rsidRDefault="003A41F4" w:rsidP="003A41F4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T</w:t>
      </w:r>
      <w:r w:rsidR="008B2426">
        <w:rPr>
          <w:lang w:eastAsia="ar-SA"/>
        </w:rPr>
        <w:t xml:space="preserve">he </w:t>
      </w:r>
      <w:r>
        <w:rPr>
          <w:lang w:eastAsia="ar-SA"/>
        </w:rPr>
        <w:t>current text of UN Regulation No. 34 specifies in</w:t>
      </w:r>
      <w:r w:rsidR="008B2426">
        <w:rPr>
          <w:lang w:eastAsia="ar-SA"/>
        </w:rPr>
        <w:t xml:space="preserve"> Part II-2</w:t>
      </w:r>
      <w:r>
        <w:rPr>
          <w:lang w:eastAsia="ar-SA"/>
        </w:rPr>
        <w:t>, that:</w:t>
      </w:r>
    </w:p>
    <w:p w:rsidR="008B2426" w:rsidRDefault="003A41F4" w:rsidP="003A41F4">
      <w:pPr>
        <w:tabs>
          <w:tab w:val="left" w:pos="1701"/>
          <w:tab w:val="left" w:pos="2268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ab/>
        <w:t>(</w:t>
      </w:r>
      <w:proofErr w:type="spellStart"/>
      <w:r>
        <w:rPr>
          <w:lang w:eastAsia="ar-SA"/>
        </w:rPr>
        <w:t>i</w:t>
      </w:r>
      <w:proofErr w:type="spellEnd"/>
      <w:r>
        <w:rPr>
          <w:lang w:eastAsia="ar-SA"/>
        </w:rPr>
        <w:t>)</w:t>
      </w:r>
      <w:r>
        <w:rPr>
          <w:lang w:eastAsia="ar-SA"/>
        </w:rPr>
        <w:tab/>
      </w:r>
      <w:proofErr w:type="gramStart"/>
      <w:r>
        <w:rPr>
          <w:lang w:eastAsia="ar-SA"/>
        </w:rPr>
        <w:t>the</w:t>
      </w:r>
      <w:proofErr w:type="gramEnd"/>
      <w:r>
        <w:rPr>
          <w:lang w:eastAsia="ar-SA"/>
        </w:rPr>
        <w:t xml:space="preserve"> </w:t>
      </w:r>
      <w:r w:rsidR="008B2426">
        <w:rPr>
          <w:lang w:eastAsia="ar-SA"/>
        </w:rPr>
        <w:t>rear impact be mandatory for M</w:t>
      </w:r>
      <w:r w:rsidR="008B2426" w:rsidRPr="003A41F4">
        <w:rPr>
          <w:vertAlign w:val="subscript"/>
          <w:lang w:eastAsia="ar-SA"/>
        </w:rPr>
        <w:t>1</w:t>
      </w:r>
      <w:r w:rsidR="008B2426">
        <w:rPr>
          <w:lang w:eastAsia="ar-SA"/>
        </w:rPr>
        <w:t>, N</w:t>
      </w:r>
      <w:r w:rsidR="008B2426" w:rsidRPr="003A41F4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 category vehicles, and </w:t>
      </w:r>
    </w:p>
    <w:p w:rsidR="008B2426" w:rsidRDefault="003A41F4" w:rsidP="003A41F4">
      <w:pPr>
        <w:tabs>
          <w:tab w:val="left" w:pos="1701"/>
          <w:tab w:val="left" w:pos="2268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ab/>
        <w:t>(ii</w:t>
      </w:r>
      <w:r w:rsidR="008B2426">
        <w:rPr>
          <w:lang w:eastAsia="ar-SA"/>
        </w:rPr>
        <w:t>)</w:t>
      </w:r>
      <w:r>
        <w:rPr>
          <w:lang w:eastAsia="ar-SA"/>
        </w:rPr>
        <w:tab/>
      </w:r>
      <w:proofErr w:type="gramStart"/>
      <w:r w:rsidR="008B2426">
        <w:rPr>
          <w:lang w:eastAsia="ar-SA"/>
        </w:rPr>
        <w:t>the</w:t>
      </w:r>
      <w:proofErr w:type="gramEnd"/>
      <w:r w:rsidR="008B2426">
        <w:rPr>
          <w:lang w:eastAsia="ar-SA"/>
        </w:rPr>
        <w:t xml:space="preserve"> </w:t>
      </w:r>
      <w:r>
        <w:rPr>
          <w:lang w:eastAsia="ar-SA"/>
        </w:rPr>
        <w:t>applicability is</w:t>
      </w:r>
      <w:r w:rsidR="008B2426">
        <w:rPr>
          <w:lang w:eastAsia="ar-SA"/>
        </w:rPr>
        <w:t xml:space="preserve"> for </w:t>
      </w:r>
      <w:r>
        <w:rPr>
          <w:lang w:eastAsia="ar-SA"/>
        </w:rPr>
        <w:t>M</w:t>
      </w:r>
      <w:r w:rsidRPr="003A41F4">
        <w:rPr>
          <w:vertAlign w:val="subscript"/>
          <w:lang w:eastAsia="ar-SA"/>
        </w:rPr>
        <w:t>1</w:t>
      </w:r>
      <w:r>
        <w:rPr>
          <w:lang w:eastAsia="ar-SA"/>
        </w:rPr>
        <w:t>, N</w:t>
      </w:r>
      <w:r w:rsidRPr="003A41F4">
        <w:rPr>
          <w:vertAlign w:val="subscript"/>
          <w:lang w:eastAsia="ar-SA"/>
        </w:rPr>
        <w:t>1</w:t>
      </w:r>
      <w:r>
        <w:rPr>
          <w:lang w:eastAsia="ar-SA"/>
        </w:rPr>
        <w:t xml:space="preserve"> vehicles with Gross Vehicle Mass &lt; 2.8 t.</w:t>
      </w:r>
    </w:p>
    <w:p w:rsidR="008B2426" w:rsidRDefault="0030598C" w:rsidP="003A41F4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</w:r>
      <w:r w:rsidR="008B2426">
        <w:rPr>
          <w:lang w:eastAsia="ar-SA"/>
        </w:rPr>
        <w:t>In the</w:t>
      </w:r>
      <w:r>
        <w:rPr>
          <w:lang w:eastAsia="ar-SA"/>
        </w:rPr>
        <w:t xml:space="preserve"> European Union (</w:t>
      </w:r>
      <w:r w:rsidR="008B2426">
        <w:rPr>
          <w:lang w:eastAsia="ar-SA"/>
        </w:rPr>
        <w:t>EU</w:t>
      </w:r>
      <w:r>
        <w:rPr>
          <w:lang w:eastAsia="ar-SA"/>
        </w:rPr>
        <w:t>)</w:t>
      </w:r>
      <w:r w:rsidR="008B2426">
        <w:rPr>
          <w:lang w:eastAsia="ar-SA"/>
        </w:rPr>
        <w:t xml:space="preserve"> and Indian crash regulations, wherever the applicability is based on </w:t>
      </w:r>
      <w:r w:rsidRPr="0030598C">
        <w:rPr>
          <w:lang w:eastAsia="ar-SA"/>
        </w:rPr>
        <w:t>Gross Vehicle Mass</w:t>
      </w:r>
      <w:r w:rsidR="008B2426">
        <w:rPr>
          <w:lang w:eastAsia="ar-SA"/>
        </w:rPr>
        <w:t xml:space="preserve"> for M</w:t>
      </w:r>
      <w:r w:rsidR="008B2426" w:rsidRPr="0030598C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 and N</w:t>
      </w:r>
      <w:r w:rsidR="008B2426" w:rsidRPr="0030598C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, the threshold value used uniformly is 2.5 tonnes. The regulations </w:t>
      </w:r>
      <w:r>
        <w:rPr>
          <w:lang w:eastAsia="ar-SA"/>
        </w:rPr>
        <w:t>concerned are listed below</w:t>
      </w:r>
      <w:r w:rsidR="008B2426">
        <w:rPr>
          <w:lang w:eastAsia="ar-SA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984"/>
      </w:tblGrid>
      <w:tr w:rsidR="008B2426" w:rsidRPr="008B2426" w:rsidTr="008A2B81">
        <w:trPr>
          <w:trHeight w:val="70"/>
        </w:trPr>
        <w:tc>
          <w:tcPr>
            <w:tcW w:w="851" w:type="dxa"/>
            <w:shd w:val="clear" w:color="auto" w:fill="auto"/>
          </w:tcPr>
          <w:p w:rsidR="008B2426" w:rsidRPr="008B2426" w:rsidRDefault="0030598C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A2B81">
              <w:rPr>
                <w:color w:val="000000"/>
                <w:lang w:val="en-US"/>
              </w:rPr>
              <w:t>No</w:t>
            </w:r>
            <w:r w:rsidR="008B2426" w:rsidRPr="008B2426">
              <w:rPr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B2426" w:rsidRPr="008B2426" w:rsidRDefault="0030598C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A2B81">
              <w:rPr>
                <w:color w:val="000000"/>
                <w:lang w:val="en-US"/>
              </w:rPr>
              <w:t>Particular</w:t>
            </w:r>
          </w:p>
        </w:tc>
        <w:tc>
          <w:tcPr>
            <w:tcW w:w="2410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EU Regulations</w:t>
            </w:r>
          </w:p>
        </w:tc>
        <w:tc>
          <w:tcPr>
            <w:tcW w:w="1984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Indian Standard</w:t>
            </w:r>
          </w:p>
        </w:tc>
      </w:tr>
      <w:tr w:rsidR="008B2426" w:rsidRPr="008B2426" w:rsidTr="008A2B81">
        <w:tc>
          <w:tcPr>
            <w:tcW w:w="851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Offset Frontal Impact</w:t>
            </w:r>
          </w:p>
        </w:tc>
        <w:tc>
          <w:tcPr>
            <w:tcW w:w="2410" w:type="dxa"/>
            <w:shd w:val="clear" w:color="auto" w:fill="auto"/>
          </w:tcPr>
          <w:p w:rsidR="008B2426" w:rsidRPr="008B2426" w:rsidRDefault="0030598C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A2B81">
              <w:rPr>
                <w:color w:val="000000"/>
                <w:lang w:val="en-US"/>
              </w:rPr>
              <w:t>UN</w:t>
            </w:r>
            <w:r w:rsidR="008B2426" w:rsidRPr="008B2426">
              <w:rPr>
                <w:color w:val="000000"/>
                <w:lang w:val="en-US"/>
              </w:rPr>
              <w:t xml:space="preserve"> R</w:t>
            </w:r>
            <w:r w:rsidRPr="008A2B81">
              <w:rPr>
                <w:color w:val="000000"/>
                <w:lang w:val="en-US"/>
              </w:rPr>
              <w:t xml:space="preserve">egulation No. </w:t>
            </w:r>
            <w:r w:rsidR="008B2426" w:rsidRPr="008B2426">
              <w:rPr>
                <w:lang w:val="en-US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AIS 098</w:t>
            </w:r>
          </w:p>
        </w:tc>
      </w:tr>
      <w:tr w:rsidR="008B2426" w:rsidRPr="008B2426" w:rsidTr="008A2B81">
        <w:trPr>
          <w:trHeight w:val="85"/>
        </w:trPr>
        <w:tc>
          <w:tcPr>
            <w:tcW w:w="851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2426" w:rsidRPr="008B2426" w:rsidRDefault="0030598C" w:rsidP="008A2B81">
            <w:pPr>
              <w:suppressAutoHyphens w:val="0"/>
              <w:snapToGrid w:val="0"/>
              <w:spacing w:after="200" w:line="360" w:lineRule="auto"/>
              <w:rPr>
                <w:color w:val="000000"/>
                <w:lang w:val="en-US"/>
              </w:rPr>
            </w:pPr>
            <w:r w:rsidRPr="008A2B81">
              <w:rPr>
                <w:color w:val="000000"/>
                <w:lang w:val="en-US"/>
              </w:rPr>
              <w:t>Pedestrian</w:t>
            </w:r>
            <w:r w:rsidR="008B2426" w:rsidRPr="008B2426">
              <w:rPr>
                <w:color w:val="000000"/>
                <w:lang w:val="en-US"/>
              </w:rPr>
              <w:t xml:space="preserve"> Impact </w:t>
            </w:r>
          </w:p>
        </w:tc>
        <w:tc>
          <w:tcPr>
            <w:tcW w:w="2410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EU 78/2009,</w:t>
            </w:r>
            <w:r w:rsidR="0030598C" w:rsidRPr="008A2B81">
              <w:rPr>
                <w:color w:val="000000"/>
                <w:lang w:val="en-US"/>
              </w:rPr>
              <w:t xml:space="preserve"> </w:t>
            </w:r>
            <w:r w:rsidR="0030598C" w:rsidRPr="008A2B81">
              <w:rPr>
                <w:color w:val="000000"/>
                <w:lang w:val="en-US"/>
              </w:rPr>
              <w:br/>
              <w:t>UN Regulation No.</w:t>
            </w:r>
            <w:r w:rsidRPr="008B2426">
              <w:rPr>
                <w:color w:val="000000"/>
                <w:lang w:val="en-US"/>
              </w:rPr>
              <w:t xml:space="preserve"> 127</w:t>
            </w:r>
          </w:p>
        </w:tc>
        <w:tc>
          <w:tcPr>
            <w:tcW w:w="1984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AIS 100</w:t>
            </w:r>
          </w:p>
        </w:tc>
      </w:tr>
      <w:tr w:rsidR="008B2426" w:rsidRPr="008B2426" w:rsidTr="008A2B81">
        <w:trPr>
          <w:trHeight w:val="355"/>
        </w:trPr>
        <w:tc>
          <w:tcPr>
            <w:tcW w:w="851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 xml:space="preserve">Steering Impact </w:t>
            </w:r>
          </w:p>
        </w:tc>
        <w:tc>
          <w:tcPr>
            <w:tcW w:w="2410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B2426" w:rsidRPr="008B2426" w:rsidRDefault="008B2426" w:rsidP="008A2B81">
            <w:pPr>
              <w:suppressAutoHyphens w:val="0"/>
              <w:snapToGrid w:val="0"/>
              <w:spacing w:after="200" w:line="360" w:lineRule="auto"/>
              <w:contextualSpacing/>
              <w:rPr>
                <w:color w:val="000000"/>
                <w:lang w:val="en-US"/>
              </w:rPr>
            </w:pPr>
            <w:r w:rsidRPr="008B2426">
              <w:rPr>
                <w:color w:val="000000"/>
                <w:lang w:val="en-US"/>
              </w:rPr>
              <w:t>AIS 096</w:t>
            </w:r>
          </w:p>
        </w:tc>
      </w:tr>
    </w:tbl>
    <w:p w:rsidR="008B2426" w:rsidRDefault="0030598C" w:rsidP="0030598C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3</w:t>
      </w:r>
      <w:r w:rsidR="008B2426">
        <w:rPr>
          <w:lang w:eastAsia="ar-SA"/>
        </w:rPr>
        <w:t>.</w:t>
      </w:r>
      <w:r w:rsidR="008B2426">
        <w:rPr>
          <w:lang w:eastAsia="ar-SA"/>
        </w:rPr>
        <w:tab/>
      </w:r>
      <w:r>
        <w:rPr>
          <w:lang w:eastAsia="ar-SA"/>
        </w:rPr>
        <w:t xml:space="preserve">The </w:t>
      </w:r>
      <w:r w:rsidR="008B2426">
        <w:rPr>
          <w:lang w:eastAsia="ar-SA"/>
        </w:rPr>
        <w:t xml:space="preserve">2.8 tonnes threshold for applicability as proposed </w:t>
      </w:r>
      <w:r>
        <w:rPr>
          <w:lang w:eastAsia="ar-SA"/>
        </w:rPr>
        <w:t xml:space="preserve">for the </w:t>
      </w:r>
      <w:r w:rsidR="008B2426">
        <w:rPr>
          <w:lang w:eastAsia="ar-SA"/>
        </w:rPr>
        <w:t>rear impact proposal</w:t>
      </w:r>
      <w:r w:rsidRPr="0030598C">
        <w:rPr>
          <w:lang w:eastAsia="ar-SA"/>
        </w:rPr>
        <w:t xml:space="preserve"> </w:t>
      </w:r>
      <w:r>
        <w:rPr>
          <w:lang w:eastAsia="ar-SA"/>
        </w:rPr>
        <w:t>in UN Regulation No. 34</w:t>
      </w:r>
      <w:r w:rsidR="008B2426">
        <w:rPr>
          <w:lang w:eastAsia="ar-SA"/>
        </w:rPr>
        <w:t xml:space="preserve"> will create non-uniformity </w:t>
      </w:r>
      <w:r>
        <w:rPr>
          <w:lang w:eastAsia="ar-SA"/>
        </w:rPr>
        <w:t>with the</w:t>
      </w:r>
      <w:r w:rsidR="008B2426">
        <w:rPr>
          <w:lang w:eastAsia="ar-SA"/>
        </w:rPr>
        <w:t xml:space="preserve"> EU crash legislatio</w:t>
      </w:r>
      <w:r>
        <w:rPr>
          <w:lang w:eastAsia="ar-SA"/>
        </w:rPr>
        <w:t xml:space="preserve">n and model compliance. </w:t>
      </w:r>
      <w:r w:rsidR="008B2426">
        <w:rPr>
          <w:lang w:eastAsia="ar-SA"/>
        </w:rPr>
        <w:t xml:space="preserve">This will lead to non-coherent product development for crash compliance for </w:t>
      </w:r>
      <w:r>
        <w:rPr>
          <w:lang w:eastAsia="ar-SA"/>
        </w:rPr>
        <w:t xml:space="preserve">vehicles of categories </w:t>
      </w:r>
      <w:r w:rsidR="008B2426">
        <w:rPr>
          <w:lang w:eastAsia="ar-SA"/>
        </w:rPr>
        <w:t>M</w:t>
      </w:r>
      <w:r w:rsidR="008B2426" w:rsidRPr="0030598C">
        <w:rPr>
          <w:vertAlign w:val="subscript"/>
          <w:lang w:eastAsia="ar-SA"/>
        </w:rPr>
        <w:t>1</w:t>
      </w:r>
      <w:r>
        <w:rPr>
          <w:lang w:eastAsia="ar-SA"/>
        </w:rPr>
        <w:t xml:space="preserve"> and</w:t>
      </w:r>
      <w:r w:rsidR="008B2426">
        <w:rPr>
          <w:lang w:eastAsia="ar-SA"/>
        </w:rPr>
        <w:t xml:space="preserve"> N</w:t>
      </w:r>
      <w:r w:rsidR="008B2426" w:rsidRPr="0030598C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, </w:t>
      </w:r>
      <w:r>
        <w:rPr>
          <w:lang w:eastAsia="ar-SA"/>
        </w:rPr>
        <w:t>particularly</w:t>
      </w:r>
      <w:r w:rsidR="008B2426">
        <w:rPr>
          <w:lang w:eastAsia="ar-SA"/>
        </w:rPr>
        <w:t xml:space="preserve"> for models between </w:t>
      </w:r>
      <w:r>
        <w:rPr>
          <w:lang w:eastAsia="ar-SA"/>
        </w:rPr>
        <w:t>a</w:t>
      </w:r>
      <w:r w:rsidRPr="0030598C">
        <w:t xml:space="preserve"> </w:t>
      </w:r>
      <w:r w:rsidRPr="0030598C">
        <w:rPr>
          <w:lang w:eastAsia="ar-SA"/>
        </w:rPr>
        <w:t xml:space="preserve">Gross Vehicle Mass </w:t>
      </w:r>
      <w:r>
        <w:rPr>
          <w:lang w:eastAsia="ar-SA"/>
        </w:rPr>
        <w:t xml:space="preserve">of </w:t>
      </w:r>
      <w:r w:rsidR="008B2426">
        <w:rPr>
          <w:lang w:eastAsia="ar-SA"/>
        </w:rPr>
        <w:t>2.5 tonnes and 2.8 tonnes.</w:t>
      </w:r>
    </w:p>
    <w:p w:rsidR="00B73F39" w:rsidRPr="000E2AC1" w:rsidRDefault="0030598C" w:rsidP="008B2426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</w:r>
      <w:r w:rsidR="008B2426">
        <w:rPr>
          <w:lang w:eastAsia="ar-SA"/>
        </w:rPr>
        <w:t>Hence, to align and maintain uniformity with other EU and Indian crash regulations for M</w:t>
      </w:r>
      <w:r w:rsidR="008B2426" w:rsidRPr="0030598C">
        <w:rPr>
          <w:vertAlign w:val="subscript"/>
          <w:lang w:eastAsia="ar-SA"/>
        </w:rPr>
        <w:t>1</w:t>
      </w:r>
      <w:r w:rsidR="008B2426">
        <w:rPr>
          <w:lang w:eastAsia="ar-SA"/>
        </w:rPr>
        <w:t>, N</w:t>
      </w:r>
      <w:r w:rsidR="008B2426" w:rsidRPr="0030598C">
        <w:rPr>
          <w:vertAlign w:val="subscript"/>
          <w:lang w:eastAsia="ar-SA"/>
        </w:rPr>
        <w:t>1</w:t>
      </w:r>
      <w:r>
        <w:rPr>
          <w:lang w:eastAsia="ar-SA"/>
        </w:rPr>
        <w:t xml:space="preserve"> category vehicles</w:t>
      </w:r>
      <w:r w:rsidR="008B2426">
        <w:rPr>
          <w:lang w:eastAsia="ar-SA"/>
        </w:rPr>
        <w:t xml:space="preserve">, India proposes that </w:t>
      </w:r>
      <w:r>
        <w:rPr>
          <w:lang w:eastAsia="ar-SA"/>
        </w:rPr>
        <w:t xml:space="preserve">UN </w:t>
      </w:r>
      <w:r w:rsidR="008B2426">
        <w:rPr>
          <w:lang w:eastAsia="ar-SA"/>
        </w:rPr>
        <w:t>R</w:t>
      </w:r>
      <w:r>
        <w:rPr>
          <w:lang w:eastAsia="ar-SA"/>
        </w:rPr>
        <w:t xml:space="preserve">egulation No. </w:t>
      </w:r>
      <w:r w:rsidR="008B2426">
        <w:rPr>
          <w:lang w:eastAsia="ar-SA"/>
        </w:rPr>
        <w:t xml:space="preserve">34 should be </w:t>
      </w:r>
      <w:r w:rsidR="00264966">
        <w:rPr>
          <w:lang w:eastAsia="ar-SA"/>
        </w:rPr>
        <w:t xml:space="preserve">applicable to </w:t>
      </w:r>
      <w:r w:rsidR="008B2426">
        <w:rPr>
          <w:lang w:eastAsia="ar-SA"/>
        </w:rPr>
        <w:t>M</w:t>
      </w:r>
      <w:r w:rsidR="008B2426" w:rsidRPr="00264966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 </w:t>
      </w:r>
      <w:r w:rsidR="00264966">
        <w:rPr>
          <w:lang w:eastAsia="ar-SA"/>
        </w:rPr>
        <w:t>and</w:t>
      </w:r>
      <w:r w:rsidR="008B2426">
        <w:rPr>
          <w:lang w:eastAsia="ar-SA"/>
        </w:rPr>
        <w:t xml:space="preserve"> N</w:t>
      </w:r>
      <w:r w:rsidR="008B2426" w:rsidRPr="00264966">
        <w:rPr>
          <w:vertAlign w:val="subscript"/>
          <w:lang w:eastAsia="ar-SA"/>
        </w:rPr>
        <w:t>1</w:t>
      </w:r>
      <w:r w:rsidR="008B2426">
        <w:rPr>
          <w:lang w:eastAsia="ar-SA"/>
        </w:rPr>
        <w:t xml:space="preserve"> vehicles below 2.5 tonnes instead of 2.8 tonnes.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D3" w:rsidRDefault="00FC3FD3"/>
  </w:endnote>
  <w:endnote w:type="continuationSeparator" w:id="0">
    <w:p w:rsidR="00FC3FD3" w:rsidRDefault="00FC3FD3"/>
  </w:endnote>
  <w:endnote w:type="continuationNotice" w:id="1">
    <w:p w:rsidR="00FC3FD3" w:rsidRDefault="00FC3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0598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B242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605980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A83C2D">
      <w:rPr>
        <w:sz w:val="20"/>
      </w:rPr>
      <w:t>GE.1</w:t>
    </w:r>
    <w:r w:rsidR="009A1E55">
      <w:rPr>
        <w:sz w:val="20"/>
      </w:rPr>
      <w:t>5</w:t>
    </w:r>
    <w:r w:rsidR="00A83C2D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D3" w:rsidRPr="000B175B" w:rsidRDefault="00FC3F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3FD3" w:rsidRPr="00FC68B7" w:rsidRDefault="00FC3F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C3FD3" w:rsidRDefault="00FC3FD3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F57182">
      <w:t>5/</w:t>
    </w:r>
    <w:r w:rsidR="00967ACA">
      <w:t>2</w:t>
    </w:r>
    <w:r w:rsidR="008B2426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F86A82">
      <w:t>5</w:t>
    </w:r>
    <w:r>
      <w:t>/</w:t>
    </w:r>
    <w:r w:rsidR="00F86A82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3BB0"/>
    <w:rsid w:val="00237023"/>
    <w:rsid w:val="00243627"/>
    <w:rsid w:val="0024568B"/>
    <w:rsid w:val="00246027"/>
    <w:rsid w:val="0024772E"/>
    <w:rsid w:val="002530E8"/>
    <w:rsid w:val="00263A29"/>
    <w:rsid w:val="00264966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0598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070E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41F4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3651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5980"/>
    <w:rsid w:val="006072D0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FB0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2B81"/>
    <w:rsid w:val="008A402D"/>
    <w:rsid w:val="008A4091"/>
    <w:rsid w:val="008A6467"/>
    <w:rsid w:val="008A6B25"/>
    <w:rsid w:val="008A6C4F"/>
    <w:rsid w:val="008B2335"/>
    <w:rsid w:val="008B2426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43597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5C59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194A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BD3"/>
    <w:rsid w:val="00FB0E26"/>
    <w:rsid w:val="00FB1056"/>
    <w:rsid w:val="00FB4C45"/>
    <w:rsid w:val="00FB4FEB"/>
    <w:rsid w:val="00FB613B"/>
    <w:rsid w:val="00FB664B"/>
    <w:rsid w:val="00FC3ADB"/>
    <w:rsid w:val="00FC3FD3"/>
    <w:rsid w:val="00FC46DC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2015-02-10T09:04:00Z</cp:lastPrinted>
  <dcterms:created xsi:type="dcterms:W3CDTF">2015-07-10T08:47:00Z</dcterms:created>
  <dcterms:modified xsi:type="dcterms:W3CDTF">2015-07-10T09:18:00Z</dcterms:modified>
</cp:coreProperties>
</file>