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65E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0C342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65EBB" w:rsidP="00465EBB">
            <w:pPr>
              <w:jc w:val="right"/>
            </w:pPr>
            <w:r w:rsidRPr="00465EBB">
              <w:rPr>
                <w:sz w:val="40"/>
              </w:rPr>
              <w:t>ECE</w:t>
            </w:r>
            <w:r>
              <w:t>/TRANS/WP.29/GRE/2015/6</w:t>
            </w:r>
          </w:p>
        </w:tc>
      </w:tr>
      <w:tr w:rsidR="00F35BAF" w:rsidRPr="00DB58B5" w:rsidTr="000C342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893E29" w:rsidP="000C342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2470" cy="588010"/>
                  <wp:effectExtent l="0" t="0" r="0" b="254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0C342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65EBB" w:rsidP="000C3427">
            <w:pPr>
              <w:spacing w:before="240"/>
            </w:pPr>
            <w:r>
              <w:t>Distr. générale</w:t>
            </w:r>
          </w:p>
          <w:p w:rsidR="00465EBB" w:rsidRDefault="00465EBB" w:rsidP="00465EBB">
            <w:pPr>
              <w:spacing w:line="240" w:lineRule="exact"/>
            </w:pPr>
            <w:r>
              <w:t>23 janvier 2015</w:t>
            </w:r>
          </w:p>
          <w:p w:rsidR="00465EBB" w:rsidRDefault="00465EBB" w:rsidP="00465EBB">
            <w:pPr>
              <w:spacing w:line="240" w:lineRule="exact"/>
            </w:pPr>
            <w:r>
              <w:t>Français</w:t>
            </w:r>
          </w:p>
          <w:p w:rsidR="00465EBB" w:rsidRPr="00DB58B5" w:rsidRDefault="00465EBB" w:rsidP="00465EBB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5EB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4109" w:rsidRDefault="002741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65EB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74109" w:rsidRDefault="00274109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465EBB">
        <w:rPr>
          <w:b/>
        </w:rPr>
        <w:t>’</w:t>
      </w:r>
      <w:r>
        <w:rPr>
          <w:b/>
        </w:rPr>
        <w:t>éclairage et de la signalisation lumineuse</w:t>
      </w:r>
    </w:p>
    <w:p w:rsidR="00274109" w:rsidRDefault="00465EBB" w:rsidP="00257168">
      <w:pPr>
        <w:spacing w:before="120" w:line="240" w:lineRule="exact"/>
        <w:rPr>
          <w:b/>
        </w:rPr>
      </w:pPr>
      <w:r>
        <w:rPr>
          <w:b/>
        </w:rPr>
        <w:t>Soixante</w:t>
      </w:r>
      <w:r w:rsidRPr="007D4E94">
        <w:rPr>
          <w:b/>
        </w:rPr>
        <w:t>-</w:t>
      </w:r>
      <w:r>
        <w:rPr>
          <w:b/>
        </w:rPr>
        <w:t>treizième</w:t>
      </w:r>
      <w:r w:rsidRPr="007D4E94">
        <w:rPr>
          <w:b/>
        </w:rPr>
        <w:t xml:space="preserve"> session</w:t>
      </w:r>
    </w:p>
    <w:p w:rsidR="00274109" w:rsidRDefault="00465EBB" w:rsidP="00257168">
      <w:pPr>
        <w:spacing w:line="240" w:lineRule="exact"/>
      </w:pPr>
      <w:r>
        <w:t>Genève</w:t>
      </w:r>
      <w:r w:rsidRPr="007D4E94">
        <w:rPr>
          <w:bCs/>
        </w:rPr>
        <w:t>, 14</w:t>
      </w:r>
      <w:r>
        <w:rPr>
          <w:bCs/>
        </w:rPr>
        <w:t>-</w:t>
      </w:r>
      <w:r w:rsidRPr="007D4E94">
        <w:rPr>
          <w:bCs/>
        </w:rPr>
        <w:t xml:space="preserve">17 </w:t>
      </w:r>
      <w:r>
        <w:rPr>
          <w:bCs/>
        </w:rPr>
        <w:t>av</w:t>
      </w:r>
      <w:r w:rsidRPr="007D4E94">
        <w:rPr>
          <w:bCs/>
        </w:rPr>
        <w:t>ril 2015</w:t>
      </w:r>
    </w:p>
    <w:p w:rsidR="00274109" w:rsidRDefault="00465EBB" w:rsidP="00257168">
      <w:pPr>
        <w:spacing w:line="240" w:lineRule="exact"/>
      </w:pPr>
      <w:r>
        <w:rPr>
          <w:bCs/>
        </w:rPr>
        <w:t>Point</w:t>
      </w:r>
      <w:r w:rsidRPr="007D4E94">
        <w:rPr>
          <w:bCs/>
        </w:rPr>
        <w:t xml:space="preserve"> 6 b) </w:t>
      </w:r>
      <w:r>
        <w:rPr>
          <w:bCs/>
        </w:rPr>
        <w:t>de l’ordre du jour provisoire</w:t>
      </w:r>
    </w:p>
    <w:p w:rsidR="00F9573C" w:rsidRDefault="00465EBB" w:rsidP="00AF0CB5">
      <w:pPr>
        <w:rPr>
          <w:b/>
          <w:bCs/>
        </w:rPr>
      </w:pPr>
      <w:r>
        <w:rPr>
          <w:b/>
          <w:bCs/>
        </w:rPr>
        <w:t>Règlement</w:t>
      </w:r>
      <w:r w:rsidRPr="007D4E94">
        <w:rPr>
          <w:b/>
          <w:bCs/>
        </w:rPr>
        <w:t xml:space="preserve"> </w:t>
      </w:r>
      <w:r w:rsidRPr="00465EBB">
        <w:rPr>
          <w:rFonts w:eastAsia="MS Mincho"/>
          <w:b/>
          <w:bCs/>
        </w:rPr>
        <w:t>n</w:t>
      </w:r>
      <w:r w:rsidRPr="00465EBB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</w:t>
      </w:r>
      <w:r w:rsidRPr="007D4E94">
        <w:rPr>
          <w:b/>
          <w:bCs/>
        </w:rPr>
        <w:t>48 (</w:t>
      </w:r>
      <w:r w:rsidRPr="00AD5783">
        <w:rPr>
          <w:b/>
          <w:bCs/>
        </w:rPr>
        <w:t>Installation de</w:t>
      </w:r>
      <w:r>
        <w:rPr>
          <w:b/>
          <w:bCs/>
        </w:rPr>
        <w:t>s</w:t>
      </w:r>
      <w:r w:rsidRPr="00AD5783">
        <w:rPr>
          <w:b/>
          <w:bCs/>
        </w:rPr>
        <w:t xml:space="preserve"> dispositifs d</w:t>
      </w:r>
      <w:r>
        <w:rPr>
          <w:b/>
          <w:bCs/>
        </w:rPr>
        <w:t>’</w:t>
      </w:r>
      <w:r w:rsidRPr="00AD5783">
        <w:rPr>
          <w:b/>
          <w:bCs/>
        </w:rPr>
        <w:t>éclairage</w:t>
      </w:r>
      <w:r>
        <w:rPr>
          <w:b/>
          <w:bCs/>
        </w:rPr>
        <w:br/>
      </w:r>
      <w:r w:rsidRPr="00AD5783">
        <w:rPr>
          <w:b/>
          <w:bCs/>
        </w:rPr>
        <w:t>et de signalisation lumineuse</w:t>
      </w:r>
      <w:r w:rsidRPr="007D4E94">
        <w:rPr>
          <w:b/>
          <w:bCs/>
        </w:rPr>
        <w:t xml:space="preserve">) </w:t>
      </w:r>
      <w:r>
        <w:rPr>
          <w:b/>
          <w:bCs/>
        </w:rPr>
        <w:t>−</w:t>
      </w:r>
      <w:r w:rsidRPr="007D4E94">
        <w:rPr>
          <w:b/>
          <w:bCs/>
        </w:rPr>
        <w:t xml:space="preserve"> </w:t>
      </w:r>
      <w:r>
        <w:rPr>
          <w:b/>
          <w:bCs/>
        </w:rPr>
        <w:t>Autres propositions</w:t>
      </w:r>
      <w:r>
        <w:rPr>
          <w:b/>
          <w:bCs/>
        </w:rPr>
        <w:br/>
        <w:t>d’amendements au Règlement</w:t>
      </w:r>
      <w:r w:rsidRPr="007D4E94">
        <w:rPr>
          <w:b/>
          <w:bCs/>
        </w:rPr>
        <w:t xml:space="preserve"> </w:t>
      </w:r>
      <w:r w:rsidRPr="00465EBB">
        <w:rPr>
          <w:rFonts w:eastAsia="MS Mincho"/>
          <w:b/>
          <w:bCs/>
        </w:rPr>
        <w:t>n</w:t>
      </w:r>
      <w:r w:rsidRPr="00465EBB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</w:t>
      </w:r>
      <w:r w:rsidRPr="007D4E94">
        <w:rPr>
          <w:b/>
          <w:bCs/>
        </w:rPr>
        <w:t>48</w:t>
      </w:r>
    </w:p>
    <w:p w:rsidR="00465EBB" w:rsidRPr="007D4E94" w:rsidRDefault="00465EBB" w:rsidP="00465EBB">
      <w:pPr>
        <w:pStyle w:val="HChG"/>
      </w:pPr>
      <w:r w:rsidRPr="007D4E94">
        <w:rPr>
          <w:szCs w:val="22"/>
        </w:rPr>
        <w:tab/>
      </w:r>
      <w:r w:rsidRPr="007D4E94">
        <w:rPr>
          <w:szCs w:val="22"/>
        </w:rPr>
        <w:tab/>
      </w:r>
      <w:r>
        <w:t>Proposition de complément</w:t>
      </w:r>
      <w:r w:rsidRPr="007D4E94">
        <w:t xml:space="preserve"> </w:t>
      </w:r>
      <w:r>
        <w:t xml:space="preserve">au </w:t>
      </w:r>
      <w:r w:rsidRPr="00BE73D8">
        <w:t xml:space="preserve">Règlement </w:t>
      </w:r>
      <w:r w:rsidR="009C37CF">
        <w:rPr>
          <w:rFonts w:eastAsia="MS Mincho"/>
        </w:rPr>
        <w:t>n</w:t>
      </w:r>
      <w:r w:rsidR="009C37CF">
        <w:rPr>
          <w:rFonts w:eastAsia="MS Mincho"/>
          <w:vertAlign w:val="superscript"/>
        </w:rPr>
        <w:t>o</w:t>
      </w:r>
      <w:r w:rsidR="009C37CF">
        <w:t> </w:t>
      </w:r>
      <w:r w:rsidRPr="00BE73D8">
        <w:t>48</w:t>
      </w:r>
      <w:r w:rsidR="009C37CF">
        <w:br/>
      </w:r>
      <w:r w:rsidRPr="007D4E94">
        <w:t>(</w:t>
      </w:r>
      <w:r w:rsidRPr="00BE73D8">
        <w:t>Installation de</w:t>
      </w:r>
      <w:r>
        <w:t>s</w:t>
      </w:r>
      <w:r w:rsidRPr="00BE73D8">
        <w:t xml:space="preserve"> dispositifs d</w:t>
      </w:r>
      <w:r>
        <w:t>’</w:t>
      </w:r>
      <w:r w:rsidRPr="00BE73D8">
        <w:t>éclairage</w:t>
      </w:r>
      <w:r w:rsidR="009C37CF">
        <w:br/>
      </w:r>
      <w:r w:rsidRPr="00BE73D8">
        <w:t>et de signalisation lumineuse</w:t>
      </w:r>
      <w:r w:rsidRPr="007D4E94">
        <w:t>)</w:t>
      </w:r>
    </w:p>
    <w:p w:rsidR="00465EBB" w:rsidRPr="007D4E94" w:rsidRDefault="00465EBB" w:rsidP="00465EBB">
      <w:pPr>
        <w:pStyle w:val="H1G"/>
      </w:pPr>
      <w:r>
        <w:tab/>
      </w:r>
      <w:r>
        <w:tab/>
        <w:t>Communication de l’</w:t>
      </w:r>
      <w:r w:rsidRPr="007D4E94">
        <w:t xml:space="preserve">expert </w:t>
      </w:r>
      <w:r>
        <w:t>de la Pologne</w:t>
      </w:r>
      <w:r w:rsidRPr="00465EB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65EBB" w:rsidRDefault="00465EBB" w:rsidP="00465EBB">
      <w:pPr>
        <w:pStyle w:val="SingleTxtG"/>
        <w:ind w:firstLine="567"/>
      </w:pPr>
      <w:r w:rsidRPr="005370F5">
        <w:t>Les modifications qu</w:t>
      </w:r>
      <w:r>
        <w:t>’</w:t>
      </w:r>
      <w:r w:rsidRPr="005370F5">
        <w:t>il est proposé d</w:t>
      </w:r>
      <w:r>
        <w:t>’</w:t>
      </w:r>
      <w:r w:rsidRPr="005370F5">
        <w:t>apporter au texte actuel du Règlement sont signalées en caractères gras pour les ajouts ou biffés pour les suppressions.</w:t>
      </w:r>
    </w:p>
    <w:p w:rsidR="00465EBB" w:rsidRPr="007D4E94" w:rsidRDefault="00465EBB" w:rsidP="00465EBB">
      <w:pPr>
        <w:pStyle w:val="HChG"/>
      </w:pPr>
      <w:r>
        <w:br w:type="page"/>
      </w:r>
      <w:r w:rsidRPr="007D4E94">
        <w:lastRenderedPageBreak/>
        <w:tab/>
        <w:t>I.</w:t>
      </w:r>
      <w:r w:rsidRPr="007D4E94">
        <w:tab/>
        <w:t>Propos</w:t>
      </w:r>
      <w:r>
        <w:t>ition</w:t>
      </w:r>
    </w:p>
    <w:p w:rsidR="00465EBB" w:rsidRPr="007D4E94" w:rsidRDefault="00465EBB" w:rsidP="00465EBB">
      <w:pPr>
        <w:pStyle w:val="SingleTxtG"/>
        <w:rPr>
          <w:snapToGrid w:val="0"/>
        </w:rPr>
      </w:pPr>
      <w:r>
        <w:rPr>
          <w:i/>
          <w:snapToGrid w:val="0"/>
        </w:rPr>
        <w:t>Le p</w:t>
      </w:r>
      <w:r w:rsidRPr="007D4E94">
        <w:rPr>
          <w:i/>
          <w:snapToGrid w:val="0"/>
        </w:rPr>
        <w:t>aragraph</w:t>
      </w:r>
      <w:r>
        <w:rPr>
          <w:i/>
          <w:snapToGrid w:val="0"/>
        </w:rPr>
        <w:t>e</w:t>
      </w:r>
      <w:r w:rsidRPr="007D4E94">
        <w:rPr>
          <w:snapToGrid w:val="0"/>
        </w:rPr>
        <w:t xml:space="preserve"> 2.7.26</w:t>
      </w:r>
      <w:r>
        <w:rPr>
          <w:snapToGrid w:val="0"/>
        </w:rPr>
        <w:t xml:space="preserve"> devient le</w:t>
      </w:r>
      <w:r w:rsidRPr="007D4E94">
        <w:rPr>
          <w:snapToGrid w:val="0"/>
        </w:rPr>
        <w:t xml:space="preserve"> paragraph</w:t>
      </w:r>
      <w:r>
        <w:rPr>
          <w:snapToGrid w:val="0"/>
        </w:rPr>
        <w:t>e</w:t>
      </w:r>
      <w:r w:rsidRPr="007D4E94">
        <w:rPr>
          <w:snapToGrid w:val="0"/>
        </w:rPr>
        <w:t xml:space="preserve"> 2.7.26.1.</w:t>
      </w:r>
    </w:p>
    <w:p w:rsidR="00465EBB" w:rsidRPr="007D4E94" w:rsidRDefault="00465EBB" w:rsidP="00465EBB">
      <w:pPr>
        <w:pStyle w:val="SingleTxtG"/>
        <w:keepNext/>
        <w:rPr>
          <w:i/>
          <w:snapToGrid w:val="0"/>
        </w:rPr>
      </w:pPr>
      <w:r>
        <w:rPr>
          <w:i/>
          <w:snapToGrid w:val="0"/>
        </w:rPr>
        <w:t>Ajouter un nouveau</w:t>
      </w:r>
      <w:r w:rsidRPr="007D4E94">
        <w:rPr>
          <w:i/>
          <w:snapToGrid w:val="0"/>
        </w:rPr>
        <w:t xml:space="preserve"> paragraph</w:t>
      </w:r>
      <w:r>
        <w:rPr>
          <w:i/>
          <w:snapToGrid w:val="0"/>
        </w:rPr>
        <w:t>e</w:t>
      </w:r>
      <w:r w:rsidRPr="00C51FB6">
        <w:rPr>
          <w:snapToGrid w:val="0"/>
        </w:rPr>
        <w:t>,</w:t>
      </w:r>
      <w:r w:rsidRPr="007D4E94">
        <w:rPr>
          <w:i/>
          <w:snapToGrid w:val="0"/>
        </w:rPr>
        <w:t xml:space="preserve"> </w:t>
      </w:r>
      <w:r>
        <w:rPr>
          <w:snapToGrid w:val="0"/>
        </w:rPr>
        <w:t>ainsi conçu</w:t>
      </w:r>
      <w:r w:rsidRPr="007D4E94">
        <w:rPr>
          <w:snapToGrid w:val="0"/>
        </w:rPr>
        <w:t>:</w:t>
      </w:r>
    </w:p>
    <w:p w:rsidR="00465EBB" w:rsidRPr="007D4E94" w:rsidRDefault="00465EBB" w:rsidP="00465EBB">
      <w:pPr>
        <w:pStyle w:val="SingleTxtG"/>
        <w:ind w:left="2268" w:hanging="1134"/>
      </w:pPr>
      <w:r w:rsidRPr="00465EBB">
        <w:rPr>
          <w:snapToGrid w:val="0"/>
        </w:rPr>
        <w:t>«</w:t>
      </w:r>
      <w:r w:rsidRPr="007D4E94">
        <w:rPr>
          <w:b/>
          <w:snapToGrid w:val="0"/>
        </w:rPr>
        <w:t>2.7.26.2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“</w:t>
      </w:r>
      <w:r w:rsidRPr="00C05590">
        <w:rPr>
          <w:b/>
          <w:i/>
          <w:snapToGrid w:val="0"/>
        </w:rPr>
        <w:t>Feu d’éclairage latéral</w:t>
      </w:r>
      <w:r>
        <w:rPr>
          <w:b/>
          <w:snapToGrid w:val="0"/>
        </w:rPr>
        <w:t>”,</w:t>
      </w:r>
      <w:r w:rsidRPr="007D4E94">
        <w:rPr>
          <w:b/>
          <w:snapToGrid w:val="0"/>
        </w:rPr>
        <w:t xml:space="preserve"> </w:t>
      </w:r>
      <w:r>
        <w:rPr>
          <w:b/>
          <w:snapToGrid w:val="0"/>
        </w:rPr>
        <w:t>un feu monté sur un véhicule pour mieux éclairer la zone de la route située</w:t>
      </w:r>
      <w:r w:rsidRPr="007D4E94">
        <w:rPr>
          <w:b/>
          <w:snapToGrid w:val="0"/>
        </w:rPr>
        <w:t xml:space="preserve"> </w:t>
      </w:r>
      <w:r>
        <w:rPr>
          <w:b/>
          <w:snapToGrid w:val="0"/>
        </w:rPr>
        <w:t>à l</w:t>
      </w:r>
      <w:r w:rsidRPr="00465EBB">
        <w:rPr>
          <w:b/>
          <w:snapToGrid w:val="0"/>
        </w:rPr>
        <w:t>’</w:t>
      </w:r>
      <w:r>
        <w:rPr>
          <w:b/>
          <w:snapToGrid w:val="0"/>
        </w:rPr>
        <w:t>avant gauche du véhicule de manière à améliorer l</w:t>
      </w:r>
      <w:r w:rsidRPr="00465EBB">
        <w:rPr>
          <w:b/>
          <w:snapToGrid w:val="0"/>
        </w:rPr>
        <w:t>’</w:t>
      </w:r>
      <w:r>
        <w:rPr>
          <w:b/>
          <w:snapToGrid w:val="0"/>
        </w:rPr>
        <w:t xml:space="preserve">éclairage de la route pour les conducteurs des </w:t>
      </w:r>
      <w:r w:rsidRPr="005370F5">
        <w:rPr>
          <w:b/>
          <w:snapToGrid w:val="0"/>
        </w:rPr>
        <w:t>véhicules venant en sens inverse</w:t>
      </w:r>
      <w:r>
        <w:rPr>
          <w:b/>
          <w:snapToGrid w:val="0"/>
        </w:rPr>
        <w:t xml:space="preserve"> </w:t>
      </w:r>
      <w:r w:rsidR="00C05590">
        <w:rPr>
          <w:b/>
          <w:snapToGrid w:val="0"/>
        </w:rPr>
        <w:t>dans les cas où ils risquent d</w:t>
      </w:r>
      <w:r w:rsidR="00C05590" w:rsidRPr="00C05590">
        <w:rPr>
          <w:b/>
          <w:snapToGrid w:val="0"/>
        </w:rPr>
        <w:t>’</w:t>
      </w:r>
      <w:r w:rsidR="00C05590">
        <w:rPr>
          <w:b/>
          <w:snapToGrid w:val="0"/>
        </w:rPr>
        <w:t xml:space="preserve">être </w:t>
      </w:r>
      <w:r>
        <w:rPr>
          <w:b/>
          <w:snapToGrid w:val="0"/>
        </w:rPr>
        <w:t>éblouis par les projecteurs du premier véhicule.</w:t>
      </w:r>
      <w:r w:rsidRPr="00465EBB">
        <w:rPr>
          <w:snapToGrid w:val="0"/>
        </w:rPr>
        <w:t>».</w:t>
      </w:r>
    </w:p>
    <w:p w:rsidR="00465EBB" w:rsidRPr="007D4E94" w:rsidRDefault="00465EBB" w:rsidP="00465EBB">
      <w:pPr>
        <w:pStyle w:val="SingleTxtG"/>
        <w:keepNext/>
        <w:rPr>
          <w:b/>
          <w:snapToGrid w:val="0"/>
        </w:rPr>
      </w:pPr>
      <w:r>
        <w:rPr>
          <w:i/>
          <w:snapToGrid w:val="0"/>
        </w:rPr>
        <w:t xml:space="preserve">Ajouter </w:t>
      </w:r>
      <w:r w:rsidR="00C05590">
        <w:rPr>
          <w:i/>
          <w:snapToGrid w:val="0"/>
        </w:rPr>
        <w:t>l</w:t>
      </w:r>
      <w:r>
        <w:rPr>
          <w:i/>
          <w:snapToGrid w:val="0"/>
        </w:rPr>
        <w:t>es nouveaux paragraphes</w:t>
      </w:r>
      <w:r w:rsidR="00C05590">
        <w:rPr>
          <w:i/>
          <w:snapToGrid w:val="0"/>
        </w:rPr>
        <w:t xml:space="preserve"> suivants</w:t>
      </w:r>
      <w:r w:rsidRPr="007D4E94">
        <w:rPr>
          <w:snapToGrid w:val="0"/>
        </w:rPr>
        <w:t>:</w:t>
      </w:r>
    </w:p>
    <w:p w:rsidR="00465EBB" w:rsidRPr="007D4E94" w:rsidRDefault="00465EBB" w:rsidP="00465EBB">
      <w:pPr>
        <w:pStyle w:val="SingleTxtG"/>
        <w:ind w:left="2268" w:hanging="1134"/>
        <w:rPr>
          <w:snapToGrid w:val="0"/>
        </w:rPr>
      </w:pPr>
      <w:r w:rsidRPr="00465EBB">
        <w:rPr>
          <w:snapToGrid w:val="0"/>
        </w:rPr>
        <w:t>«</w:t>
      </w:r>
      <w:r w:rsidRPr="007D4E94">
        <w:rPr>
          <w:b/>
          <w:snapToGrid w:val="0"/>
        </w:rPr>
        <w:t>6.27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Feu d’éclairage latéral</w:t>
      </w:r>
      <w:r w:rsidRPr="007D4E94">
        <w:rPr>
          <w:b/>
          <w:snapToGrid w:val="0"/>
        </w:rPr>
        <w:t xml:space="preserve"> </w:t>
      </w:r>
      <w:r w:rsidRPr="005370F5">
        <w:rPr>
          <w:b/>
          <w:snapToGrid w:val="0"/>
        </w:rPr>
        <w:t xml:space="preserve">(Règlement </w:t>
      </w:r>
      <w:r w:rsidRPr="00465EBB">
        <w:rPr>
          <w:rFonts w:eastAsia="MS Mincho"/>
          <w:b/>
          <w:snapToGrid w:val="0"/>
        </w:rPr>
        <w:t>n</w:t>
      </w:r>
      <w:r w:rsidRPr="00465EBB">
        <w:rPr>
          <w:rFonts w:eastAsia="MS Mincho"/>
          <w:b/>
          <w:snapToGrid w:val="0"/>
          <w:vertAlign w:val="superscript"/>
        </w:rPr>
        <w:t>o</w:t>
      </w:r>
      <w:r>
        <w:rPr>
          <w:b/>
          <w:snapToGrid w:val="0"/>
        </w:rPr>
        <w:t> </w:t>
      </w:r>
      <w:r w:rsidRPr="005370F5">
        <w:rPr>
          <w:b/>
          <w:snapToGrid w:val="0"/>
        </w:rPr>
        <w:t>119)</w:t>
      </w:r>
    </w:p>
    <w:p w:rsidR="00465EBB" w:rsidRPr="007D4E94" w:rsidRDefault="00465EBB" w:rsidP="00465EBB">
      <w:pPr>
        <w:pStyle w:val="SingleTxtG"/>
        <w:keepNext/>
        <w:ind w:left="2268" w:hanging="1134"/>
        <w:rPr>
          <w:b/>
          <w:snapToGrid w:val="0"/>
        </w:rPr>
      </w:pPr>
      <w:r>
        <w:rPr>
          <w:b/>
          <w:snapToGrid w:val="0"/>
        </w:rPr>
        <w:t>6.27.1</w:t>
      </w:r>
      <w:r w:rsidRPr="007D4E94">
        <w:rPr>
          <w:b/>
          <w:snapToGrid w:val="0"/>
        </w:rPr>
        <w:tab/>
        <w:t>Présence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 w:rsidRPr="007D4E94">
        <w:rPr>
          <w:b/>
          <w:snapToGrid w:val="0"/>
        </w:rPr>
        <w:tab/>
      </w:r>
      <w:r>
        <w:rPr>
          <w:b/>
          <w:snapToGrid w:val="0"/>
        </w:rPr>
        <w:t>Facultative sur les véhicules automobiles.</w:t>
      </w:r>
    </w:p>
    <w:p w:rsidR="00465EBB" w:rsidRPr="007D4E94" w:rsidRDefault="00465EBB" w:rsidP="00465EBB">
      <w:pPr>
        <w:pStyle w:val="SingleTxtG"/>
        <w:keepNext/>
        <w:ind w:left="2268" w:hanging="1134"/>
        <w:rPr>
          <w:b/>
          <w:snapToGrid w:val="0"/>
        </w:rPr>
      </w:pPr>
      <w:r>
        <w:rPr>
          <w:b/>
          <w:snapToGrid w:val="0"/>
        </w:rPr>
        <w:t>6.27.2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Nombre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 w:rsidRPr="007D4E94">
        <w:rPr>
          <w:b/>
          <w:snapToGrid w:val="0"/>
        </w:rPr>
        <w:tab/>
      </w:r>
      <w:r>
        <w:rPr>
          <w:b/>
          <w:snapToGrid w:val="0"/>
        </w:rPr>
        <w:t>Au moins un.</w:t>
      </w:r>
    </w:p>
    <w:p w:rsidR="00465EBB" w:rsidRPr="007D4E94" w:rsidRDefault="00465EBB" w:rsidP="00465EBB">
      <w:pPr>
        <w:pStyle w:val="SingleTxtG"/>
        <w:keepNext/>
        <w:ind w:left="2268" w:hanging="1134"/>
        <w:rPr>
          <w:snapToGrid w:val="0"/>
        </w:rPr>
      </w:pPr>
      <w:r>
        <w:rPr>
          <w:b/>
          <w:snapToGrid w:val="0"/>
        </w:rPr>
        <w:t>6.27.3</w:t>
      </w:r>
      <w:r w:rsidRPr="007D4E94">
        <w:rPr>
          <w:snapToGrid w:val="0"/>
        </w:rPr>
        <w:tab/>
      </w:r>
      <w:r w:rsidRPr="005370F5">
        <w:rPr>
          <w:b/>
          <w:snapToGrid w:val="0"/>
        </w:rPr>
        <w:t>Disposition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 w:rsidRPr="007D4E94">
        <w:rPr>
          <w:b/>
          <w:snapToGrid w:val="0"/>
        </w:rPr>
        <w:tab/>
      </w:r>
      <w:r w:rsidR="00C05590">
        <w:rPr>
          <w:b/>
          <w:snapToGrid w:val="0"/>
        </w:rPr>
        <w:t xml:space="preserve">Du côté </w:t>
      </w:r>
      <w:r>
        <w:rPr>
          <w:b/>
          <w:snapToGrid w:val="0"/>
        </w:rPr>
        <w:t>gauche du véhicule pour</w:t>
      </w:r>
      <w:r w:rsidRPr="007D4E94">
        <w:rPr>
          <w:b/>
          <w:snapToGrid w:val="0"/>
        </w:rPr>
        <w:t xml:space="preserve"> </w:t>
      </w:r>
      <w:r>
        <w:rPr>
          <w:b/>
          <w:snapToGrid w:val="0"/>
        </w:rPr>
        <w:t xml:space="preserve">la circulation à droite et </w:t>
      </w:r>
      <w:r w:rsidR="00C05590">
        <w:rPr>
          <w:b/>
          <w:snapToGrid w:val="0"/>
        </w:rPr>
        <w:t>du côté droit</w:t>
      </w:r>
      <w:r>
        <w:rPr>
          <w:b/>
          <w:snapToGrid w:val="0"/>
        </w:rPr>
        <w:t xml:space="preserve"> du véhicule pour la circulation à gauche</w:t>
      </w:r>
      <w:r w:rsidRPr="007D4E94">
        <w:rPr>
          <w:b/>
          <w:snapToGrid w:val="0"/>
        </w:rPr>
        <w:t xml:space="preserve">. </w:t>
      </w:r>
      <w:r>
        <w:rPr>
          <w:b/>
          <w:snapToGrid w:val="0"/>
        </w:rPr>
        <w:t>Un ou plus</w:t>
      </w:r>
      <w:r w:rsidR="00C05590">
        <w:rPr>
          <w:b/>
          <w:snapToGrid w:val="0"/>
        </w:rPr>
        <w:t>ieurs feux</w:t>
      </w:r>
      <w:r>
        <w:rPr>
          <w:b/>
          <w:snapToGrid w:val="0"/>
        </w:rPr>
        <w:t xml:space="preserve"> peuvent être montés mais une distance</w:t>
      </w:r>
      <w:r w:rsidRPr="007D4E94">
        <w:rPr>
          <w:b/>
          <w:snapToGrid w:val="0"/>
        </w:rPr>
        <w:t xml:space="preserve"> horizontal</w:t>
      </w:r>
      <w:r>
        <w:rPr>
          <w:b/>
          <w:snapToGrid w:val="0"/>
        </w:rPr>
        <w:t xml:space="preserve">e d’au moins </w:t>
      </w:r>
      <w:r w:rsidRPr="005370F5">
        <w:rPr>
          <w:b/>
          <w:snapToGrid w:val="0"/>
        </w:rPr>
        <w:t>6 m</w:t>
      </w:r>
      <w:r>
        <w:rPr>
          <w:b/>
          <w:snapToGrid w:val="0"/>
        </w:rPr>
        <w:t xml:space="preserve"> doit être respectée entre les feux.</w:t>
      </w:r>
    </w:p>
    <w:p w:rsidR="00465EBB" w:rsidRPr="007D4E94" w:rsidRDefault="00465EBB" w:rsidP="00465EBB">
      <w:pPr>
        <w:pStyle w:val="SingleTxtG"/>
        <w:keepNext/>
        <w:ind w:left="2268" w:hanging="1134"/>
        <w:rPr>
          <w:b/>
          <w:snapToGrid w:val="0"/>
          <w:u w:val="single"/>
        </w:rPr>
      </w:pPr>
      <w:r>
        <w:rPr>
          <w:b/>
          <w:snapToGrid w:val="0"/>
        </w:rPr>
        <w:t>6.27.4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Emplacement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 w:rsidRPr="007D4E94">
        <w:rPr>
          <w:b/>
          <w:snapToGrid w:val="0"/>
        </w:rPr>
        <w:tab/>
      </w:r>
      <w:r>
        <w:rPr>
          <w:b/>
          <w:snapToGrid w:val="0"/>
        </w:rPr>
        <w:t>En hauteur</w:t>
      </w:r>
      <w:r w:rsidRPr="007D4E94">
        <w:rPr>
          <w:b/>
          <w:snapToGrid w:val="0"/>
        </w:rPr>
        <w:t>: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minimum 400 </w:t>
      </w:r>
      <w:r w:rsidRPr="007D4E94">
        <w:rPr>
          <w:b/>
          <w:snapToGrid w:val="0"/>
        </w:rPr>
        <w:t xml:space="preserve">mm </w:t>
      </w:r>
      <w:r>
        <w:rPr>
          <w:b/>
          <w:snapToGrid w:val="0"/>
        </w:rPr>
        <w:t>au-dessus du sol</w:t>
      </w:r>
      <w:r w:rsidRPr="007D4E94">
        <w:rPr>
          <w:b/>
          <w:snapToGrid w:val="0"/>
        </w:rPr>
        <w:t>;</w:t>
      </w:r>
    </w:p>
    <w:p w:rsidR="00465EBB" w:rsidRPr="007D4E94" w:rsidRDefault="00465EBB" w:rsidP="00465EBB">
      <w:pPr>
        <w:pStyle w:val="SingleTxtG"/>
        <w:ind w:left="3402"/>
        <w:rPr>
          <w:snapToGrid w:val="0"/>
        </w:rPr>
      </w:pPr>
      <w:r w:rsidRPr="007D4E94">
        <w:rPr>
          <w:b/>
          <w:snapToGrid w:val="0"/>
        </w:rPr>
        <w:tab/>
      </w:r>
      <w:r>
        <w:rPr>
          <w:b/>
          <w:snapToGrid w:val="0"/>
        </w:rPr>
        <w:t xml:space="preserve">maximum </w:t>
      </w:r>
      <w:r w:rsidRPr="007D4E94">
        <w:rPr>
          <w:b/>
          <w:bCs/>
          <w:snapToGrid w:val="0"/>
        </w:rPr>
        <w:t>900</w:t>
      </w:r>
      <w:r>
        <w:rPr>
          <w:b/>
          <w:snapToGrid w:val="0"/>
        </w:rPr>
        <w:t> </w:t>
      </w:r>
      <w:r w:rsidRPr="007D4E94">
        <w:rPr>
          <w:b/>
          <w:snapToGrid w:val="0"/>
        </w:rPr>
        <w:t xml:space="preserve">mm </w:t>
      </w:r>
      <w:r>
        <w:rPr>
          <w:b/>
          <w:snapToGrid w:val="0"/>
        </w:rPr>
        <w:t>au-dessus du sol.</w:t>
      </w:r>
    </w:p>
    <w:p w:rsidR="00465EBB" w:rsidRPr="007D4E94" w:rsidRDefault="00465EBB" w:rsidP="00465EBB">
      <w:pPr>
        <w:pStyle w:val="SingleTxtG"/>
        <w:ind w:left="2268" w:hanging="1134"/>
        <w:rPr>
          <w:b/>
          <w:snapToGrid w:val="0"/>
        </w:rPr>
      </w:pPr>
      <w:r w:rsidRPr="007D4E94">
        <w:rPr>
          <w:b/>
          <w:snapToGrid w:val="0"/>
        </w:rPr>
        <w:t>6.27.5</w:t>
      </w:r>
      <w:r w:rsidRPr="007D4E94">
        <w:rPr>
          <w:snapToGrid w:val="0"/>
        </w:rPr>
        <w:tab/>
      </w:r>
      <w:r>
        <w:rPr>
          <w:b/>
          <w:snapToGrid w:val="0"/>
        </w:rPr>
        <w:t>Visibilité géométrique</w:t>
      </w:r>
    </w:p>
    <w:p w:rsidR="00465EBB" w:rsidRPr="007D4E94" w:rsidRDefault="00465EBB" w:rsidP="00465EBB">
      <w:pPr>
        <w:pStyle w:val="SingleTxtG"/>
        <w:keepNext/>
        <w:ind w:left="2268"/>
        <w:rPr>
          <w:snapToGrid w:val="0"/>
        </w:rPr>
      </w:pPr>
      <w:r w:rsidRPr="007D4E94">
        <w:rPr>
          <w:b/>
          <w:snapToGrid w:val="0"/>
        </w:rPr>
        <w:tab/>
      </w:r>
      <w:r w:rsidRPr="005370F5">
        <w:rPr>
          <w:b/>
          <w:snapToGrid w:val="0"/>
          <w:lang w:val="fr-FR"/>
        </w:rPr>
        <w:t>Elle est définie par les angles α et ß tels qu’ils sont indiqués au paragraphe 2.13</w:t>
      </w:r>
      <w:r w:rsidRPr="005370F5">
        <w:rPr>
          <w:b/>
          <w:snapToGrid w:val="0"/>
        </w:rPr>
        <w:t>: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 w:rsidRPr="007D4E94">
        <w:rPr>
          <w:b/>
          <w:snapToGrid w:val="0"/>
        </w:rPr>
        <w:tab/>
      </w:r>
      <w:r w:rsidRPr="007D4E94">
        <w:rPr>
          <w:b/>
          <w:snapToGrid w:val="0"/>
        </w:rPr>
        <w:sym w:font="Symbol" w:char="F061"/>
      </w:r>
      <w:r w:rsidRPr="007D4E94">
        <w:rPr>
          <w:b/>
          <w:snapToGrid w:val="0"/>
        </w:rPr>
        <w:t xml:space="preserve"> = 2° </w:t>
      </w:r>
      <w:r w:rsidRPr="005370F5">
        <w:rPr>
          <w:b/>
          <w:snapToGrid w:val="0"/>
        </w:rPr>
        <w:t>vers le bas</w:t>
      </w:r>
      <w:r w:rsidRPr="005370F5">
        <w:rPr>
          <w:snapToGrid w:val="0"/>
        </w:rPr>
        <w:t xml:space="preserve"> </w:t>
      </w:r>
      <w:r>
        <w:rPr>
          <w:b/>
          <w:snapToGrid w:val="0"/>
        </w:rPr>
        <w:t xml:space="preserve">et </w:t>
      </w:r>
      <w:r w:rsidRPr="007D4E94">
        <w:rPr>
          <w:b/>
          <w:snapToGrid w:val="0"/>
        </w:rPr>
        <w:t xml:space="preserve">30° </w:t>
      </w:r>
      <w:r>
        <w:rPr>
          <w:b/>
          <w:snapToGrid w:val="0"/>
        </w:rPr>
        <w:t>vers le bas,</w:t>
      </w:r>
    </w:p>
    <w:p w:rsidR="00465EBB" w:rsidRPr="007D4E94" w:rsidRDefault="00465EBB" w:rsidP="00465EBB">
      <w:pPr>
        <w:pStyle w:val="SingleTxtG"/>
        <w:ind w:left="2268"/>
        <w:rPr>
          <w:snapToGrid w:val="0"/>
        </w:rPr>
      </w:pPr>
      <w:r w:rsidRPr="007D4E94">
        <w:rPr>
          <w:b/>
          <w:snapToGrid w:val="0"/>
        </w:rPr>
        <w:tab/>
      </w:r>
      <w:r w:rsidRPr="007D4E94">
        <w:rPr>
          <w:b/>
          <w:snapToGrid w:val="0"/>
        </w:rPr>
        <w:sym w:font="Symbol" w:char="F062"/>
      </w:r>
      <w:r w:rsidRPr="007D4E94">
        <w:rPr>
          <w:b/>
          <w:snapToGrid w:val="0"/>
        </w:rPr>
        <w:t xml:space="preserve"> = </w:t>
      </w:r>
      <w:r>
        <w:rPr>
          <w:b/>
          <w:snapToGrid w:val="0"/>
        </w:rPr>
        <w:t>de</w:t>
      </w:r>
      <w:r w:rsidRPr="007D4E94">
        <w:rPr>
          <w:b/>
          <w:snapToGrid w:val="0"/>
        </w:rPr>
        <w:t xml:space="preserve"> 60° </w:t>
      </w:r>
      <w:r>
        <w:rPr>
          <w:b/>
          <w:snapToGrid w:val="0"/>
        </w:rPr>
        <w:t>vers l’avant à</w:t>
      </w:r>
      <w:r w:rsidRPr="007D4E94">
        <w:rPr>
          <w:b/>
          <w:snapToGrid w:val="0"/>
        </w:rPr>
        <w:t xml:space="preserve"> 60° </w:t>
      </w:r>
      <w:r>
        <w:rPr>
          <w:b/>
          <w:snapToGrid w:val="0"/>
        </w:rPr>
        <w:t>vers l’arrière du véhicule</w:t>
      </w:r>
      <w:r w:rsidRPr="00465EBB">
        <w:rPr>
          <w:b/>
          <w:snapToGrid w:val="0"/>
        </w:rPr>
        <w:t>.</w:t>
      </w:r>
    </w:p>
    <w:p w:rsidR="00465EBB" w:rsidRPr="007D4E94" w:rsidRDefault="00465EBB" w:rsidP="00465EBB">
      <w:pPr>
        <w:pStyle w:val="SingleTxtG"/>
        <w:keepNext/>
        <w:ind w:left="2268" w:hanging="1134"/>
        <w:rPr>
          <w:b/>
          <w:snapToGrid w:val="0"/>
          <w:u w:val="single"/>
        </w:rPr>
      </w:pPr>
      <w:r w:rsidRPr="007D4E94">
        <w:rPr>
          <w:b/>
          <w:snapToGrid w:val="0"/>
        </w:rPr>
        <w:t>6.27.6</w:t>
      </w:r>
      <w:r w:rsidRPr="007D4E94">
        <w:rPr>
          <w:b/>
          <w:snapToGrid w:val="0"/>
        </w:rPr>
        <w:tab/>
      </w:r>
      <w:r>
        <w:rPr>
          <w:b/>
          <w:snapToGrid w:val="0"/>
        </w:rPr>
        <w:t>Branchements électriques</w:t>
      </w:r>
    </w:p>
    <w:p w:rsidR="00465EBB" w:rsidRPr="007D4E94" w:rsidRDefault="00465EBB" w:rsidP="00465EBB">
      <w:pPr>
        <w:pStyle w:val="SingleTxtG"/>
        <w:ind w:left="2268"/>
        <w:rPr>
          <w:b/>
          <w:snapToGrid w:val="0"/>
        </w:rPr>
      </w:pPr>
      <w:r>
        <w:rPr>
          <w:b/>
          <w:snapToGrid w:val="0"/>
        </w:rPr>
        <w:t xml:space="preserve">Les feux d’éclairage latéral doivent être branchés de manière à ce que leur allumage </w:t>
      </w:r>
      <w:r w:rsidR="00C05590">
        <w:rPr>
          <w:b/>
          <w:snapToGrid w:val="0"/>
        </w:rPr>
        <w:t xml:space="preserve">ne </w:t>
      </w:r>
      <w:r>
        <w:rPr>
          <w:b/>
          <w:snapToGrid w:val="0"/>
        </w:rPr>
        <w:t xml:space="preserve">soit </w:t>
      </w:r>
      <w:r w:rsidR="00C05590">
        <w:rPr>
          <w:b/>
          <w:snapToGrid w:val="0"/>
        </w:rPr>
        <w:t xml:space="preserve">possible que lorsque les </w:t>
      </w:r>
      <w:r>
        <w:rPr>
          <w:b/>
          <w:snapToGrid w:val="0"/>
        </w:rPr>
        <w:t>feux de croisement</w:t>
      </w:r>
      <w:r w:rsidR="00C05590">
        <w:rPr>
          <w:b/>
          <w:snapToGrid w:val="0"/>
        </w:rPr>
        <w:t xml:space="preserve"> sont allumés</w:t>
      </w:r>
      <w:r>
        <w:rPr>
          <w:b/>
          <w:snapToGrid w:val="0"/>
        </w:rPr>
        <w:t>.</w:t>
      </w:r>
      <w:r w:rsidRPr="007D4E94">
        <w:rPr>
          <w:b/>
          <w:snapToGrid w:val="0"/>
        </w:rPr>
        <w:t xml:space="preserve"> </w:t>
      </w:r>
      <w:r>
        <w:rPr>
          <w:b/>
          <w:snapToGrid w:val="0"/>
        </w:rPr>
        <w:t xml:space="preserve">Ils peuvent </w:t>
      </w:r>
      <w:r w:rsidR="00C05590">
        <w:rPr>
          <w:b/>
          <w:snapToGrid w:val="0"/>
        </w:rPr>
        <w:t xml:space="preserve">être </w:t>
      </w:r>
      <w:r>
        <w:rPr>
          <w:b/>
          <w:snapToGrid w:val="0"/>
        </w:rPr>
        <w:t>étein</w:t>
      </w:r>
      <w:r w:rsidR="00C05590">
        <w:rPr>
          <w:b/>
          <w:snapToGrid w:val="0"/>
        </w:rPr>
        <w:t>ts</w:t>
      </w:r>
      <w:r>
        <w:rPr>
          <w:b/>
          <w:snapToGrid w:val="0"/>
        </w:rPr>
        <w:t xml:space="preserve"> manuellement </w:t>
      </w:r>
      <w:r w:rsidR="00C05590">
        <w:rPr>
          <w:b/>
          <w:snapToGrid w:val="0"/>
        </w:rPr>
        <w:t xml:space="preserve">ou automatiquement </w:t>
      </w:r>
      <w:r>
        <w:rPr>
          <w:b/>
          <w:snapToGrid w:val="0"/>
        </w:rPr>
        <w:t>lorsque le</w:t>
      </w:r>
      <w:r w:rsidRPr="007D4E94">
        <w:rPr>
          <w:b/>
          <w:snapToGrid w:val="0"/>
        </w:rPr>
        <w:t xml:space="preserve"> véhicule </w:t>
      </w:r>
      <w:r>
        <w:rPr>
          <w:b/>
          <w:snapToGrid w:val="0"/>
        </w:rPr>
        <w:t xml:space="preserve">se trouve </w:t>
      </w:r>
      <w:r w:rsidRPr="005370F5">
        <w:rPr>
          <w:b/>
          <w:snapToGrid w:val="0"/>
        </w:rPr>
        <w:t>en agglomération</w:t>
      </w:r>
      <w:r w:rsidRPr="007D4E94">
        <w:rPr>
          <w:b/>
          <w:snapToGrid w:val="0"/>
        </w:rPr>
        <w:t xml:space="preserve"> </w:t>
      </w:r>
      <w:r w:rsidR="00C05590">
        <w:rPr>
          <w:b/>
          <w:snapToGrid w:val="0"/>
        </w:rPr>
        <w:t>et</w:t>
      </w:r>
      <w:r>
        <w:rPr>
          <w:b/>
          <w:snapToGrid w:val="0"/>
        </w:rPr>
        <w:t xml:space="preserve"> de jour.</w:t>
      </w:r>
      <w:r w:rsidRPr="00465EBB">
        <w:rPr>
          <w:snapToGrid w:val="0"/>
        </w:rPr>
        <w:t>».</w:t>
      </w:r>
    </w:p>
    <w:p w:rsidR="00465EBB" w:rsidRPr="007D4E94" w:rsidRDefault="00465EBB" w:rsidP="00465EBB">
      <w:pPr>
        <w:pStyle w:val="HChG"/>
      </w:pPr>
      <w:r w:rsidRPr="007D4E94">
        <w:tab/>
        <w:t>II.</w:t>
      </w:r>
      <w:r w:rsidRPr="007D4E94">
        <w:tab/>
        <w:t>Justification</w:t>
      </w:r>
    </w:p>
    <w:p w:rsidR="00465EBB" w:rsidRPr="007D4E94" w:rsidRDefault="00465EBB" w:rsidP="00465EBB">
      <w:pPr>
        <w:pStyle w:val="SingleTxtG"/>
        <w:ind w:firstLine="567"/>
      </w:pPr>
      <w:r>
        <w:t>L</w:t>
      </w:r>
      <w:r w:rsidR="00C05590">
        <w:t>orsque des véhicules se croisent, l</w:t>
      </w:r>
      <w:r>
        <w:t>es conducteurs des véhicules</w:t>
      </w:r>
      <w:r w:rsidRPr="007D4E94">
        <w:t xml:space="preserve"> </w:t>
      </w:r>
      <w:r>
        <w:t xml:space="preserve">venant en sens inverse </w:t>
      </w:r>
      <w:r w:rsidR="00C05590">
        <w:t>risquent</w:t>
      </w:r>
      <w:r>
        <w:t xml:space="preserve"> d’être éblouis et leur v</w:t>
      </w:r>
      <w:r w:rsidRPr="007D4E94">
        <w:t xml:space="preserve">isibilité </w:t>
      </w:r>
      <w:r w:rsidR="00C05590">
        <w:t>d</w:t>
      </w:r>
      <w:r w:rsidR="00C05590" w:rsidRPr="007C3867">
        <w:t>’</w:t>
      </w:r>
      <w:r w:rsidR="00C05590">
        <w:t xml:space="preserve">être </w:t>
      </w:r>
      <w:r>
        <w:t>réduite</w:t>
      </w:r>
      <w:r w:rsidR="00C05590">
        <w:t xml:space="preserve"> en conséquence</w:t>
      </w:r>
      <w:r w:rsidRPr="007D4E94">
        <w:t xml:space="preserve">. </w:t>
      </w:r>
      <w:r>
        <w:t>En outre</w:t>
      </w:r>
      <w:r w:rsidRPr="007D4E94">
        <w:t xml:space="preserve">, </w:t>
      </w:r>
      <w:r w:rsidR="00C05590">
        <w:t>la portée</w:t>
      </w:r>
      <w:r>
        <w:t xml:space="preserve"> pratique d’éclairage de la route par les feux de croisement sans </w:t>
      </w:r>
      <w:r w:rsidR="00C05590">
        <w:t xml:space="preserve">risques </w:t>
      </w:r>
      <w:r>
        <w:t xml:space="preserve">d’éblouissement </w:t>
      </w:r>
      <w:r w:rsidRPr="005370F5">
        <w:t>peut être limitée à une valeur comprise entre 20 et 50 m.</w:t>
      </w:r>
      <w:r w:rsidRPr="007D4E94">
        <w:t xml:space="preserve"> </w:t>
      </w:r>
      <w:r w:rsidR="00C05590">
        <w:t>Il est possible d</w:t>
      </w:r>
      <w:r w:rsidR="00C05590" w:rsidRPr="007C3867">
        <w:t>’</w:t>
      </w:r>
      <w:r>
        <w:t xml:space="preserve">améliorer la visibilité pour les conducteurs des véhicules venant en sens inverse </w:t>
      </w:r>
      <w:r w:rsidR="00C05590">
        <w:t>exposés à l</w:t>
      </w:r>
      <w:r w:rsidR="00C05590" w:rsidRPr="007C3867">
        <w:t>’</w:t>
      </w:r>
      <w:r w:rsidR="00C05590">
        <w:t xml:space="preserve">éblouissement </w:t>
      </w:r>
      <w:r>
        <w:t xml:space="preserve">en assurant un éclairage supplémentaire de la zone de la route située </w:t>
      </w:r>
      <w:r w:rsidR="00C05590">
        <w:t xml:space="preserve">vers </w:t>
      </w:r>
      <w:r w:rsidR="00C05590">
        <w:lastRenderedPageBreak/>
        <w:t>l</w:t>
      </w:r>
      <w:r w:rsidR="00C05590" w:rsidRPr="007C3867">
        <w:t>’</w:t>
      </w:r>
      <w:r w:rsidR="00C05590">
        <w:t xml:space="preserve">avant du côté </w:t>
      </w:r>
      <w:r>
        <w:t xml:space="preserve">gauche des véhicules, </w:t>
      </w:r>
      <w:r w:rsidR="00C05590">
        <w:t xml:space="preserve">dans laquelle les </w:t>
      </w:r>
      <w:r>
        <w:t xml:space="preserve">projecteurs </w:t>
      </w:r>
      <w:r w:rsidR="00C05590">
        <w:t xml:space="preserve">à cause de leur portée limitée </w:t>
      </w:r>
      <w:r>
        <w:t xml:space="preserve">ne suffisent pas à révéler </w:t>
      </w:r>
      <w:r w:rsidR="00C05590">
        <w:t xml:space="preserve">la présence de </w:t>
      </w:r>
      <w:r>
        <w:t xml:space="preserve">piétons, </w:t>
      </w:r>
      <w:r w:rsidR="00C05590">
        <w:t>d</w:t>
      </w:r>
      <w:r w:rsidR="00C05590" w:rsidRPr="007C3867">
        <w:t>’</w:t>
      </w:r>
      <w:r>
        <w:t>animaux</w:t>
      </w:r>
      <w:r w:rsidR="00C05590">
        <w:t>, etc.</w:t>
      </w:r>
      <w:r w:rsidRPr="007D4E94">
        <w:t xml:space="preserve">. </w:t>
      </w:r>
      <w:r>
        <w:t xml:space="preserve">La présence de tels feux sur des véhicules </w:t>
      </w:r>
      <w:r w:rsidR="00C05590">
        <w:t>suiveurs</w:t>
      </w:r>
      <w:r>
        <w:t xml:space="preserve"> peut </w:t>
      </w:r>
      <w:r w:rsidR="00C05590">
        <w:t>offrir</w:t>
      </w:r>
      <w:r>
        <w:t xml:space="preserve"> un éclairage supplémentaire </w:t>
      </w:r>
      <w:r w:rsidR="00C05590">
        <w:t xml:space="preserve">de beaucoup </w:t>
      </w:r>
      <w:r>
        <w:t xml:space="preserve">plus grande </w:t>
      </w:r>
      <w:r w:rsidR="00C05590">
        <w:t>portée</w:t>
      </w:r>
      <w:r>
        <w:t xml:space="preserve"> pour les conducteurs des véhicules venant en sens inverse.</w:t>
      </w:r>
      <w:r w:rsidRPr="007D4E94">
        <w:t xml:space="preserve"> </w:t>
      </w:r>
      <w:r>
        <w:t>Ces feux étant orientés vers le bas et latéralement, ils ne gênent pas les autres conducteurs</w:t>
      </w:r>
      <w:r w:rsidRPr="007D4E94">
        <w:t xml:space="preserve">. </w:t>
      </w:r>
      <w:r>
        <w:t xml:space="preserve">Ils sont analogues aux feux d’angles mais bien moins </w:t>
      </w:r>
      <w:r w:rsidRPr="007D4E94">
        <w:t>visible</w:t>
      </w:r>
      <w:r>
        <w:t>s pour les autres usagers de la route.</w:t>
      </w:r>
    </w:p>
    <w:p w:rsidR="00465EBB" w:rsidRPr="00465EBB" w:rsidRDefault="00465EBB" w:rsidP="00465E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5EBB" w:rsidRPr="00465EBB" w:rsidSect="00465E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27" w:rsidRDefault="000C3427" w:rsidP="00F95C08">
      <w:pPr>
        <w:spacing w:line="240" w:lineRule="auto"/>
      </w:pPr>
    </w:p>
  </w:endnote>
  <w:endnote w:type="continuationSeparator" w:id="0">
    <w:p w:rsidR="000C3427" w:rsidRPr="00AC3823" w:rsidRDefault="000C3427" w:rsidP="00AC3823">
      <w:pPr>
        <w:pStyle w:val="Footer"/>
      </w:pPr>
    </w:p>
  </w:endnote>
  <w:endnote w:type="continuationNotice" w:id="1">
    <w:p w:rsidR="000C3427" w:rsidRDefault="000C34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Pr="00465EBB" w:rsidRDefault="00465EBB" w:rsidP="00465EBB">
    <w:pPr>
      <w:pStyle w:val="Footer"/>
      <w:tabs>
        <w:tab w:val="right" w:pos="9638"/>
      </w:tabs>
    </w:pPr>
    <w:r w:rsidRPr="00465EBB">
      <w:rPr>
        <w:b/>
        <w:sz w:val="18"/>
      </w:rPr>
      <w:fldChar w:fldCharType="begin"/>
    </w:r>
    <w:r w:rsidRPr="00465EBB">
      <w:rPr>
        <w:b/>
        <w:sz w:val="18"/>
      </w:rPr>
      <w:instrText xml:space="preserve"> PAGE  \* MERGEFORMAT </w:instrText>
    </w:r>
    <w:r w:rsidRPr="00465EBB">
      <w:rPr>
        <w:b/>
        <w:sz w:val="18"/>
      </w:rPr>
      <w:fldChar w:fldCharType="separate"/>
    </w:r>
    <w:r w:rsidR="00893E29">
      <w:rPr>
        <w:b/>
        <w:noProof/>
        <w:sz w:val="18"/>
      </w:rPr>
      <w:t>2</w:t>
    </w:r>
    <w:r w:rsidRPr="00465EBB">
      <w:rPr>
        <w:b/>
        <w:sz w:val="18"/>
      </w:rPr>
      <w:fldChar w:fldCharType="end"/>
    </w:r>
    <w:r>
      <w:rPr>
        <w:b/>
        <w:sz w:val="18"/>
      </w:rPr>
      <w:tab/>
    </w:r>
    <w:r>
      <w:t>GE.15-00941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Pr="00465EBB" w:rsidRDefault="00465EBB" w:rsidP="00465EBB">
    <w:pPr>
      <w:pStyle w:val="Footer"/>
      <w:tabs>
        <w:tab w:val="right" w:pos="9638"/>
      </w:tabs>
      <w:rPr>
        <w:b/>
        <w:sz w:val="18"/>
      </w:rPr>
    </w:pPr>
    <w:r>
      <w:t>GE.15-00941</w:t>
    </w:r>
    <w:r>
      <w:tab/>
    </w:r>
    <w:r w:rsidRPr="00465EBB">
      <w:rPr>
        <w:b/>
        <w:sz w:val="18"/>
      </w:rPr>
      <w:fldChar w:fldCharType="begin"/>
    </w:r>
    <w:r w:rsidRPr="00465EBB">
      <w:rPr>
        <w:b/>
        <w:sz w:val="18"/>
      </w:rPr>
      <w:instrText xml:space="preserve"> PAGE  \* MERGEFORMAT </w:instrText>
    </w:r>
    <w:r w:rsidRPr="00465EBB">
      <w:rPr>
        <w:b/>
        <w:sz w:val="18"/>
      </w:rPr>
      <w:fldChar w:fldCharType="separate"/>
    </w:r>
    <w:r w:rsidR="00893E29">
      <w:rPr>
        <w:b/>
        <w:noProof/>
        <w:sz w:val="18"/>
      </w:rPr>
      <w:t>3</w:t>
    </w:r>
    <w:r w:rsidRPr="00465E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65EBB" w:rsidRDefault="00465EBB" w:rsidP="00465EBB">
    <w:pPr>
      <w:pStyle w:val="Footer"/>
      <w:spacing w:before="120"/>
      <w:rPr>
        <w:sz w:val="20"/>
      </w:rPr>
    </w:pPr>
    <w:r>
      <w:rPr>
        <w:sz w:val="20"/>
      </w:rPr>
      <w:t>GE.</w:t>
    </w:r>
    <w:r w:rsidR="00893E2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900" cy="234315"/>
          <wp:effectExtent l="0" t="0" r="0" b="0"/>
          <wp:wrapNone/>
          <wp:docPr id="3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15-00941  (F)    250215    250215</w:t>
    </w:r>
    <w:r>
      <w:rPr>
        <w:sz w:val="20"/>
      </w:rPr>
      <w:br/>
    </w:r>
    <w:r w:rsidRPr="00465EBB">
      <w:rPr>
        <w:rFonts w:ascii="C39T30Lfz" w:hAnsi="C39T30Lfz"/>
        <w:sz w:val="56"/>
      </w:rPr>
      <w:t></w:t>
    </w:r>
    <w:r w:rsidRPr="00465EBB">
      <w:rPr>
        <w:rFonts w:ascii="C39T30Lfz" w:hAnsi="C39T30Lfz"/>
        <w:sz w:val="56"/>
      </w:rPr>
      <w:t></w:t>
    </w:r>
    <w:r w:rsidRPr="00465EBB">
      <w:rPr>
        <w:rFonts w:ascii="C39T30Lfz" w:hAnsi="C39T30Lfz"/>
        <w:sz w:val="56"/>
      </w:rPr>
      <w:t></w:t>
    </w:r>
    <w:r w:rsidRPr="00465EBB">
      <w:rPr>
        <w:rFonts w:ascii="C39T30Lfz" w:hAnsi="C39T30Lfz"/>
        <w:sz w:val="56"/>
      </w:rPr>
      <w:t></w:t>
    </w:r>
    <w:r w:rsidRPr="00465EBB">
      <w:rPr>
        <w:rFonts w:ascii="C39T30Lfz" w:hAnsi="C39T30Lfz"/>
        <w:sz w:val="56"/>
      </w:rPr>
      <w:t></w:t>
    </w:r>
    <w:r w:rsidRPr="00465EBB">
      <w:rPr>
        <w:rFonts w:ascii="C39T30Lfz" w:hAnsi="C39T30Lfz"/>
        <w:sz w:val="56"/>
      </w:rPr>
      <w:t></w:t>
    </w:r>
    <w:r w:rsidRPr="00465EBB">
      <w:rPr>
        <w:rFonts w:ascii="C39T30Lfz" w:hAnsi="C39T30Lfz"/>
        <w:sz w:val="56"/>
      </w:rPr>
      <w:t></w:t>
    </w:r>
    <w:r w:rsidRPr="00465EBB">
      <w:rPr>
        <w:rFonts w:ascii="C39T30Lfz" w:hAnsi="C39T30Lfz"/>
        <w:sz w:val="56"/>
      </w:rPr>
      <w:t></w:t>
    </w:r>
    <w:r w:rsidRPr="00465EBB">
      <w:rPr>
        <w:rFonts w:ascii="C39T30Lfz" w:hAnsi="C39T30Lfz"/>
        <w:sz w:val="56"/>
      </w:rPr>
      <w:t></w:t>
    </w:r>
    <w:r w:rsidR="00893E29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TRANS/WP.29/GRE/2015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undocs.org/m2/QRCode.ashx?DS=ECE/TRANS/WP.29/GRE/2015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27" w:rsidRPr="00AC3823" w:rsidRDefault="000C34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3427" w:rsidRPr="00AC3823" w:rsidRDefault="000C34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3427" w:rsidRPr="00AC3823" w:rsidRDefault="000C3427">
      <w:pPr>
        <w:spacing w:line="240" w:lineRule="auto"/>
        <w:rPr>
          <w:sz w:val="2"/>
          <w:szCs w:val="2"/>
        </w:rPr>
      </w:pPr>
    </w:p>
  </w:footnote>
  <w:footnote w:id="2">
    <w:p w:rsidR="00465EBB" w:rsidRPr="00465EBB" w:rsidRDefault="00465EBB">
      <w:pPr>
        <w:pStyle w:val="FootnoteText"/>
      </w:pPr>
      <w:r>
        <w:rPr>
          <w:rStyle w:val="FootnoteReference"/>
        </w:rPr>
        <w:tab/>
      </w:r>
      <w:r w:rsidRPr="00465EB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65EBB">
        <w:rPr>
          <w:spacing w:val="-2"/>
          <w:szCs w:val="18"/>
        </w:rPr>
        <w:t>Conformément au programme de travail du Comité des transports intérieurs pour la période 2012-2016 (ECE/TRANS/224, par. 94</w:t>
      </w:r>
      <w:r>
        <w:rPr>
          <w:spacing w:val="-2"/>
          <w:szCs w:val="18"/>
        </w:rPr>
        <w:t>,</w:t>
      </w:r>
      <w:r w:rsidRPr="00465EBB">
        <w:rPr>
          <w:spacing w:val="-2"/>
          <w:szCs w:val="18"/>
        </w:rPr>
        <w:t xml:space="preserve"> et ECE/TRANS/2012/12, activité 02.4), le Forum mondial a pour mission d’élaborer, d’harmoniser et de mettre à jour les Règlements en vue d’améliorer les caractéristiques fonctionnelles des véhicules. Le présent document est soumis en vertu de ce mandat</w:t>
      </w:r>
      <w:r w:rsidRPr="00465EBB">
        <w:rPr>
          <w:spacing w:val="-2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Pr="00465EBB" w:rsidRDefault="00465EBB">
    <w:pPr>
      <w:pStyle w:val="Header"/>
    </w:pPr>
    <w:r>
      <w:t>ECE/TRANS/WP.29/GRE/2015/6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Pr="00465EBB" w:rsidRDefault="00465EBB" w:rsidP="00465EBB">
    <w:pPr>
      <w:pStyle w:val="Header"/>
      <w:jc w:val="right"/>
    </w:pPr>
    <w:r>
      <w:t>ECE/TRANS/WP.29/GRE/2015/6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9"/>
    <w:rsid w:val="00017F94"/>
    <w:rsid w:val="00023842"/>
    <w:rsid w:val="00030463"/>
    <w:rsid w:val="000334F9"/>
    <w:rsid w:val="0007796D"/>
    <w:rsid w:val="000B7790"/>
    <w:rsid w:val="000C3427"/>
    <w:rsid w:val="00111F2F"/>
    <w:rsid w:val="0014361A"/>
    <w:rsid w:val="0014365E"/>
    <w:rsid w:val="00143C66"/>
    <w:rsid w:val="00176178"/>
    <w:rsid w:val="001F525A"/>
    <w:rsid w:val="00223272"/>
    <w:rsid w:val="0024779E"/>
    <w:rsid w:val="00257168"/>
    <w:rsid w:val="00274109"/>
    <w:rsid w:val="002744B8"/>
    <w:rsid w:val="002832AC"/>
    <w:rsid w:val="002D7C93"/>
    <w:rsid w:val="00305801"/>
    <w:rsid w:val="003916DE"/>
    <w:rsid w:val="00426D81"/>
    <w:rsid w:val="00441C3B"/>
    <w:rsid w:val="00446FE5"/>
    <w:rsid w:val="00452396"/>
    <w:rsid w:val="00465EBB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3E29"/>
    <w:rsid w:val="009705C8"/>
    <w:rsid w:val="009C1CF4"/>
    <w:rsid w:val="009C37CF"/>
    <w:rsid w:val="009F6B74"/>
    <w:rsid w:val="00A30353"/>
    <w:rsid w:val="00A852DA"/>
    <w:rsid w:val="00AC3823"/>
    <w:rsid w:val="00AE323C"/>
    <w:rsid w:val="00AF0CB5"/>
    <w:rsid w:val="00B00181"/>
    <w:rsid w:val="00B00B0D"/>
    <w:rsid w:val="00B765F7"/>
    <w:rsid w:val="00BA0CA9"/>
    <w:rsid w:val="00C02897"/>
    <w:rsid w:val="00C05590"/>
    <w:rsid w:val="00C51FB6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ECE/TRANS/WP.29/GRE/2015/6</vt:lpstr>
      <vt:lpstr>ECE/TRANS/WP.29/GRE/2015/6</vt:lpstr>
    </vt:vector>
  </TitlesOfParts>
  <Company>DCM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ECE/TRANS/WP.29/GRE/2015/6</dc:title>
  <dc:creator>Granet C.</dc:creator>
  <cp:lastModifiedBy>07 series second set of changes</cp:lastModifiedBy>
  <cp:revision>2</cp:revision>
  <cp:lastPrinted>2015-02-25T10:41:00Z</cp:lastPrinted>
  <dcterms:created xsi:type="dcterms:W3CDTF">2015-02-26T15:01:00Z</dcterms:created>
  <dcterms:modified xsi:type="dcterms:W3CDTF">2015-02-26T15:01:00Z</dcterms:modified>
</cp:coreProperties>
</file>