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5A57219" w14:textId="77777777" w:rsidTr="005316B0">
        <w:trPr>
          <w:trHeight w:hRule="exact" w:val="851"/>
        </w:trPr>
        <w:tc>
          <w:tcPr>
            <w:tcW w:w="1276" w:type="dxa"/>
            <w:tcBorders>
              <w:bottom w:val="single" w:sz="4" w:space="0" w:color="auto"/>
            </w:tcBorders>
          </w:tcPr>
          <w:p w14:paraId="69785216" w14:textId="77777777" w:rsidR="001433FD" w:rsidRPr="00DB58B5" w:rsidRDefault="001433FD" w:rsidP="0001207F"/>
        </w:tc>
        <w:tc>
          <w:tcPr>
            <w:tcW w:w="2268" w:type="dxa"/>
            <w:tcBorders>
              <w:bottom w:val="single" w:sz="4" w:space="0" w:color="auto"/>
            </w:tcBorders>
            <w:vAlign w:val="bottom"/>
          </w:tcPr>
          <w:p w14:paraId="47F214D8"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16902A" w14:textId="2C32E2F1" w:rsidR="001433FD" w:rsidRPr="00767849" w:rsidRDefault="00767849" w:rsidP="00767849">
            <w:pPr>
              <w:jc w:val="right"/>
            </w:pPr>
            <w:r w:rsidRPr="00767849">
              <w:rPr>
                <w:sz w:val="40"/>
              </w:rPr>
              <w:t>ECE</w:t>
            </w:r>
            <w:r>
              <w:t>/TRANS/WP.11/2023/7</w:t>
            </w:r>
          </w:p>
        </w:tc>
      </w:tr>
      <w:tr w:rsidR="001433FD" w:rsidRPr="00DB58B5" w14:paraId="30F8E46D" w14:textId="77777777" w:rsidTr="007D3236">
        <w:trPr>
          <w:trHeight w:hRule="exact" w:val="2835"/>
        </w:trPr>
        <w:tc>
          <w:tcPr>
            <w:tcW w:w="1276" w:type="dxa"/>
            <w:tcBorders>
              <w:top w:val="single" w:sz="4" w:space="0" w:color="auto"/>
              <w:bottom w:val="single" w:sz="12" w:space="0" w:color="auto"/>
            </w:tcBorders>
          </w:tcPr>
          <w:p w14:paraId="471716ED" w14:textId="77777777" w:rsidR="001433FD" w:rsidRPr="00DB58B5" w:rsidRDefault="001433FD" w:rsidP="007D3236">
            <w:pPr>
              <w:spacing w:before="120"/>
              <w:jc w:val="center"/>
            </w:pPr>
            <w:r>
              <w:rPr>
                <w:noProof/>
                <w:lang w:eastAsia="fr-CH"/>
              </w:rPr>
              <w:drawing>
                <wp:inline distT="0" distB="0" distL="0" distR="0" wp14:anchorId="158E1E1C" wp14:editId="0825D1A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D766E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9284FA" w14:textId="77777777" w:rsidR="0001207F" w:rsidRDefault="007B7655" w:rsidP="007B7655">
            <w:pPr>
              <w:spacing w:before="240" w:line="240" w:lineRule="exact"/>
            </w:pPr>
            <w:proofErr w:type="spellStart"/>
            <w:r>
              <w:t>Distr</w:t>
            </w:r>
            <w:proofErr w:type="spellEnd"/>
            <w:r>
              <w:t>. générale</w:t>
            </w:r>
          </w:p>
          <w:p w14:paraId="1D04505A" w14:textId="18A846E9" w:rsidR="007B7655" w:rsidRDefault="006D274E" w:rsidP="007B7655">
            <w:pPr>
              <w:spacing w:line="240" w:lineRule="exact"/>
            </w:pPr>
            <w:r>
              <w:t>3</w:t>
            </w:r>
            <w:r w:rsidR="007B7655">
              <w:t xml:space="preserve"> août 2023</w:t>
            </w:r>
          </w:p>
          <w:p w14:paraId="498B44F7" w14:textId="77777777" w:rsidR="007B7655" w:rsidRDefault="007B7655" w:rsidP="007B7655">
            <w:pPr>
              <w:spacing w:line="240" w:lineRule="exact"/>
            </w:pPr>
          </w:p>
          <w:p w14:paraId="7EE1A160" w14:textId="77777777" w:rsidR="007B7655" w:rsidRPr="00DB58B5" w:rsidRDefault="007B7655" w:rsidP="007B7655">
            <w:pPr>
              <w:spacing w:line="240" w:lineRule="exact"/>
            </w:pPr>
            <w:r>
              <w:t>Original : français</w:t>
            </w:r>
          </w:p>
        </w:tc>
      </w:tr>
    </w:tbl>
    <w:p w14:paraId="22D11C73" w14:textId="77777777" w:rsidR="00AE2B43" w:rsidRDefault="00AE2B43" w:rsidP="00177140">
      <w:pPr>
        <w:spacing w:before="120"/>
        <w:rPr>
          <w:b/>
          <w:sz w:val="28"/>
          <w:szCs w:val="28"/>
        </w:rPr>
      </w:pPr>
      <w:r w:rsidRPr="00883605">
        <w:rPr>
          <w:b/>
          <w:sz w:val="28"/>
          <w:szCs w:val="28"/>
        </w:rPr>
        <w:t>Commission économique pour l’Europe</w:t>
      </w:r>
    </w:p>
    <w:p w14:paraId="4B3D3195" w14:textId="77777777" w:rsidR="00AE2B43" w:rsidRPr="009E01B8" w:rsidRDefault="00AE2B43" w:rsidP="00177140">
      <w:pPr>
        <w:spacing w:before="120"/>
        <w:rPr>
          <w:sz w:val="28"/>
          <w:szCs w:val="28"/>
        </w:rPr>
      </w:pPr>
      <w:r w:rsidRPr="009E01B8">
        <w:rPr>
          <w:sz w:val="28"/>
          <w:szCs w:val="28"/>
        </w:rPr>
        <w:t>Comité des transports intérieurs</w:t>
      </w:r>
    </w:p>
    <w:p w14:paraId="024FE507" w14:textId="77777777" w:rsidR="00DF5751" w:rsidRDefault="00AE2B43" w:rsidP="00DF5751">
      <w:pPr>
        <w:spacing w:before="120"/>
        <w:rPr>
          <w:b/>
          <w:color w:val="212121"/>
          <w:lang w:val="fr-FR" w:eastAsia="en-GB"/>
        </w:rPr>
      </w:pPr>
      <w:r w:rsidRPr="009E01B8">
        <w:rPr>
          <w:b/>
          <w:sz w:val="24"/>
          <w:szCs w:val="24"/>
        </w:rPr>
        <w:t>Groupe de travail d</w:t>
      </w:r>
      <w:r>
        <w:rPr>
          <w:b/>
          <w:sz w:val="24"/>
          <w:szCs w:val="24"/>
        </w:rPr>
        <w:t>u transport</w:t>
      </w:r>
      <w:r>
        <w:rPr>
          <w:b/>
          <w:sz w:val="24"/>
          <w:szCs w:val="24"/>
        </w:rPr>
        <w:br/>
      </w:r>
      <w:r w:rsidRPr="009E01B8">
        <w:rPr>
          <w:b/>
          <w:sz w:val="24"/>
          <w:szCs w:val="24"/>
        </w:rPr>
        <w:t>de</w:t>
      </w:r>
      <w:r>
        <w:rPr>
          <w:b/>
          <w:sz w:val="24"/>
          <w:szCs w:val="24"/>
        </w:rPr>
        <w:t>s denrées périssables</w:t>
      </w:r>
      <w:r w:rsidR="00DF5751" w:rsidRPr="00DF5751">
        <w:rPr>
          <w:b/>
          <w:color w:val="212121"/>
          <w:lang w:val="fr-FR" w:eastAsia="en-GB"/>
        </w:rPr>
        <w:t xml:space="preserve"> </w:t>
      </w:r>
    </w:p>
    <w:p w14:paraId="5FE51369" w14:textId="74F1FBA5" w:rsidR="00DF5751" w:rsidRPr="00265E07" w:rsidRDefault="00DF5751" w:rsidP="00DF5751">
      <w:pPr>
        <w:spacing w:before="120"/>
        <w:rPr>
          <w:b/>
        </w:rPr>
      </w:pPr>
      <w:r>
        <w:rPr>
          <w:b/>
          <w:color w:val="212121"/>
          <w:lang w:val="fr-FR" w:eastAsia="en-GB"/>
        </w:rPr>
        <w:t xml:space="preserve">Quatre-vingtième </w:t>
      </w:r>
      <w:r w:rsidRPr="00265E07">
        <w:rPr>
          <w:b/>
        </w:rPr>
        <w:t>session</w:t>
      </w:r>
    </w:p>
    <w:p w14:paraId="7226964E" w14:textId="77777777" w:rsidR="00DF5751" w:rsidRDefault="00DF5751" w:rsidP="00DF5751">
      <w:pPr>
        <w:rPr>
          <w:bCs/>
          <w:lang w:val="fr-FR"/>
        </w:rPr>
      </w:pPr>
      <w:r w:rsidRPr="00265E07">
        <w:t xml:space="preserve">Genève, </w:t>
      </w:r>
      <w:r>
        <w:t>24</w:t>
      </w:r>
      <w:r w:rsidRPr="00265E07">
        <w:t>-</w:t>
      </w:r>
      <w:r>
        <w:t>27</w:t>
      </w:r>
      <w:r w:rsidRPr="00265E07">
        <w:t xml:space="preserve"> </w:t>
      </w:r>
      <w:r>
        <w:t>octobre</w:t>
      </w:r>
      <w:r w:rsidRPr="00265E07">
        <w:rPr>
          <w:bCs/>
          <w:lang w:val="fr-FR"/>
        </w:rPr>
        <w:t xml:space="preserve"> 20</w:t>
      </w:r>
      <w:r>
        <w:rPr>
          <w:bCs/>
          <w:lang w:val="fr-FR"/>
        </w:rPr>
        <w:t>23</w:t>
      </w:r>
    </w:p>
    <w:p w14:paraId="4D613582" w14:textId="77777777" w:rsidR="00DF5751" w:rsidRDefault="00DF5751" w:rsidP="00DF5751">
      <w:r>
        <w:t>Point 5 a) de l'ordre du jour provisoire</w:t>
      </w:r>
    </w:p>
    <w:p w14:paraId="254E89C8" w14:textId="77777777" w:rsidR="00DF5751" w:rsidRPr="005F502D" w:rsidRDefault="00DF5751" w:rsidP="00DF5751">
      <w:pPr>
        <w:pStyle w:val="Titre2"/>
        <w:spacing w:before="15"/>
        <w:rPr>
          <w:b/>
          <w:bCs/>
        </w:rPr>
      </w:pPr>
      <w:r w:rsidRPr="005F502D">
        <w:rPr>
          <w:b/>
          <w:bCs/>
        </w:rPr>
        <w:t>Propositions</w:t>
      </w:r>
      <w:r w:rsidRPr="005F502D">
        <w:rPr>
          <w:b/>
          <w:bCs/>
          <w:spacing w:val="-8"/>
        </w:rPr>
        <w:t xml:space="preserve"> </w:t>
      </w:r>
      <w:r w:rsidRPr="005F502D">
        <w:rPr>
          <w:b/>
          <w:bCs/>
        </w:rPr>
        <w:t>d’amendements</w:t>
      </w:r>
      <w:r w:rsidRPr="005F502D">
        <w:rPr>
          <w:b/>
          <w:bCs/>
          <w:spacing w:val="-8"/>
        </w:rPr>
        <w:t xml:space="preserve"> </w:t>
      </w:r>
      <w:r w:rsidRPr="005F502D">
        <w:rPr>
          <w:b/>
          <w:bCs/>
        </w:rPr>
        <w:t>à</w:t>
      </w:r>
      <w:r w:rsidRPr="005F502D">
        <w:rPr>
          <w:b/>
          <w:bCs/>
          <w:spacing w:val="-6"/>
        </w:rPr>
        <w:t xml:space="preserve"> </w:t>
      </w:r>
      <w:r w:rsidRPr="005F502D">
        <w:rPr>
          <w:b/>
          <w:bCs/>
        </w:rPr>
        <w:t>l’ATP</w:t>
      </w:r>
      <w:r w:rsidRPr="005F502D">
        <w:rPr>
          <w:b/>
          <w:bCs/>
          <w:spacing w:val="-4"/>
        </w:rPr>
        <w:t xml:space="preserve"> </w:t>
      </w:r>
      <w:r w:rsidRPr="005F502D">
        <w:rPr>
          <w:b/>
          <w:bCs/>
        </w:rPr>
        <w:t>:</w:t>
      </w:r>
    </w:p>
    <w:p w14:paraId="05A3F7C0" w14:textId="5108710E" w:rsidR="00AE2B43" w:rsidRDefault="00DF5751" w:rsidP="00DF5751">
      <w:pPr>
        <w:rPr>
          <w:b/>
        </w:rPr>
      </w:pPr>
      <w:r>
        <w:rPr>
          <w:b/>
        </w:rPr>
        <w:t>propositions</w:t>
      </w:r>
      <w:r>
        <w:rPr>
          <w:b/>
          <w:spacing w:val="-3"/>
        </w:rPr>
        <w:t xml:space="preserve"> </w:t>
      </w:r>
      <w:r>
        <w:rPr>
          <w:b/>
        </w:rPr>
        <w:t>en</w:t>
      </w:r>
      <w:r>
        <w:rPr>
          <w:b/>
          <w:spacing w:val="-2"/>
        </w:rPr>
        <w:t xml:space="preserve"> </w:t>
      </w:r>
      <w:r>
        <w:rPr>
          <w:b/>
        </w:rPr>
        <w:t>suspens</w:t>
      </w:r>
    </w:p>
    <w:p w14:paraId="00DD69C8" w14:textId="5EAB2891" w:rsidR="00D227D6" w:rsidRDefault="00D227D6" w:rsidP="00D227D6">
      <w:pPr>
        <w:pStyle w:val="HChG"/>
        <w:rPr>
          <w:lang w:val="fr-FR"/>
        </w:rPr>
      </w:pPr>
      <w:r>
        <w:rPr>
          <w:lang w:val="fr-FR"/>
        </w:rPr>
        <w:tab/>
      </w:r>
      <w:r>
        <w:rPr>
          <w:lang w:val="fr-FR"/>
        </w:rPr>
        <w:tab/>
        <w:t xml:space="preserve">Définition de </w:t>
      </w:r>
      <w:r w:rsidRPr="005D0761">
        <w:t>l</w:t>
      </w:r>
      <w:r>
        <w:t xml:space="preserve">’autonomie </w:t>
      </w:r>
      <w:r>
        <w:rPr>
          <w:lang w:val="fr-FR"/>
        </w:rPr>
        <w:t>d’un engin</w:t>
      </w:r>
    </w:p>
    <w:p w14:paraId="492FD4F4" w14:textId="77777777" w:rsidR="00D227D6" w:rsidRDefault="00D227D6" w:rsidP="00D227D6">
      <w:pPr>
        <w:pStyle w:val="H1G"/>
        <w:rPr>
          <w:lang w:val="fr-FR"/>
        </w:rPr>
      </w:pPr>
      <w:r>
        <w:rPr>
          <w:lang w:val="fr-FR"/>
        </w:rPr>
        <w:tab/>
      </w:r>
      <w:r>
        <w:rPr>
          <w:lang w:val="fr-FR"/>
        </w:rPr>
        <w:tab/>
        <w:t xml:space="preserve">Communication du </w:t>
      </w:r>
      <w:r w:rsidRPr="005D0761">
        <w:t>Gouvernement</w:t>
      </w:r>
      <w:r>
        <w:rPr>
          <w:lang w:val="fr-FR"/>
        </w:rPr>
        <w:t xml:space="preserve"> de la France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227D6" w14:paraId="257D8DDC" w14:textId="77777777" w:rsidTr="005848B9">
        <w:trPr>
          <w:jc w:val="center"/>
        </w:trPr>
        <w:tc>
          <w:tcPr>
            <w:tcW w:w="9628" w:type="dxa"/>
            <w:shd w:val="clear" w:color="auto" w:fill="auto"/>
          </w:tcPr>
          <w:p w14:paraId="7C0D4E30" w14:textId="77777777" w:rsidR="00D227D6" w:rsidRPr="00C6263E" w:rsidRDefault="00D227D6" w:rsidP="006E5E26">
            <w:pPr>
              <w:spacing w:before="240" w:after="120"/>
              <w:ind w:left="255"/>
              <w:rPr>
                <w:i/>
                <w:sz w:val="24"/>
              </w:rPr>
            </w:pPr>
            <w:r w:rsidRPr="00C6263E">
              <w:rPr>
                <w:i/>
                <w:sz w:val="24"/>
              </w:rPr>
              <w:t xml:space="preserve">Résumé </w:t>
            </w:r>
          </w:p>
        </w:tc>
      </w:tr>
      <w:tr w:rsidR="00D227D6" w14:paraId="1ABE354F" w14:textId="77777777" w:rsidTr="005848B9">
        <w:trPr>
          <w:jc w:val="center"/>
        </w:trPr>
        <w:tc>
          <w:tcPr>
            <w:tcW w:w="9628" w:type="dxa"/>
            <w:shd w:val="clear" w:color="auto" w:fill="auto"/>
          </w:tcPr>
          <w:p w14:paraId="4F45E8BC" w14:textId="77777777" w:rsidR="00D227D6" w:rsidRDefault="00650D2D" w:rsidP="006A3E85">
            <w:pPr>
              <w:pStyle w:val="SingleTxtG"/>
              <w:ind w:left="3402" w:hanging="2268"/>
              <w:rPr>
                <w:rFonts w:eastAsia="Calibri"/>
                <w:lang w:val="fr-FR" w:eastAsia="en-US"/>
              </w:rPr>
            </w:pPr>
            <w:r>
              <w:rPr>
                <w:rFonts w:eastAsia="Calibri"/>
                <w:b/>
                <w:lang w:eastAsia="en-US"/>
              </w:rPr>
              <w:t>Résumé analytique </w:t>
            </w:r>
            <w:r>
              <w:rPr>
                <w:rFonts w:eastAsia="Calibri"/>
                <w:lang w:eastAsia="en-US"/>
              </w:rPr>
              <w:t>:</w:t>
            </w:r>
            <w:r>
              <w:rPr>
                <w:rFonts w:eastAsia="Calibri"/>
                <w:lang w:eastAsia="en-US"/>
              </w:rPr>
              <w:tab/>
            </w:r>
            <w:r w:rsidR="00C62CC0">
              <w:rPr>
                <w:rFonts w:eastAsia="Calibri"/>
                <w:lang w:val="fr-FR" w:eastAsia="en-US"/>
              </w:rPr>
              <w:t>La présente proposition a pour but de préciser la définition de l’autonomie d’un engin dans la version française de l’ATP et d’harmoniser les traductions dans l’objectif d’améliorer la compréhension du sujet de la certification des nouvelles technologies pour l’ensemble des parties contractantes.</w:t>
            </w:r>
          </w:p>
          <w:p w14:paraId="2F81F944" w14:textId="0ED1D652" w:rsidR="00C62CC0" w:rsidRDefault="004508B0" w:rsidP="006A3E85">
            <w:pPr>
              <w:pStyle w:val="SingleTxtG"/>
              <w:ind w:left="2835" w:hanging="1701"/>
              <w:rPr>
                <w:rFonts w:eastAsia="Calibri"/>
                <w:lang w:eastAsia="en-US"/>
              </w:rPr>
            </w:pPr>
            <w:r>
              <w:rPr>
                <w:rFonts w:eastAsia="Calibri"/>
                <w:b/>
                <w:lang w:eastAsia="en-US"/>
              </w:rPr>
              <w:t>Mesure à prendre </w:t>
            </w:r>
            <w:r>
              <w:rPr>
                <w:rFonts w:eastAsia="Calibri"/>
                <w:lang w:eastAsia="en-US"/>
              </w:rPr>
              <w:t>:</w:t>
            </w:r>
            <w:r>
              <w:rPr>
                <w:rFonts w:eastAsia="Calibri"/>
                <w:lang w:eastAsia="en-US"/>
              </w:rPr>
              <w:tab/>
            </w:r>
            <w:r w:rsidR="006A3E85">
              <w:rPr>
                <w:rFonts w:eastAsia="Calibri"/>
                <w:lang w:eastAsia="en-US"/>
              </w:rPr>
              <w:tab/>
            </w:r>
            <w:r w:rsidR="006A3E85">
              <w:rPr>
                <w:rFonts w:eastAsia="Calibri"/>
                <w:lang w:eastAsia="en-US"/>
              </w:rPr>
              <w:tab/>
            </w:r>
            <w:r w:rsidR="00F34666">
              <w:rPr>
                <w:rFonts w:eastAsia="Calibri"/>
                <w:lang w:eastAsia="en-US"/>
              </w:rPr>
              <w:t>Ajout d’une définition au sein de l’annexe 1 point 7 de l’Accord</w:t>
            </w:r>
            <w:r w:rsidR="003B14BE">
              <w:rPr>
                <w:rFonts w:eastAsia="Calibri"/>
                <w:lang w:eastAsia="en-US"/>
              </w:rPr>
              <w:t xml:space="preserve"> </w:t>
            </w:r>
            <w:r w:rsidR="003B14BE">
              <w:rPr>
                <w:rFonts w:eastAsia="Calibri"/>
                <w:lang w:eastAsia="en-US"/>
              </w:rPr>
              <w:tab/>
            </w:r>
            <w:r w:rsidR="003B14BE">
              <w:rPr>
                <w:rFonts w:eastAsia="Calibri"/>
                <w:lang w:eastAsia="en-US"/>
              </w:rPr>
              <w:tab/>
            </w:r>
            <w:r w:rsidR="00F34666">
              <w:rPr>
                <w:rFonts w:eastAsia="Calibri"/>
                <w:lang w:eastAsia="en-US"/>
              </w:rPr>
              <w:t>ATP</w:t>
            </w:r>
          </w:p>
          <w:p w14:paraId="5CB805AA" w14:textId="428E794B" w:rsidR="00F34666" w:rsidRDefault="00C30028" w:rsidP="006E5E26">
            <w:pPr>
              <w:pStyle w:val="SingleTxtG"/>
            </w:pPr>
            <w:r>
              <w:rPr>
                <w:rFonts w:eastAsia="Calibri"/>
                <w:b/>
                <w:lang w:eastAsia="en-US"/>
              </w:rPr>
              <w:t>Documents connexes </w:t>
            </w:r>
            <w:r>
              <w:rPr>
                <w:rFonts w:eastAsia="Calibri"/>
                <w:lang w:eastAsia="en-US"/>
              </w:rPr>
              <w:t>:</w:t>
            </w:r>
            <w:r>
              <w:rPr>
                <w:rFonts w:eastAsia="Calibri"/>
                <w:lang w:eastAsia="en-US"/>
              </w:rPr>
              <w:tab/>
            </w:r>
            <w:r w:rsidR="006A3E85">
              <w:t>Aucun</w:t>
            </w:r>
          </w:p>
        </w:tc>
      </w:tr>
      <w:tr w:rsidR="00D227D6" w14:paraId="10A17BA0" w14:textId="77777777" w:rsidTr="005848B9">
        <w:trPr>
          <w:jc w:val="center"/>
        </w:trPr>
        <w:tc>
          <w:tcPr>
            <w:tcW w:w="9628" w:type="dxa"/>
            <w:shd w:val="clear" w:color="auto" w:fill="auto"/>
          </w:tcPr>
          <w:p w14:paraId="0E0FD66B" w14:textId="77777777" w:rsidR="00D227D6" w:rsidRDefault="00D227D6" w:rsidP="006E5E26"/>
        </w:tc>
      </w:tr>
    </w:tbl>
    <w:p w14:paraId="3FA7D270" w14:textId="77777777" w:rsidR="005848B9" w:rsidRDefault="005848B9" w:rsidP="005848B9">
      <w:pPr>
        <w:pStyle w:val="HChG"/>
      </w:pPr>
      <w:r>
        <w:tab/>
      </w:r>
      <w:r>
        <w:tab/>
        <w:t>Introduction</w:t>
      </w:r>
      <w:bookmarkStart w:id="0" w:name="OLE_LINK2"/>
      <w:bookmarkStart w:id="1" w:name="OLE_LINK1"/>
      <w:bookmarkEnd w:id="0"/>
      <w:bookmarkEnd w:id="1"/>
    </w:p>
    <w:p w14:paraId="2440D9CC" w14:textId="77777777" w:rsidR="005848B9" w:rsidRPr="005D0761" w:rsidRDefault="005848B9" w:rsidP="00794400">
      <w:pPr>
        <w:pStyle w:val="SingleTxtG"/>
      </w:pPr>
      <w:r>
        <w:t>1.</w:t>
      </w:r>
      <w:r>
        <w:tab/>
        <w:t>De nos jours il n’est plus envisageable d’écarter de l’ATP la pression exercée par les nouvelles technologies avec, en première ligne, les engins alimentés par des accumulateurs électriques, que ces derniers leur soient uniquement dédiés ou non. Le rechargement de ces accumulateurs est même rendu possible, moteur thermique du véhicule tournant et engin frigorifique actif. La flexibilité apportée par les accumulateurs électriques est indéniable mais comment intégrer cette typologie d’engins alimentés par des sources d’énergie mixtes qui se trouve entre les deux typologies d’engins historiques qui ont façonné l’ATP ?</w:t>
      </w:r>
    </w:p>
    <w:p w14:paraId="66F0290B" w14:textId="77777777" w:rsidR="005848B9" w:rsidRDefault="005848B9" w:rsidP="00794400">
      <w:pPr>
        <w:pStyle w:val="SingleTxtG"/>
      </w:pPr>
      <w:r>
        <w:t>2.</w:t>
      </w:r>
      <w:r>
        <w:tab/>
        <w:t xml:space="preserve">Un engin non autonome est défini au sein de l’annexe 1 appendice 2 point 6.2.2.i «Engins non autonomes dont le groupe de réfrigération est entraîné par le moteur du </w:t>
      </w:r>
      <w:r>
        <w:lastRenderedPageBreak/>
        <w:t>véhicule». Cet engin fait l’objet d’un marquage spécifique « X » visant à faciliter son identification, notamment lors du passage de l’engin à poste frontière.</w:t>
      </w:r>
    </w:p>
    <w:p w14:paraId="45EC723F" w14:textId="26638535" w:rsidR="00DF5751" w:rsidRDefault="005848B9" w:rsidP="00794400">
      <w:pPr>
        <w:pStyle w:val="SingleTxtG"/>
      </w:pPr>
      <w:r>
        <w:t>3.</w:t>
      </w:r>
      <w:r>
        <w:tab/>
        <w:t>Tout autre type d’engin est donc de fait considéré comme « autonome », incluant les engins disposant de technologies à alimentation électrique en phase de transport.</w:t>
      </w:r>
    </w:p>
    <w:p w14:paraId="2D13BFA6" w14:textId="77777777" w:rsidR="00794400" w:rsidRDefault="00794400" w:rsidP="00794400">
      <w:pPr>
        <w:pStyle w:val="SingleTxtG"/>
        <w:rPr>
          <w:rFonts w:cs="Garamond"/>
          <w:lang w:val="fr-FR" w:eastAsia="ar-SA"/>
        </w:rPr>
      </w:pPr>
      <w:r>
        <w:t>4.</w:t>
      </w:r>
      <w:r>
        <w:tab/>
      </w:r>
      <w:r>
        <w:rPr>
          <w:rFonts w:cs="Garamond"/>
          <w:lang w:val="fr-FR" w:eastAsia="ar-SA"/>
        </w:rPr>
        <w:t>Dans la langue française, le terme « autonome », appliqué à un matériel, est défini par :</w:t>
      </w:r>
    </w:p>
    <w:p w14:paraId="69AC1D97" w14:textId="33FE10D0" w:rsidR="00794400" w:rsidRDefault="00794400" w:rsidP="00055C4E">
      <w:pPr>
        <w:pStyle w:val="Bullet1G"/>
        <w:rPr>
          <w:lang w:val="fr-FR" w:eastAsia="ar-SA"/>
        </w:rPr>
      </w:pPr>
      <w:r>
        <w:rPr>
          <w:lang w:val="fr-FR" w:eastAsia="ar-SA"/>
        </w:rPr>
        <w:t>La faculté de ce matériel de fonctionner de manière indépendante de son environnement</w:t>
      </w:r>
    </w:p>
    <w:p w14:paraId="0AF82557" w14:textId="1DA5AF08" w:rsidR="00794400" w:rsidRDefault="00794400" w:rsidP="00055C4E">
      <w:pPr>
        <w:pStyle w:val="Bullet1G"/>
        <w:rPr>
          <w:lang w:val="fr-FR" w:eastAsia="ar-SA"/>
        </w:rPr>
      </w:pPr>
      <w:r>
        <w:rPr>
          <w:lang w:val="fr-FR" w:eastAsia="ar-SA"/>
        </w:rPr>
        <w:t>La durée de fonctionnement de manière indépendante</w:t>
      </w:r>
    </w:p>
    <w:p w14:paraId="6CBD3B44" w14:textId="77777777" w:rsidR="00794400" w:rsidRDefault="00794400" w:rsidP="00794400">
      <w:pPr>
        <w:pStyle w:val="SingleTxtG"/>
      </w:pPr>
      <w:r>
        <w:t>5.</w:t>
      </w:r>
      <w:r>
        <w:tab/>
        <w:t>Aucun critère de durée de fonctionnement n’est défini pour obtenir une classification « autonome ». Il est donc proposé d’inscrire une série de deux propositions visant à :</w:t>
      </w:r>
    </w:p>
    <w:p w14:paraId="3297968A" w14:textId="77777777" w:rsidR="00794400" w:rsidRDefault="00794400" w:rsidP="00055C4E">
      <w:pPr>
        <w:pStyle w:val="Bullet1G"/>
      </w:pPr>
      <w:r>
        <w:t>Préciser la définition d’un engin autonome.</w:t>
      </w:r>
    </w:p>
    <w:p w14:paraId="7C770944" w14:textId="77777777" w:rsidR="00794400" w:rsidRDefault="00794400" w:rsidP="00055C4E">
      <w:pPr>
        <w:pStyle w:val="Bullet1G"/>
      </w:pPr>
      <w:r>
        <w:t>Clarifier la classification d’un dispositif thermique à alimentation électrique (pour son mode route)</w:t>
      </w:r>
    </w:p>
    <w:p w14:paraId="7DAB6D6F" w14:textId="77777777" w:rsidR="00794400" w:rsidRDefault="00794400" w:rsidP="00794400">
      <w:pPr>
        <w:pStyle w:val="HChG"/>
      </w:pPr>
      <w:r>
        <w:tab/>
        <w:t>I.</w:t>
      </w:r>
      <w:r>
        <w:tab/>
      </w:r>
      <w:r w:rsidRPr="00794400">
        <w:t>Proposition</w:t>
      </w:r>
    </w:p>
    <w:p w14:paraId="349245B8" w14:textId="3DC930D1" w:rsidR="00794400" w:rsidRPr="00805D44" w:rsidRDefault="00794400" w:rsidP="00794400">
      <w:pPr>
        <w:pStyle w:val="SingleTxtG"/>
      </w:pPr>
      <w:bookmarkStart w:id="2" w:name="_Hlk30687072"/>
      <w:r>
        <w:rPr>
          <w:rFonts w:cs="Garamond"/>
          <w:lang w:val="fr-FR" w:eastAsia="ar-SA"/>
        </w:rPr>
        <w:t>6.</w:t>
      </w:r>
      <w:r>
        <w:rPr>
          <w:rFonts w:cs="Garamond"/>
          <w:lang w:val="fr-FR" w:eastAsia="ar-SA"/>
        </w:rPr>
        <w:tab/>
      </w:r>
      <w:r>
        <w:rPr>
          <w:lang w:val="fr-FR" w:eastAsia="ar-SA"/>
        </w:rPr>
        <w:t xml:space="preserve">Introduire une définition de l’autonomie d’un engin au sein de l’annexe 1 point 7 </w:t>
      </w:r>
      <w:r w:rsidRPr="00805D44">
        <w:rPr>
          <w:lang w:val="fr-FR" w:eastAsia="ar-SA"/>
        </w:rPr>
        <w:t>(définitions):</w:t>
      </w:r>
    </w:p>
    <w:bookmarkEnd w:id="2"/>
    <w:p w14:paraId="6A896A33" w14:textId="69EE215B" w:rsidR="00794400" w:rsidRPr="00805D44" w:rsidRDefault="00D8369F" w:rsidP="00794400">
      <w:pPr>
        <w:pStyle w:val="SingleTxtG"/>
        <w:rPr>
          <w:b/>
          <w:iCs/>
        </w:rPr>
      </w:pPr>
      <w:r>
        <w:rPr>
          <w:b/>
          <w:iCs/>
        </w:rPr>
        <w:t>« </w:t>
      </w:r>
      <w:r w:rsidR="00794400" w:rsidRPr="00805D44">
        <w:rPr>
          <w:b/>
          <w:iCs/>
        </w:rPr>
        <w:t>Un engin est « autonome » si :</w:t>
      </w:r>
    </w:p>
    <w:p w14:paraId="34BC15DF" w14:textId="77777777" w:rsidR="00794400" w:rsidRPr="00805D44" w:rsidRDefault="00794400" w:rsidP="00055C4E">
      <w:pPr>
        <w:pStyle w:val="Bullet1G"/>
      </w:pPr>
      <w:r w:rsidRPr="00805D44">
        <w:t>La production frigorifique ou frigorifique et calorifique est énergétiquement dépendante d’une source :</w:t>
      </w:r>
    </w:p>
    <w:p w14:paraId="2E9FE2B5" w14:textId="77777777" w:rsidR="00794400" w:rsidRPr="00805D44" w:rsidRDefault="00794400" w:rsidP="00055C4E">
      <w:pPr>
        <w:pStyle w:val="Bullet2G"/>
      </w:pPr>
      <w:r w:rsidRPr="00805D44">
        <w:t>Dédiée ou partagée avec priorisation pour le dispositif thermique</w:t>
      </w:r>
    </w:p>
    <w:p w14:paraId="46C8F34C" w14:textId="77777777" w:rsidR="00794400" w:rsidRPr="00805D44" w:rsidRDefault="00794400" w:rsidP="00055C4E">
      <w:pPr>
        <w:pStyle w:val="Bullet2G"/>
      </w:pPr>
      <w:r w:rsidRPr="00805D44">
        <w:t>toujours disponible</w:t>
      </w:r>
    </w:p>
    <w:p w14:paraId="262A97A2" w14:textId="77777777" w:rsidR="00794400" w:rsidRPr="00805D44" w:rsidRDefault="00794400" w:rsidP="00055C4E">
      <w:pPr>
        <w:pStyle w:val="Bullet2G"/>
      </w:pPr>
      <w:r w:rsidRPr="00805D44">
        <w:t>non interruptible dans toute phase de transport,</w:t>
      </w:r>
    </w:p>
    <w:p w14:paraId="4B07E057" w14:textId="476B6CB8" w:rsidR="00794400" w:rsidRPr="00805D44" w:rsidRDefault="00794400" w:rsidP="00055C4E">
      <w:pPr>
        <w:pStyle w:val="Bullet1G"/>
        <w:rPr>
          <w:lang w:val="fr-FR" w:eastAsia="ar-SA"/>
        </w:rPr>
      </w:pPr>
      <w:r w:rsidRPr="00805D44">
        <w:t>Sa durée d’autonomie est supérieure à une 1 heure à pleine charge sur le mode le plus consommateur d’énergie par une température de 30°C extérieure.</w:t>
      </w:r>
      <w:r w:rsidR="00D8369F">
        <w:t> »</w:t>
      </w:r>
    </w:p>
    <w:p w14:paraId="2794DDC2" w14:textId="544C683D" w:rsidR="00794400" w:rsidRPr="00805D44" w:rsidRDefault="00D8369F" w:rsidP="006D274E">
      <w:pPr>
        <w:pStyle w:val="H23G"/>
        <w:rPr>
          <w:lang w:val="fr-FR" w:eastAsia="ar-SA"/>
        </w:rPr>
      </w:pPr>
      <w:r>
        <w:rPr>
          <w:lang w:val="fr-FR" w:eastAsia="ar-SA"/>
        </w:rPr>
        <w:tab/>
      </w:r>
      <w:r>
        <w:rPr>
          <w:lang w:val="fr-FR" w:eastAsia="ar-SA"/>
        </w:rPr>
        <w:tab/>
      </w:r>
      <w:r w:rsidR="00794400" w:rsidRPr="00805D44">
        <w:rPr>
          <w:lang w:val="fr-FR" w:eastAsia="ar-SA"/>
        </w:rPr>
        <w:t>Traduction :</w:t>
      </w:r>
    </w:p>
    <w:p w14:paraId="150C140D" w14:textId="7F36AF7F" w:rsidR="00794400" w:rsidRPr="00797E1B" w:rsidRDefault="00794400" w:rsidP="00794400">
      <w:pPr>
        <w:pStyle w:val="SingleTxtG"/>
        <w:rPr>
          <w:i/>
          <w:iCs/>
          <w:lang w:val="fr-FR" w:eastAsia="ar-SA"/>
        </w:rPr>
      </w:pPr>
      <w:r w:rsidRPr="00805D44">
        <w:rPr>
          <w:lang w:val="fr-FR" w:eastAsia="ar-SA"/>
        </w:rPr>
        <w:t>Autonome :</w:t>
      </w:r>
      <w:r w:rsidR="00B33434">
        <w:rPr>
          <w:lang w:val="fr-FR" w:eastAsia="ar-SA"/>
        </w:rPr>
        <w:tab/>
      </w:r>
      <w:r w:rsidR="00B33434">
        <w:rPr>
          <w:lang w:val="fr-FR" w:eastAsia="ar-SA"/>
        </w:rPr>
        <w:tab/>
      </w:r>
      <w:r w:rsidRPr="00805D44">
        <w:rPr>
          <w:lang w:val="fr-FR" w:eastAsia="ar-SA"/>
        </w:rPr>
        <w:t xml:space="preserve"> </w:t>
      </w:r>
      <w:r w:rsidR="00A56CCF">
        <w:rPr>
          <w:lang w:val="fr-FR" w:eastAsia="ar-SA"/>
        </w:rPr>
        <w:tab/>
      </w:r>
      <w:proofErr w:type="spellStart"/>
      <w:r w:rsidRPr="00797E1B">
        <w:rPr>
          <w:i/>
          <w:iCs/>
          <w:lang w:val="fr-FR" w:eastAsia="ar-SA"/>
        </w:rPr>
        <w:t>independ</w:t>
      </w:r>
      <w:r w:rsidR="003F1DA9">
        <w:rPr>
          <w:i/>
          <w:iCs/>
          <w:lang w:val="fr-FR" w:eastAsia="ar-SA"/>
        </w:rPr>
        <w:t>e</w:t>
      </w:r>
      <w:r w:rsidRPr="00797E1B">
        <w:rPr>
          <w:i/>
          <w:iCs/>
          <w:lang w:val="fr-FR" w:eastAsia="ar-SA"/>
        </w:rPr>
        <w:t>nt</w:t>
      </w:r>
      <w:proofErr w:type="spellEnd"/>
    </w:p>
    <w:p w14:paraId="0B69EF86" w14:textId="6FF7A77A" w:rsidR="00794400" w:rsidRDefault="00794400" w:rsidP="00794400">
      <w:pPr>
        <w:pStyle w:val="SingleTxtG"/>
        <w:rPr>
          <w:lang w:val="fr-FR" w:eastAsia="ar-SA"/>
        </w:rPr>
      </w:pPr>
      <w:r w:rsidRPr="00805D44">
        <w:rPr>
          <w:lang w:val="fr-FR" w:eastAsia="ar-SA"/>
        </w:rPr>
        <w:t xml:space="preserve">Durée d’autonomie : </w:t>
      </w:r>
      <w:r w:rsidR="00A56CCF">
        <w:rPr>
          <w:lang w:val="fr-FR" w:eastAsia="ar-SA"/>
        </w:rPr>
        <w:tab/>
      </w:r>
      <w:proofErr w:type="spellStart"/>
      <w:r w:rsidRPr="00797E1B">
        <w:rPr>
          <w:i/>
          <w:iCs/>
          <w:lang w:val="fr-FR" w:eastAsia="ar-SA"/>
        </w:rPr>
        <w:t>independ</w:t>
      </w:r>
      <w:r w:rsidR="003F1DA9">
        <w:rPr>
          <w:i/>
          <w:iCs/>
          <w:lang w:val="fr-FR" w:eastAsia="ar-SA"/>
        </w:rPr>
        <w:t>e</w:t>
      </w:r>
      <w:r w:rsidRPr="00797E1B">
        <w:rPr>
          <w:i/>
          <w:iCs/>
          <w:lang w:val="fr-FR" w:eastAsia="ar-SA"/>
        </w:rPr>
        <w:t>nce</w:t>
      </w:r>
      <w:proofErr w:type="spellEnd"/>
      <w:r w:rsidRPr="00797E1B">
        <w:rPr>
          <w:i/>
          <w:iCs/>
          <w:lang w:val="fr-FR" w:eastAsia="ar-SA"/>
        </w:rPr>
        <w:t xml:space="preserve"> duration</w:t>
      </w:r>
    </w:p>
    <w:p w14:paraId="7A168F04" w14:textId="77777777" w:rsidR="00794400" w:rsidRPr="005D0761" w:rsidRDefault="00794400" w:rsidP="00794400">
      <w:pPr>
        <w:pStyle w:val="HChG"/>
      </w:pPr>
      <w:r w:rsidRPr="005D0761">
        <w:tab/>
        <w:t>II.</w:t>
      </w:r>
      <w:r w:rsidRPr="005D0761">
        <w:tab/>
      </w:r>
      <w:r w:rsidRPr="00794400">
        <w:t>Justification</w:t>
      </w:r>
    </w:p>
    <w:p w14:paraId="4E797427" w14:textId="77777777" w:rsidR="00794400" w:rsidRPr="00794400" w:rsidRDefault="00794400" w:rsidP="00794400">
      <w:pPr>
        <w:pStyle w:val="SingleTxtG"/>
      </w:pPr>
      <w:r w:rsidRPr="00794400">
        <w:t>8.</w:t>
      </w:r>
      <w:r w:rsidRPr="00794400">
        <w:tab/>
        <w:t>Harmonisation du langage visant à uniformiser la compréhension des autorités compétentes et l’identification d’un matériel autonome.</w:t>
      </w:r>
    </w:p>
    <w:p w14:paraId="2469E4FF" w14:textId="77777777" w:rsidR="00794400" w:rsidRPr="005D0761" w:rsidRDefault="00794400" w:rsidP="00794400">
      <w:pPr>
        <w:pStyle w:val="HChG"/>
      </w:pPr>
      <w:r w:rsidRPr="005D0761">
        <w:tab/>
        <w:t>III.</w:t>
      </w:r>
      <w:r w:rsidRPr="005D0761">
        <w:tab/>
      </w:r>
      <w:r w:rsidRPr="00794400">
        <w:t>Coûts</w:t>
      </w:r>
    </w:p>
    <w:p w14:paraId="0D82C289" w14:textId="77777777" w:rsidR="00794400" w:rsidRPr="005D0761" w:rsidRDefault="00794400" w:rsidP="00794400">
      <w:pPr>
        <w:pStyle w:val="SingleTxtG"/>
        <w:rPr>
          <w:lang w:val="fr-FR"/>
        </w:rPr>
      </w:pPr>
      <w:r>
        <w:rPr>
          <w:lang w:val="fr-FR"/>
        </w:rPr>
        <w:t>9</w:t>
      </w:r>
      <w:r w:rsidRPr="005D0761">
        <w:rPr>
          <w:lang w:val="fr-FR"/>
        </w:rPr>
        <w:t>.</w:t>
      </w:r>
      <w:r>
        <w:rPr>
          <w:lang w:val="fr-FR"/>
        </w:rPr>
        <w:tab/>
      </w:r>
      <w:r>
        <w:t>Aucun.</w:t>
      </w:r>
    </w:p>
    <w:p w14:paraId="6C6DC893" w14:textId="77777777" w:rsidR="00794400" w:rsidRPr="005D0761" w:rsidRDefault="00794400" w:rsidP="00794400">
      <w:pPr>
        <w:pStyle w:val="HChG"/>
      </w:pPr>
      <w:r w:rsidRPr="005D0761">
        <w:tab/>
        <w:t>IV.</w:t>
      </w:r>
      <w:r w:rsidRPr="005D0761">
        <w:tab/>
        <w:t>Faisabilité</w:t>
      </w:r>
    </w:p>
    <w:p w14:paraId="4AB4A231" w14:textId="77777777" w:rsidR="00794400" w:rsidRPr="005D0761" w:rsidRDefault="00794400" w:rsidP="00794400">
      <w:pPr>
        <w:pStyle w:val="SingleTxtG"/>
      </w:pPr>
      <w:r>
        <w:t>10</w:t>
      </w:r>
      <w:r w:rsidRPr="005D0761">
        <w:t>.</w:t>
      </w:r>
      <w:r>
        <w:tab/>
      </w:r>
      <w:r w:rsidRPr="005C3A9D">
        <w:t>Pas de contrainte supplémentaire pour les stations d</w:t>
      </w:r>
      <w:r>
        <w:t>’</w:t>
      </w:r>
      <w:r w:rsidRPr="005C3A9D">
        <w:t>essais officielles ATP.</w:t>
      </w:r>
    </w:p>
    <w:p w14:paraId="0EBF1622" w14:textId="77777777" w:rsidR="00794400" w:rsidRPr="005D0761" w:rsidRDefault="00794400" w:rsidP="00794400">
      <w:pPr>
        <w:pStyle w:val="HChG"/>
      </w:pPr>
      <w:r w:rsidRPr="005D0761">
        <w:lastRenderedPageBreak/>
        <w:tab/>
        <w:t>V.</w:t>
      </w:r>
      <w:r w:rsidRPr="005D0761">
        <w:tab/>
        <w:t>Applicabilité</w:t>
      </w:r>
    </w:p>
    <w:p w14:paraId="53C0D225" w14:textId="77777777" w:rsidR="00794400" w:rsidRPr="005D0761" w:rsidRDefault="00794400" w:rsidP="00794400">
      <w:pPr>
        <w:pStyle w:val="SingleTxtG"/>
        <w:rPr>
          <w:b/>
          <w:bCs/>
        </w:rPr>
      </w:pPr>
      <w:r w:rsidRPr="005D0761">
        <w:t>1</w:t>
      </w:r>
      <w:r>
        <w:t>1</w:t>
      </w:r>
      <w:r w:rsidRPr="005D0761">
        <w:t>.</w:t>
      </w:r>
      <w:r>
        <w:tab/>
      </w:r>
      <w:r w:rsidRPr="005C3A9D">
        <w:t>Aucun problème n</w:t>
      </w:r>
      <w:r>
        <w:t>’</w:t>
      </w:r>
      <w:r w:rsidRPr="005C3A9D">
        <w:t>est à prévoir en ce qui concerne l</w:t>
      </w:r>
      <w:r>
        <w:t>’</w:t>
      </w:r>
      <w:r w:rsidRPr="005C3A9D">
        <w:t>application de la présente proposition.</w:t>
      </w:r>
    </w:p>
    <w:p w14:paraId="274AAD56" w14:textId="77777777" w:rsidR="00794400" w:rsidRPr="005D0761" w:rsidRDefault="00794400" w:rsidP="00794400">
      <w:pPr>
        <w:pStyle w:val="HChG"/>
      </w:pPr>
      <w:r>
        <w:tab/>
      </w:r>
      <w:r w:rsidRPr="005D0761">
        <w:t>VI.</w:t>
      </w:r>
      <w:r>
        <w:tab/>
      </w:r>
      <w:r w:rsidRPr="005D0761">
        <w:t>Application de la modification proposée à l</w:t>
      </w:r>
      <w:r>
        <w:t>’</w:t>
      </w:r>
      <w:r w:rsidRPr="005D0761">
        <w:t>ATP</w:t>
      </w:r>
    </w:p>
    <w:p w14:paraId="76E87230" w14:textId="0AE0D568" w:rsidR="00794400" w:rsidRPr="005D0761" w:rsidRDefault="00794400" w:rsidP="00794400">
      <w:pPr>
        <w:pStyle w:val="SingleTxtG"/>
      </w:pPr>
      <w:r>
        <w:t>12.</w:t>
      </w:r>
      <w:r>
        <w:tab/>
      </w:r>
      <w:r w:rsidRPr="005D0761">
        <w:t>Partie de l</w:t>
      </w:r>
      <w:r>
        <w:t>’</w:t>
      </w:r>
      <w:r w:rsidRPr="005D0761">
        <w:t>ATP concernée: Annexe 1</w:t>
      </w:r>
      <w:r>
        <w:t xml:space="preserve"> point 7 (définitions)</w:t>
      </w:r>
      <w:r w:rsidR="00CF4BC8">
        <w:t> :</w:t>
      </w:r>
    </w:p>
    <w:p w14:paraId="4E71933F" w14:textId="77777777" w:rsidR="00794400" w:rsidRPr="00722E7B" w:rsidRDefault="00794400" w:rsidP="00794400">
      <w:pPr>
        <w:pStyle w:val="SingleTxtG"/>
        <w:rPr>
          <w:iCs/>
          <w:lang w:val="fr-FR"/>
        </w:rPr>
      </w:pPr>
      <w:r w:rsidRPr="00722E7B">
        <w:rPr>
          <w:iCs/>
          <w:lang w:val="fr-FR"/>
        </w:rPr>
        <w:t>Ajout de la définition de l</w:t>
      </w:r>
      <w:r>
        <w:rPr>
          <w:iCs/>
          <w:lang w:val="fr-FR"/>
        </w:rPr>
        <w:t>’</w:t>
      </w:r>
      <w:r w:rsidRPr="00722E7B">
        <w:rPr>
          <w:iCs/>
          <w:lang w:val="fr-FR"/>
        </w:rPr>
        <w:t>autonomie d</w:t>
      </w:r>
      <w:r>
        <w:rPr>
          <w:iCs/>
          <w:lang w:val="fr-FR"/>
        </w:rPr>
        <w:t>’</w:t>
      </w:r>
      <w:r w:rsidRPr="00722E7B">
        <w:rPr>
          <w:iCs/>
          <w:lang w:val="fr-FR"/>
        </w:rPr>
        <w:t xml:space="preserve">un engin selon le </w:t>
      </w:r>
      <w:r>
        <w:rPr>
          <w:iCs/>
          <w:lang w:val="fr-FR"/>
        </w:rPr>
        <w:t>P</w:t>
      </w:r>
      <w:r w:rsidRPr="00722E7B">
        <w:rPr>
          <w:iCs/>
          <w:lang w:val="fr-FR"/>
        </w:rPr>
        <w:t>oint I - Proposition.</w:t>
      </w:r>
    </w:p>
    <w:p w14:paraId="18C3DD76" w14:textId="32FB8FC7" w:rsidR="00794400" w:rsidRPr="00794400" w:rsidRDefault="00794400" w:rsidP="00794400">
      <w:pPr>
        <w:spacing w:before="240"/>
        <w:jc w:val="center"/>
        <w:rPr>
          <w:u w:val="single"/>
        </w:rPr>
      </w:pPr>
      <w:r>
        <w:rPr>
          <w:u w:val="single"/>
        </w:rPr>
        <w:tab/>
      </w:r>
      <w:r>
        <w:rPr>
          <w:u w:val="single"/>
        </w:rPr>
        <w:tab/>
      </w:r>
      <w:r>
        <w:rPr>
          <w:u w:val="single"/>
        </w:rPr>
        <w:tab/>
      </w:r>
    </w:p>
    <w:sectPr w:rsidR="00794400" w:rsidRPr="00794400" w:rsidSect="007B765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EA0F" w14:textId="77777777" w:rsidR="00CC31B4" w:rsidRDefault="00CC31B4" w:rsidP="00F95C08">
      <w:pPr>
        <w:spacing w:line="240" w:lineRule="auto"/>
      </w:pPr>
    </w:p>
  </w:endnote>
  <w:endnote w:type="continuationSeparator" w:id="0">
    <w:p w14:paraId="6FF32249" w14:textId="77777777" w:rsidR="00CC31B4" w:rsidRPr="00AC3823" w:rsidRDefault="00CC31B4" w:rsidP="00AC3823">
      <w:pPr>
        <w:pStyle w:val="Pieddepage"/>
      </w:pPr>
    </w:p>
  </w:endnote>
  <w:endnote w:type="continuationNotice" w:id="1">
    <w:p w14:paraId="43ED935E" w14:textId="77777777" w:rsidR="00CC31B4" w:rsidRDefault="00CC31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94CD" w14:textId="77777777" w:rsidR="007B7655" w:rsidRPr="007B7655" w:rsidRDefault="007B7655" w:rsidP="007B7655">
    <w:pPr>
      <w:pStyle w:val="Pieddepage"/>
      <w:tabs>
        <w:tab w:val="right" w:pos="9638"/>
      </w:tabs>
      <w:rPr>
        <w:sz w:val="18"/>
      </w:rPr>
    </w:pPr>
    <w:r w:rsidRPr="007B7655">
      <w:rPr>
        <w:b/>
        <w:sz w:val="18"/>
      </w:rPr>
      <w:fldChar w:fldCharType="begin"/>
    </w:r>
    <w:r w:rsidRPr="007B7655">
      <w:rPr>
        <w:b/>
        <w:sz w:val="18"/>
      </w:rPr>
      <w:instrText xml:space="preserve"> PAGE  \* MERGEFORMAT </w:instrText>
    </w:r>
    <w:r w:rsidRPr="007B7655">
      <w:rPr>
        <w:b/>
        <w:sz w:val="18"/>
      </w:rPr>
      <w:fldChar w:fldCharType="separate"/>
    </w:r>
    <w:r w:rsidRPr="007B7655">
      <w:rPr>
        <w:b/>
        <w:noProof/>
        <w:sz w:val="18"/>
      </w:rPr>
      <w:t>2</w:t>
    </w:r>
    <w:r w:rsidRPr="007B76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A0E9" w14:textId="77777777" w:rsidR="007B7655" w:rsidRPr="007B7655" w:rsidRDefault="007B7655" w:rsidP="007B7655">
    <w:pPr>
      <w:pStyle w:val="Pieddepage"/>
      <w:tabs>
        <w:tab w:val="right" w:pos="9638"/>
      </w:tabs>
      <w:rPr>
        <w:b/>
        <w:sz w:val="18"/>
      </w:rPr>
    </w:pPr>
    <w:r>
      <w:tab/>
    </w:r>
    <w:r w:rsidRPr="007B7655">
      <w:rPr>
        <w:b/>
        <w:sz w:val="18"/>
      </w:rPr>
      <w:fldChar w:fldCharType="begin"/>
    </w:r>
    <w:r w:rsidRPr="007B7655">
      <w:rPr>
        <w:b/>
        <w:sz w:val="18"/>
      </w:rPr>
      <w:instrText xml:space="preserve"> PAGE  \* MERGEFORMAT </w:instrText>
    </w:r>
    <w:r w:rsidRPr="007B7655">
      <w:rPr>
        <w:b/>
        <w:sz w:val="18"/>
      </w:rPr>
      <w:fldChar w:fldCharType="separate"/>
    </w:r>
    <w:r w:rsidRPr="007B7655">
      <w:rPr>
        <w:b/>
        <w:noProof/>
        <w:sz w:val="18"/>
      </w:rPr>
      <w:t>3</w:t>
    </w:r>
    <w:r w:rsidRPr="007B76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8B87" w14:textId="2C195885" w:rsidR="000D3EE9" w:rsidRPr="00767849" w:rsidRDefault="00767849" w:rsidP="00767849">
    <w:pPr>
      <w:pStyle w:val="Pieddepage"/>
      <w:tabs>
        <w:tab w:val="left" w:pos="6520"/>
        <w:tab w:val="right" w:pos="9638"/>
      </w:tabs>
      <w:spacing w:before="120"/>
      <w:rPr>
        <w:sz w:val="20"/>
      </w:rPr>
    </w:pPr>
    <w:r>
      <w:rPr>
        <w:sz w:val="20"/>
      </w:rPr>
      <w:t>GE.23-15043  (F)</w:t>
    </w:r>
    <w:bookmarkStart w:id="3" w:name="_GoBack"/>
    <w:bookmarkEnd w:id="3"/>
    <w:r>
      <w:rPr>
        <w:sz w:val="20"/>
      </w:rPr>
      <w:tab/>
    </w:r>
    <w:r w:rsidRPr="00767849">
      <w:rPr>
        <w:noProof/>
        <w:sz w:val="20"/>
        <w:lang w:eastAsia="fr-CH"/>
      </w:rPr>
      <w:drawing>
        <wp:inline distT="0" distB="0" distL="0" distR="0" wp14:anchorId="67572C26" wp14:editId="1645944F">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DE1BC17" wp14:editId="6F596118">
          <wp:extent cx="640080" cy="6400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4D41" w14:textId="77777777" w:rsidR="00CC31B4" w:rsidRPr="00AC3823" w:rsidRDefault="00CC31B4" w:rsidP="00AC3823">
      <w:pPr>
        <w:pStyle w:val="Pieddepage"/>
        <w:tabs>
          <w:tab w:val="right" w:pos="2155"/>
        </w:tabs>
        <w:spacing w:after="80" w:line="240" w:lineRule="atLeast"/>
        <w:ind w:left="680"/>
        <w:rPr>
          <w:u w:val="single"/>
        </w:rPr>
      </w:pPr>
      <w:r>
        <w:rPr>
          <w:u w:val="single"/>
        </w:rPr>
        <w:tab/>
      </w:r>
    </w:p>
  </w:footnote>
  <w:footnote w:type="continuationSeparator" w:id="0">
    <w:p w14:paraId="7CF39FEA" w14:textId="77777777" w:rsidR="00CC31B4" w:rsidRPr="00AC3823" w:rsidRDefault="00CC31B4" w:rsidP="00AC3823">
      <w:pPr>
        <w:pStyle w:val="Pieddepage"/>
        <w:tabs>
          <w:tab w:val="right" w:pos="2155"/>
        </w:tabs>
        <w:spacing w:after="80" w:line="240" w:lineRule="atLeast"/>
        <w:ind w:left="680"/>
        <w:rPr>
          <w:u w:val="single"/>
        </w:rPr>
      </w:pPr>
      <w:r>
        <w:rPr>
          <w:u w:val="single"/>
        </w:rPr>
        <w:tab/>
      </w:r>
    </w:p>
  </w:footnote>
  <w:footnote w:type="continuationNotice" w:id="1">
    <w:p w14:paraId="34632878" w14:textId="77777777" w:rsidR="00CC31B4" w:rsidRPr="00AC3823" w:rsidRDefault="00CC31B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51C3" w14:textId="1F7BE3DF" w:rsidR="007B7655" w:rsidRPr="007B7655" w:rsidRDefault="000A2795">
    <w:pPr>
      <w:pStyle w:val="En-tte"/>
    </w:pPr>
    <w:r>
      <w:fldChar w:fldCharType="begin"/>
    </w:r>
    <w:r>
      <w:instrText xml:space="preserve"> TITLE  \* MERGEFORMAT </w:instrText>
    </w:r>
    <w:r>
      <w:fldChar w:fldCharType="separate"/>
    </w:r>
    <w:r>
      <w:t>ECE/TRANS/WP.11/2023/7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92A2" w14:textId="60C8DBB7" w:rsidR="007B7655" w:rsidRPr="007B7655" w:rsidRDefault="000A2795" w:rsidP="007B7655">
    <w:pPr>
      <w:pStyle w:val="En-tte"/>
      <w:jc w:val="right"/>
    </w:pPr>
    <w:r>
      <w:fldChar w:fldCharType="begin"/>
    </w:r>
    <w:r>
      <w:instrText xml:space="preserve"> TITLE  \* MERGEFORMAT </w:instrText>
    </w:r>
    <w:r>
      <w:fldChar w:fldCharType="separate"/>
    </w:r>
    <w:r>
      <w:t>ECE/TRANS/WP.11/2023/7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1883908"/>
    <w:multiLevelType w:val="hybridMultilevel"/>
    <w:tmpl w:val="4462E938"/>
    <w:lvl w:ilvl="0" w:tplc="CD92F526">
      <w:start w:val="5"/>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1E17835"/>
    <w:multiLevelType w:val="hybridMultilevel"/>
    <w:tmpl w:val="C8F03912"/>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68053074">
    <w:abstractNumId w:val="14"/>
  </w:num>
  <w:num w:numId="2" w16cid:durableId="476802791">
    <w:abstractNumId w:val="12"/>
  </w:num>
  <w:num w:numId="3" w16cid:durableId="2060586285">
    <w:abstractNumId w:val="10"/>
  </w:num>
  <w:num w:numId="4" w16cid:durableId="1124811792">
    <w:abstractNumId w:val="8"/>
  </w:num>
  <w:num w:numId="5" w16cid:durableId="1244143211">
    <w:abstractNumId w:val="3"/>
  </w:num>
  <w:num w:numId="6" w16cid:durableId="1264651406">
    <w:abstractNumId w:val="2"/>
  </w:num>
  <w:num w:numId="7" w16cid:durableId="317343563">
    <w:abstractNumId w:val="1"/>
  </w:num>
  <w:num w:numId="8" w16cid:durableId="214316969">
    <w:abstractNumId w:val="0"/>
  </w:num>
  <w:num w:numId="9" w16cid:durableId="1455631865">
    <w:abstractNumId w:val="9"/>
  </w:num>
  <w:num w:numId="10" w16cid:durableId="1916473674">
    <w:abstractNumId w:val="7"/>
  </w:num>
  <w:num w:numId="11" w16cid:durableId="1682588711">
    <w:abstractNumId w:val="6"/>
  </w:num>
  <w:num w:numId="12" w16cid:durableId="1964577176">
    <w:abstractNumId w:val="5"/>
  </w:num>
  <w:num w:numId="13" w16cid:durableId="1978560965">
    <w:abstractNumId w:val="4"/>
  </w:num>
  <w:num w:numId="14" w16cid:durableId="1005092060">
    <w:abstractNumId w:val="11"/>
  </w:num>
  <w:num w:numId="15" w16cid:durableId="1321695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7B7655"/>
    <w:rsid w:val="0001207F"/>
    <w:rsid w:val="00017F94"/>
    <w:rsid w:val="00023842"/>
    <w:rsid w:val="000334F9"/>
    <w:rsid w:val="0004639C"/>
    <w:rsid w:val="00055C4E"/>
    <w:rsid w:val="0007796D"/>
    <w:rsid w:val="000942EE"/>
    <w:rsid w:val="000A2795"/>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7241C"/>
    <w:rsid w:val="003819FF"/>
    <w:rsid w:val="003B14BE"/>
    <w:rsid w:val="003F1DA9"/>
    <w:rsid w:val="00441C3B"/>
    <w:rsid w:val="00446B0A"/>
    <w:rsid w:val="00446FE5"/>
    <w:rsid w:val="004508B0"/>
    <w:rsid w:val="00452396"/>
    <w:rsid w:val="00471288"/>
    <w:rsid w:val="0049687C"/>
    <w:rsid w:val="004E468C"/>
    <w:rsid w:val="005316B0"/>
    <w:rsid w:val="005505B7"/>
    <w:rsid w:val="00573BE5"/>
    <w:rsid w:val="005848B9"/>
    <w:rsid w:val="00586ED3"/>
    <w:rsid w:val="00596AA9"/>
    <w:rsid w:val="005B4D0F"/>
    <w:rsid w:val="006252B5"/>
    <w:rsid w:val="00650D2D"/>
    <w:rsid w:val="006A3E85"/>
    <w:rsid w:val="006D274E"/>
    <w:rsid w:val="00703D0F"/>
    <w:rsid w:val="00706363"/>
    <w:rsid w:val="007158BB"/>
    <w:rsid w:val="0071601D"/>
    <w:rsid w:val="0075410D"/>
    <w:rsid w:val="00767849"/>
    <w:rsid w:val="00794400"/>
    <w:rsid w:val="00797E1B"/>
    <w:rsid w:val="007A62E6"/>
    <w:rsid w:val="007B7655"/>
    <w:rsid w:val="00805D44"/>
    <w:rsid w:val="0080684C"/>
    <w:rsid w:val="008204DA"/>
    <w:rsid w:val="008535AD"/>
    <w:rsid w:val="00871C75"/>
    <w:rsid w:val="008767E8"/>
    <w:rsid w:val="008776DC"/>
    <w:rsid w:val="00883605"/>
    <w:rsid w:val="008E6043"/>
    <w:rsid w:val="009372FF"/>
    <w:rsid w:val="00961E7B"/>
    <w:rsid w:val="009705C8"/>
    <w:rsid w:val="009C1CF4"/>
    <w:rsid w:val="009F02C9"/>
    <w:rsid w:val="009F72E6"/>
    <w:rsid w:val="00A30353"/>
    <w:rsid w:val="00A56CCF"/>
    <w:rsid w:val="00A62D91"/>
    <w:rsid w:val="00A90D54"/>
    <w:rsid w:val="00AA113A"/>
    <w:rsid w:val="00AC3823"/>
    <w:rsid w:val="00AE2B43"/>
    <w:rsid w:val="00AE323C"/>
    <w:rsid w:val="00AF774C"/>
    <w:rsid w:val="00B00181"/>
    <w:rsid w:val="00B00B0D"/>
    <w:rsid w:val="00B33434"/>
    <w:rsid w:val="00B40927"/>
    <w:rsid w:val="00B50E25"/>
    <w:rsid w:val="00B64918"/>
    <w:rsid w:val="00B765F7"/>
    <w:rsid w:val="00BA0CA9"/>
    <w:rsid w:val="00C02897"/>
    <w:rsid w:val="00C1626B"/>
    <w:rsid w:val="00C30028"/>
    <w:rsid w:val="00C62CC0"/>
    <w:rsid w:val="00C66A47"/>
    <w:rsid w:val="00C7616F"/>
    <w:rsid w:val="00CB16B5"/>
    <w:rsid w:val="00CC31B4"/>
    <w:rsid w:val="00CE0608"/>
    <w:rsid w:val="00CF4BC8"/>
    <w:rsid w:val="00D227D6"/>
    <w:rsid w:val="00D3439C"/>
    <w:rsid w:val="00D44CF3"/>
    <w:rsid w:val="00D46C8C"/>
    <w:rsid w:val="00D8369F"/>
    <w:rsid w:val="00D85F6C"/>
    <w:rsid w:val="00DB1831"/>
    <w:rsid w:val="00DD3BFD"/>
    <w:rsid w:val="00DE239D"/>
    <w:rsid w:val="00DF431C"/>
    <w:rsid w:val="00DF5751"/>
    <w:rsid w:val="00DF6678"/>
    <w:rsid w:val="00E428C8"/>
    <w:rsid w:val="00EF2E22"/>
    <w:rsid w:val="00F0592C"/>
    <w:rsid w:val="00F06ED4"/>
    <w:rsid w:val="00F34666"/>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37A51"/>
  <w15:docId w15:val="{B32FABEE-B362-4FBA-9A4A-72306F92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Rvision">
    <w:name w:val="Revision"/>
    <w:hidden/>
    <w:uiPriority w:val="99"/>
    <w:semiHidden/>
    <w:rsid w:val="00D83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A9E8694-37B6-4559-B0C4-94E7E668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13404-F108-426E-80AC-66ABDC385BBA}">
  <ds:schemaRefs>
    <ds:schemaRef ds:uri="http://schemas.microsoft.com/sharepoint/v3/contenttype/forms"/>
  </ds:schemaRefs>
</ds:datastoreItem>
</file>

<file path=customXml/itemProps3.xml><?xml version="1.0" encoding="utf-8"?>
<ds:datastoreItem xmlns:ds="http://schemas.openxmlformats.org/officeDocument/2006/customXml" ds:itemID="{534609C0-12A0-4054-BCA2-02F622855D1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3261</Characters>
  <Application>Microsoft Office Word</Application>
  <DocSecurity>0</DocSecurity>
  <Lines>83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ECE/TRANS/WP.11/2023/7</dc:title>
  <dc:subject>FINAL</dc:subject>
  <dc:creator>ND</dc:creator>
  <cp:keywords/>
  <dc:description/>
  <cp:lastModifiedBy>Maud Dariche</cp:lastModifiedBy>
  <cp:revision>3</cp:revision>
  <cp:lastPrinted>2023-08-03T06:47:00Z</cp:lastPrinted>
  <dcterms:created xsi:type="dcterms:W3CDTF">2023-08-03T06:47:00Z</dcterms:created>
  <dcterms:modified xsi:type="dcterms:W3CDTF">2023-08-03T06:47:00Z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