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6604B7">
        <w:trPr>
          <w:cantSplit/>
          <w:trHeight w:hRule="exact" w:val="851"/>
        </w:trPr>
        <w:tc>
          <w:tcPr>
            <w:tcW w:w="9781" w:type="dxa"/>
            <w:tcBorders>
              <w:bottom w:val="single" w:sz="4" w:space="0" w:color="auto"/>
            </w:tcBorders>
            <w:vAlign w:val="bottom"/>
          </w:tcPr>
          <w:p w14:paraId="146774F5" w14:textId="59E89D17" w:rsidR="000C2B80" w:rsidRPr="00A92B1E" w:rsidRDefault="000C2B80" w:rsidP="000C2B80">
            <w:pPr>
              <w:ind w:firstLine="284"/>
              <w:jc w:val="right"/>
              <w:rPr>
                <w:color w:val="000000"/>
                <w:spacing w:val="-3"/>
              </w:rPr>
            </w:pPr>
            <w:r w:rsidRPr="00A92B1E">
              <w:rPr>
                <w:b/>
                <w:color w:val="000000"/>
                <w:spacing w:val="-3"/>
                <w:sz w:val="40"/>
                <w:szCs w:val="40"/>
              </w:rPr>
              <w:t>INF.</w:t>
            </w:r>
            <w:r w:rsidR="00C1442D">
              <w:rPr>
                <w:b/>
                <w:color w:val="000000"/>
                <w:spacing w:val="-3"/>
                <w:sz w:val="40"/>
                <w:szCs w:val="40"/>
              </w:rPr>
              <w:t>10</w:t>
            </w:r>
          </w:p>
        </w:tc>
      </w:tr>
      <w:tr w:rsidR="000C2B80" w:rsidRPr="00A92B1E" w14:paraId="4C011641" w14:textId="77777777" w:rsidTr="0097656C">
        <w:trPr>
          <w:cantSplit/>
          <w:trHeight w:hRule="exact" w:val="270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229A7">
              <w:trPr>
                <w:cantSplit/>
                <w:trHeight w:val="2835"/>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11CB2DE2" w:rsidR="00B11CBD" w:rsidRPr="00B11CBD" w:rsidRDefault="00B11CBD" w:rsidP="00B11CBD">
                  <w:pPr>
                    <w:spacing w:before="120"/>
                    <w:rPr>
                      <w:b/>
                      <w:lang w:eastAsia="fr-FR"/>
                    </w:rPr>
                  </w:pPr>
                  <w:r w:rsidRPr="00B11CBD">
                    <w:rPr>
                      <w:b/>
                      <w:lang w:eastAsia="fr-FR"/>
                    </w:rPr>
                    <w:t>Seventy-</w:t>
                  </w:r>
                  <w:r w:rsidR="00CC2E0B">
                    <w:rPr>
                      <w:b/>
                      <w:lang w:eastAsia="fr-FR"/>
                    </w:rPr>
                    <w:t>nin</w:t>
                  </w:r>
                  <w:r w:rsidRPr="00B11CBD">
                    <w:rPr>
                      <w:b/>
                      <w:lang w:eastAsia="fr-FR"/>
                    </w:rPr>
                    <w:t>th session</w:t>
                  </w:r>
                </w:p>
                <w:p w14:paraId="7F27C3C4" w14:textId="524A27D6" w:rsidR="00B11CBD" w:rsidRPr="00B11CBD" w:rsidRDefault="00B11CBD" w:rsidP="00B11CBD">
                  <w:pPr>
                    <w:rPr>
                      <w:lang w:eastAsia="fr-FR"/>
                    </w:rPr>
                  </w:pPr>
                  <w:r w:rsidRPr="00B11CBD">
                    <w:rPr>
                      <w:lang w:eastAsia="fr-FR"/>
                    </w:rPr>
                    <w:t xml:space="preserve">Geneva, </w:t>
                  </w:r>
                  <w:r w:rsidR="00CC2E0B">
                    <w:rPr>
                      <w:lang w:eastAsia="fr-FR"/>
                    </w:rPr>
                    <w:t>25</w:t>
                  </w:r>
                  <w:r w:rsidRPr="00B11CBD">
                    <w:rPr>
                      <w:lang w:eastAsia="fr-FR"/>
                    </w:rPr>
                    <w:t>-</w:t>
                  </w:r>
                  <w:r w:rsidR="00CC2E0B">
                    <w:rPr>
                      <w:lang w:eastAsia="fr-FR"/>
                    </w:rPr>
                    <w:t>28</w:t>
                  </w:r>
                  <w:r w:rsidRPr="00B11CBD">
                    <w:rPr>
                      <w:lang w:eastAsia="fr-FR"/>
                    </w:rPr>
                    <w:t xml:space="preserve"> </w:t>
                  </w:r>
                  <w:r w:rsidR="00CC2E0B">
                    <w:rPr>
                      <w:lang w:eastAsia="fr-FR"/>
                    </w:rPr>
                    <w:t>October</w:t>
                  </w:r>
                  <w:r w:rsidRPr="00B11CBD">
                    <w:rPr>
                      <w:lang w:eastAsia="fr-FR"/>
                    </w:rPr>
                    <w:t xml:space="preserve"> 202</w:t>
                  </w:r>
                  <w:r w:rsidR="00552466">
                    <w:rPr>
                      <w:lang w:eastAsia="fr-FR"/>
                    </w:rPr>
                    <w:t>2</w:t>
                  </w:r>
                </w:p>
                <w:p w14:paraId="248DC402" w14:textId="180DC4C4" w:rsidR="00FB7F41" w:rsidRPr="007062EE" w:rsidRDefault="00B11CBD" w:rsidP="00B11CBD">
                  <w:pPr>
                    <w:rPr>
                      <w:lang w:eastAsia="fr-FR"/>
                    </w:rPr>
                  </w:pPr>
                  <w:r w:rsidRPr="007062EE">
                    <w:rPr>
                      <w:lang w:eastAsia="fr-FR"/>
                    </w:rPr>
                    <w:t xml:space="preserve">Item </w:t>
                  </w:r>
                  <w:r w:rsidR="002B753F">
                    <w:rPr>
                      <w:lang w:eastAsia="fr-FR"/>
                    </w:rPr>
                    <w:t>5</w:t>
                  </w:r>
                  <w:r w:rsidR="00F6207A">
                    <w:rPr>
                      <w:lang w:eastAsia="fr-FR"/>
                    </w:rPr>
                    <w:t xml:space="preserve"> (a)</w:t>
                  </w:r>
                  <w:r w:rsidRPr="007062EE">
                    <w:rPr>
                      <w:lang w:eastAsia="fr-FR"/>
                    </w:rPr>
                    <w:t xml:space="preserve"> </w:t>
                  </w:r>
                  <w:r w:rsidR="00CB78BA" w:rsidRPr="007062EE">
                    <w:rPr>
                      <w:lang w:eastAsia="fr-FR"/>
                    </w:rPr>
                    <w:t>of the provisional agenda</w:t>
                  </w:r>
                </w:p>
                <w:p w14:paraId="40613D29" w14:textId="5D03F93A" w:rsidR="000C2B80" w:rsidRPr="00E229A7" w:rsidRDefault="00B05F81" w:rsidP="00FB7F41">
                  <w:pPr>
                    <w:rPr>
                      <w:b/>
                      <w:bCs/>
                    </w:rPr>
                  </w:pPr>
                  <w:r w:rsidRPr="009A33A2">
                    <w:rPr>
                      <w:b/>
                      <w:bCs/>
                    </w:rPr>
                    <w:t>Proposals of amendments to ATP</w:t>
                  </w:r>
                  <w:r w:rsidR="000A1B63" w:rsidRPr="00E229A7">
                    <w:rPr>
                      <w:b/>
                      <w:bCs/>
                    </w:rPr>
                    <w:t>:</w:t>
                  </w:r>
                </w:p>
                <w:p w14:paraId="4AF4284B" w14:textId="1191086C" w:rsidR="000A1B63" w:rsidRPr="00A92B1E" w:rsidRDefault="0097656C" w:rsidP="00FB7F41">
                  <w:pPr>
                    <w:rPr>
                      <w:b/>
                    </w:rPr>
                  </w:pPr>
                  <w:r>
                    <w:rPr>
                      <w:b/>
                    </w:rPr>
                    <w:t>pending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497EBC83" w:rsidR="000C2B80" w:rsidRPr="00A92B1E" w:rsidRDefault="006B329A" w:rsidP="000C2B80">
                  <w:pPr>
                    <w:spacing w:after="120"/>
                    <w:rPr>
                      <w:bCs/>
                    </w:rPr>
                  </w:pPr>
                  <w:r>
                    <w:t>27</w:t>
                  </w:r>
                  <w:r w:rsidR="00E7067E">
                    <w:t xml:space="preserve"> </w:t>
                  </w:r>
                  <w:r w:rsidR="00CC2E0B">
                    <w:t>October</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4425B574" w14:textId="4C280431" w:rsidR="000929EC" w:rsidRPr="00DB4C7D" w:rsidRDefault="0010142E" w:rsidP="0010142E">
      <w:pPr>
        <w:pStyle w:val="HChG"/>
        <w:rPr>
          <w:lang w:val="en-US"/>
        </w:rPr>
      </w:pPr>
      <w:r>
        <w:rPr>
          <w:lang w:val="en-US"/>
        </w:rPr>
        <w:tab/>
      </w:r>
      <w:r>
        <w:rPr>
          <w:lang w:val="en-US"/>
        </w:rPr>
        <w:tab/>
      </w:r>
      <w:r w:rsidR="000929EC" w:rsidRPr="003213BB">
        <w:rPr>
          <w:lang w:val="en-US"/>
        </w:rPr>
        <w:t xml:space="preserve">Amendment </w:t>
      </w:r>
      <w:r w:rsidR="000929EC">
        <w:rPr>
          <w:lang w:val="en-US"/>
        </w:rPr>
        <w:t>t</w:t>
      </w:r>
      <w:r w:rsidR="000929EC" w:rsidRPr="003213BB">
        <w:rPr>
          <w:lang w:val="en-US"/>
        </w:rPr>
        <w:t xml:space="preserve">o Annex </w:t>
      </w:r>
      <w:r w:rsidR="000929EC" w:rsidRPr="00025187">
        <w:rPr>
          <w:lang w:val="en-US"/>
        </w:rPr>
        <w:t>1, Appendix 2</w:t>
      </w:r>
      <w:r w:rsidR="000929EC">
        <w:rPr>
          <w:lang w:val="en-US"/>
        </w:rPr>
        <w:t>,</w:t>
      </w:r>
      <w:r w:rsidR="000929EC" w:rsidRPr="00025187">
        <w:rPr>
          <w:lang w:val="en-US"/>
        </w:rPr>
        <w:t xml:space="preserve"> </w:t>
      </w:r>
      <w:r w:rsidR="000929EC">
        <w:t>p</w:t>
      </w:r>
      <w:r w:rsidR="000929EC" w:rsidRPr="006D55FF">
        <w:t>aragraph</w:t>
      </w:r>
      <w:r w:rsidR="000929EC" w:rsidRPr="00025187">
        <w:rPr>
          <w:lang w:val="en-US"/>
        </w:rPr>
        <w:t xml:space="preserve"> 3.2.</w:t>
      </w:r>
      <w:r w:rsidR="000929EC">
        <w:rPr>
          <w:lang w:val="en-US"/>
        </w:rPr>
        <w:t>8</w:t>
      </w:r>
      <w:r w:rsidR="000929EC" w:rsidRPr="00025187">
        <w:rPr>
          <w:lang w:val="en-US"/>
        </w:rPr>
        <w:t xml:space="preserve"> and the ATP Handbook</w:t>
      </w:r>
    </w:p>
    <w:p w14:paraId="5434C5FA" w14:textId="197B30E1" w:rsidR="000929EC" w:rsidRPr="00686FD0" w:rsidRDefault="00B31EC6" w:rsidP="00B31EC6">
      <w:pPr>
        <w:pStyle w:val="H1G"/>
      </w:pPr>
      <w:r>
        <w:tab/>
      </w:r>
      <w:r>
        <w:tab/>
      </w:r>
      <w:r w:rsidR="00A00A27">
        <w:t>Transmitted by the Government of</w:t>
      </w:r>
      <w:r w:rsidR="000929EC" w:rsidRPr="00686FD0">
        <w:t xml:space="preserve"> the United Kingdom</w:t>
      </w:r>
    </w:p>
    <w:p w14:paraId="037A5312" w14:textId="67CD885B" w:rsidR="000929EC" w:rsidRPr="00DB4C7D" w:rsidRDefault="00B31EC6" w:rsidP="00B31EC6">
      <w:pPr>
        <w:pStyle w:val="HChG"/>
      </w:pPr>
      <w:r>
        <w:tab/>
      </w:r>
      <w:r w:rsidR="000929EC">
        <w:t>I.</w:t>
      </w:r>
      <w:r w:rsidR="000929EC">
        <w:tab/>
      </w:r>
      <w:r w:rsidR="000929EC" w:rsidRPr="00DB4C7D">
        <w:t>Proposed Amendment</w:t>
      </w:r>
    </w:p>
    <w:p w14:paraId="06D17AE3" w14:textId="77777777" w:rsidR="000929EC" w:rsidRDefault="000929EC" w:rsidP="000929EC">
      <w:pPr>
        <w:pStyle w:val="SingleTxtG"/>
      </w:pPr>
      <w:r>
        <w:t>1.</w:t>
      </w:r>
      <w:r>
        <w:tab/>
      </w:r>
      <w:r w:rsidRPr="00584D3D">
        <w:t>We propose to amend the text as follows with a new paragraph which is added to 3.2.</w:t>
      </w:r>
      <w:r>
        <w:t>8</w:t>
      </w:r>
      <w:r w:rsidRPr="00584D3D">
        <w:t>:</w:t>
      </w:r>
    </w:p>
    <w:p w14:paraId="2D64036C" w14:textId="15E960FB" w:rsidR="000929EC" w:rsidRDefault="00016C3D" w:rsidP="000929EC">
      <w:pPr>
        <w:pStyle w:val="SingleTxtG"/>
        <w:ind w:left="1701"/>
      </w:pPr>
      <w:r>
        <w:t>"</w:t>
      </w:r>
      <w:r w:rsidR="000929EC">
        <w:t>If the refrigerating appliance with all of its accessories has undergone separately, to the satisfaction of the competent authority, a test to determine the air circulation volume., t</w:t>
      </w:r>
      <w:r w:rsidR="000929EC" w:rsidRPr="0008521C">
        <w:rPr>
          <w:lang w:val="en-US"/>
        </w:rPr>
        <w:t>he minimum r</w:t>
      </w:r>
      <w:r w:rsidR="000929EC">
        <w:rPr>
          <w:lang w:val="en-US"/>
        </w:rPr>
        <w:t>equired airflow in cooling mode</w:t>
      </w:r>
      <w:r w:rsidR="000929EC" w:rsidRPr="0008521C">
        <w:rPr>
          <w:lang w:val="en-US"/>
        </w:rPr>
        <w:t xml:space="preserve"> for both mechanically refrigerated equipment and mechanically refrigerated and heated equipment with a forced ventilation system shall conform to the following formula</w:t>
      </w:r>
      <w:r w:rsidR="000929EC" w:rsidRPr="00F70640">
        <w:rPr>
          <w:rStyle w:val="FootnoteReference"/>
        </w:rPr>
        <w:footnoteReference w:id="2"/>
      </w:r>
      <w:r w:rsidR="000929EC" w:rsidRPr="00584D3D">
        <w:t xml:space="preserve">: </w:t>
      </w:r>
    </w:p>
    <w:p w14:paraId="70E41F79" w14:textId="77777777" w:rsidR="000929EC" w:rsidRDefault="000929EC" w:rsidP="000929EC">
      <w:pPr>
        <w:pStyle w:val="SingleTxtG"/>
        <w:ind w:left="1701"/>
      </w:pPr>
      <w:r w:rsidRPr="00584D3D">
        <w:t>V̇</w:t>
      </w:r>
      <w:r w:rsidRPr="00584D3D">
        <w:rPr>
          <w:vertAlign w:val="subscript"/>
        </w:rPr>
        <w:t>L</w:t>
      </w:r>
      <w:r w:rsidRPr="00584D3D">
        <w:t xml:space="preserve"> = N·V  </w:t>
      </w:r>
    </w:p>
    <w:p w14:paraId="7A984B9B" w14:textId="77777777" w:rsidR="000929EC" w:rsidRDefault="000929EC" w:rsidP="000929EC">
      <w:pPr>
        <w:pStyle w:val="SingleTxtG"/>
        <w:ind w:left="1701"/>
      </w:pPr>
      <w:r w:rsidRPr="00584D3D">
        <w:t>Where</w:t>
      </w:r>
      <w:r>
        <w:t xml:space="preserve"> minimum</w:t>
      </w:r>
      <w:r w:rsidRPr="00584D3D">
        <w:t xml:space="preserve"> airflow rate V̇</w:t>
      </w:r>
      <w:r w:rsidRPr="00584D3D">
        <w:rPr>
          <w:vertAlign w:val="subscript"/>
        </w:rPr>
        <w:t>L</w:t>
      </w:r>
      <w:r w:rsidRPr="00584D3D">
        <w:t xml:space="preserve"> is air changes per hour N, multiplied by the empty volume</w:t>
      </w:r>
      <w:r>
        <w:t> </w:t>
      </w:r>
      <w:r w:rsidRPr="00584D3D">
        <w:t>V.</w:t>
      </w:r>
    </w:p>
    <w:p w14:paraId="3F9973D1" w14:textId="77777777" w:rsidR="000929EC" w:rsidRDefault="000929EC" w:rsidP="000929EC">
      <w:pPr>
        <w:pStyle w:val="SingleTxtG"/>
        <w:ind w:left="1701"/>
      </w:pPr>
      <w:r>
        <w:t>Where N =</w:t>
      </w:r>
      <w:r w:rsidRPr="00584D3D">
        <w:t xml:space="preserve"> 5</w:t>
      </w:r>
      <w:r>
        <w:t>0</w:t>
      </w:r>
    </w:p>
    <w:p w14:paraId="7CFCF229" w14:textId="77777777" w:rsidR="000929EC" w:rsidRDefault="000929EC" w:rsidP="000929EC">
      <w:pPr>
        <w:pStyle w:val="SingleTxtG"/>
        <w:ind w:left="1701"/>
      </w:pPr>
      <w:r>
        <w:t xml:space="preserve">The air volume flow may be modulated in part load operation after reaching the set point temperature and if the temperature of the class is reached, the air flow needs not be continuous. </w:t>
      </w:r>
    </w:p>
    <w:p w14:paraId="0EE31BEA" w14:textId="77777777" w:rsidR="000929EC" w:rsidRDefault="000929EC" w:rsidP="000929EC">
      <w:pPr>
        <w:pStyle w:val="SingleTxtG"/>
        <w:ind w:left="1701"/>
      </w:pPr>
      <w:r>
        <w:t>W</w:t>
      </w:r>
      <w:r w:rsidRPr="00584D3D">
        <w:t xml:space="preserve">here V exceeds </w:t>
      </w:r>
      <w:r>
        <w:t>6</w:t>
      </w:r>
      <w:r w:rsidRPr="00584D3D">
        <w:t>0 m</w:t>
      </w:r>
      <w:r w:rsidRPr="00584D3D">
        <w:rPr>
          <w:vertAlign w:val="superscript"/>
        </w:rPr>
        <w:t>3</w:t>
      </w:r>
      <w:r w:rsidRPr="00584D3D">
        <w:t xml:space="preserve"> V</w:t>
      </w:r>
      <w:r w:rsidRPr="0085578E">
        <w:rPr>
          <w:vertAlign w:val="subscript"/>
        </w:rPr>
        <w:t>L</w:t>
      </w:r>
      <w:r w:rsidRPr="00584D3D">
        <w:t xml:space="preserve"> may be limited </w:t>
      </w:r>
      <w:r w:rsidRPr="0053243E">
        <w:t xml:space="preserve">to at least </w:t>
      </w:r>
      <w:r>
        <w:t>3</w:t>
      </w:r>
      <w:r w:rsidRPr="0053243E">
        <w:rPr>
          <w:bCs/>
        </w:rPr>
        <w:t xml:space="preserve">000 </w:t>
      </w:r>
      <w:r w:rsidRPr="0053243E">
        <w:t>m</w:t>
      </w:r>
      <w:r w:rsidRPr="0053243E">
        <w:rPr>
          <w:vertAlign w:val="superscript"/>
        </w:rPr>
        <w:t>3</w:t>
      </w:r>
      <w:r w:rsidRPr="0053243E">
        <w:t xml:space="preserve"> per hour</w:t>
      </w:r>
      <w:r>
        <w:t xml:space="preserve"> for container</w:t>
      </w:r>
      <w:r w:rsidRPr="00BD3E34">
        <w:rPr>
          <w:rStyle w:val="FootnoteReference"/>
        </w:rPr>
        <w:t>2</w:t>
      </w:r>
      <w:r>
        <w:t>, w</w:t>
      </w:r>
      <w:r w:rsidRPr="006F2781">
        <w:t>agons</w:t>
      </w:r>
      <w:r>
        <w:t xml:space="preserve"> and</w:t>
      </w:r>
      <w:r w:rsidRPr="006F2781">
        <w:t xml:space="preserve"> lorries</w:t>
      </w:r>
      <w:r w:rsidDel="008C64DE">
        <w:t xml:space="preserve"> </w:t>
      </w:r>
    </w:p>
    <w:p w14:paraId="39B28DCA" w14:textId="13BA3CF5" w:rsidR="000929EC" w:rsidRDefault="000929EC" w:rsidP="000929EC">
      <w:pPr>
        <w:pStyle w:val="SingleTxtG"/>
        <w:ind w:left="1701"/>
      </w:pPr>
      <w:r>
        <w:t>W</w:t>
      </w:r>
      <w:r w:rsidRPr="00584D3D">
        <w:t>here V exceeds 100 m</w:t>
      </w:r>
      <w:r w:rsidRPr="00584D3D">
        <w:rPr>
          <w:vertAlign w:val="superscript"/>
        </w:rPr>
        <w:t>3</w:t>
      </w:r>
      <w:r>
        <w:t xml:space="preserve"> V</w:t>
      </w:r>
      <w:r w:rsidRPr="0085578E">
        <w:rPr>
          <w:vertAlign w:val="subscript"/>
        </w:rPr>
        <w:t>L</w:t>
      </w:r>
      <w:r w:rsidRPr="00584D3D">
        <w:t xml:space="preserve"> may be limited </w:t>
      </w:r>
      <w:r w:rsidRPr="0053243E">
        <w:t xml:space="preserve">to at least </w:t>
      </w:r>
      <w:r w:rsidRPr="0053243E">
        <w:rPr>
          <w:bCs/>
        </w:rPr>
        <w:t xml:space="preserve">5000 </w:t>
      </w:r>
      <w:r w:rsidRPr="0053243E">
        <w:t>m</w:t>
      </w:r>
      <w:r w:rsidRPr="0053243E">
        <w:rPr>
          <w:vertAlign w:val="superscript"/>
        </w:rPr>
        <w:t>3</w:t>
      </w:r>
      <w:r w:rsidRPr="0053243E">
        <w:t xml:space="preserve"> per hour</w:t>
      </w:r>
      <w:r w:rsidRPr="00584D3D">
        <w:t>.</w:t>
      </w:r>
      <w:r w:rsidR="00016C3D">
        <w:t>"</w:t>
      </w:r>
    </w:p>
    <w:p w14:paraId="11F6578D" w14:textId="1CB1B687" w:rsidR="000929EC" w:rsidRDefault="000929EC" w:rsidP="002F71F3">
      <w:pPr>
        <w:pStyle w:val="SingleTxtG"/>
        <w:rPr>
          <w:b/>
        </w:rPr>
      </w:pPr>
      <w:r w:rsidRPr="00E1497D">
        <w:t>2.</w:t>
      </w:r>
      <w:r w:rsidRPr="00291B67">
        <w:tab/>
        <w:t>We propose to amend the text as follows with a new paragraph which is added to 3.</w:t>
      </w:r>
      <w:r>
        <w:t>4.9</w:t>
      </w:r>
      <w:r w:rsidRPr="00291B67">
        <w:t>:</w:t>
      </w:r>
    </w:p>
    <w:p w14:paraId="3289758B" w14:textId="29534A79" w:rsidR="000929EC" w:rsidRDefault="00A876C8" w:rsidP="00C75FEC">
      <w:pPr>
        <w:pStyle w:val="SingleTxtG"/>
        <w:ind w:left="1701"/>
      </w:pPr>
      <w:r>
        <w:t>"</w:t>
      </w:r>
      <w:r w:rsidR="000929EC" w:rsidRPr="00E1497D">
        <w:t>The equipment should comply with the airflow requirements in cooling mode prescribed in paragraph 3.2.</w:t>
      </w:r>
      <w:r w:rsidR="000929EC">
        <w:t>8</w:t>
      </w:r>
      <w:r w:rsidR="00EE1402">
        <w:t>".</w:t>
      </w:r>
    </w:p>
    <w:p w14:paraId="5E6F2D9C" w14:textId="7D2CAE81" w:rsidR="000929EC" w:rsidRDefault="000929EC" w:rsidP="000C5F61">
      <w:pPr>
        <w:pStyle w:val="SingleTxtG"/>
        <w:rPr>
          <w:b/>
        </w:rPr>
      </w:pPr>
      <w:r>
        <w:t>3</w:t>
      </w:r>
      <w:r w:rsidRPr="00E1497D">
        <w:t>.</w:t>
      </w:r>
      <w:r w:rsidRPr="00291B67">
        <w:tab/>
        <w:t xml:space="preserve">We propose to amend the text as follows with a new paragraph </w:t>
      </w:r>
      <w:r>
        <w:t>at the end</w:t>
      </w:r>
      <w:r w:rsidRPr="00291B67">
        <w:t xml:space="preserve"> added to </w:t>
      </w:r>
      <w:r>
        <w:t>7</w:t>
      </w:r>
      <w:r w:rsidRPr="00291B67">
        <w:t>.</w:t>
      </w:r>
      <w:r>
        <w:t>3.1</w:t>
      </w:r>
      <w:r w:rsidRPr="00291B67">
        <w:t>:</w:t>
      </w:r>
    </w:p>
    <w:p w14:paraId="6A35AAE3" w14:textId="3D081731" w:rsidR="000929EC" w:rsidRDefault="00773619" w:rsidP="00C75FEC">
      <w:pPr>
        <w:pStyle w:val="SingleTxtG"/>
        <w:ind w:left="1701"/>
      </w:pPr>
      <w:r>
        <w:t>"</w:t>
      </w:r>
      <w:r w:rsidR="000929EC">
        <w:t xml:space="preserve">- </w:t>
      </w:r>
      <w:r w:rsidR="000929EC" w:rsidRPr="00E1497D">
        <w:t>The equipment should comply with the airflow requirements in cooling mode prescribed in paragraph 3.2.</w:t>
      </w:r>
      <w:r w:rsidR="000929EC">
        <w:t>8</w:t>
      </w:r>
      <w:r w:rsidR="00666C87">
        <w:t>".</w:t>
      </w:r>
    </w:p>
    <w:p w14:paraId="4B5B239E" w14:textId="33427FBA" w:rsidR="000929EC" w:rsidRPr="00B13149" w:rsidRDefault="00666C87" w:rsidP="00666C87">
      <w:pPr>
        <w:pStyle w:val="HChG"/>
      </w:pPr>
      <w:r>
        <w:lastRenderedPageBreak/>
        <w:tab/>
      </w:r>
      <w:r w:rsidR="000929EC">
        <w:t>II.</w:t>
      </w:r>
      <w:r w:rsidR="000929EC">
        <w:tab/>
      </w:r>
      <w:r w:rsidR="000929EC" w:rsidRPr="00B13149">
        <w:t>Annex 1</w:t>
      </w:r>
      <w:r w:rsidR="000929EC">
        <w:t xml:space="preserve">, </w:t>
      </w:r>
      <w:r w:rsidR="000929EC" w:rsidRPr="00B13149">
        <w:t>Appendix 3</w:t>
      </w:r>
    </w:p>
    <w:p w14:paraId="0272346D" w14:textId="13DFD120" w:rsidR="000929EC" w:rsidRDefault="000929EC" w:rsidP="000929EC">
      <w:pPr>
        <w:pStyle w:val="SingleTxtG"/>
      </w:pPr>
      <w:r>
        <w:t>4.</w:t>
      </w:r>
      <w:r>
        <w:tab/>
      </w:r>
      <w:r w:rsidRPr="00584D3D">
        <w:t>The ATP certificate will need to be amended with a new section below in Annex 1, Appendix 3</w:t>
      </w:r>
      <w:r w:rsidR="00FF5339">
        <w:t>.</w:t>
      </w:r>
    </w:p>
    <w:p w14:paraId="7251ECC5" w14:textId="6E75F356" w:rsidR="000929EC" w:rsidRDefault="000929EC" w:rsidP="00FF5339">
      <w:pPr>
        <w:pStyle w:val="SingleTxtG"/>
      </w:pPr>
      <w:r>
        <w:t>"</w:t>
      </w:r>
      <w:r w:rsidRPr="00584D3D">
        <w:t>7.2.6 XX air changes/hour</w:t>
      </w:r>
      <w:r>
        <w:t>"</w:t>
      </w:r>
      <w:r w:rsidR="000C0B9E">
        <w:t>.</w:t>
      </w:r>
    </w:p>
    <w:p w14:paraId="4BF54418" w14:textId="77777777" w:rsidR="000929EC" w:rsidRDefault="000929EC" w:rsidP="000929EC">
      <w:pPr>
        <w:pStyle w:val="SingleTxtG"/>
      </w:pPr>
      <w:r>
        <w:t>5.</w:t>
      </w:r>
      <w:r>
        <w:tab/>
        <w:t>New footnote added after footnote 10:</w:t>
      </w:r>
    </w:p>
    <w:p w14:paraId="1B42274F" w14:textId="5A95E271" w:rsidR="000929EC" w:rsidRPr="00584D3D" w:rsidRDefault="000929EC" w:rsidP="007259A8">
      <w:pPr>
        <w:pStyle w:val="FootnoteText"/>
        <w:tabs>
          <w:tab w:val="clear" w:pos="1021"/>
          <w:tab w:val="right" w:pos="1134"/>
        </w:tabs>
        <w:spacing w:after="240"/>
        <w:ind w:firstLine="0"/>
      </w:pPr>
      <w:r>
        <w:t>"</w:t>
      </w:r>
      <w:r w:rsidRPr="00D17FFD">
        <w:rPr>
          <w:rStyle w:val="FootnoteReference"/>
        </w:rPr>
        <w:t>11</w:t>
      </w:r>
      <w:r>
        <w:tab/>
      </w:r>
      <w:r w:rsidRPr="00584D3D">
        <w:t xml:space="preserve">Where XX is the number of air changes per hour calculated by dividing the total airflow of the </w:t>
      </w:r>
      <w:r>
        <w:t>circulation</w:t>
      </w:r>
      <w:r w:rsidRPr="00584D3D">
        <w:t xml:space="preserve"> fans by the total internal volume of the equipment.</w:t>
      </w:r>
      <w:r>
        <w:t xml:space="preserve"> In the case of multi-compartment equipment with movable bulkheads, the </w:t>
      </w:r>
      <w:r w:rsidRPr="00584D3D">
        <w:t xml:space="preserve">total airflow of </w:t>
      </w:r>
      <w:r>
        <w:t>the</w:t>
      </w:r>
      <w:r w:rsidRPr="00584D3D">
        <w:t xml:space="preserve"> </w:t>
      </w:r>
      <w:r>
        <w:t>circulation</w:t>
      </w:r>
      <w:r w:rsidRPr="00584D3D">
        <w:t xml:space="preserve"> fans</w:t>
      </w:r>
      <w:r>
        <w:t xml:space="preserve"> has to be divided by the maximum internal volume of each compartment."</w:t>
      </w:r>
    </w:p>
    <w:p w14:paraId="53EACC54" w14:textId="77777777" w:rsidR="000929EC" w:rsidRDefault="000929EC" w:rsidP="000929EC">
      <w:pPr>
        <w:pStyle w:val="SingleTxtG"/>
      </w:pPr>
      <w:r>
        <w:t>6.</w:t>
      </w:r>
      <w:r>
        <w:tab/>
      </w:r>
      <w:r w:rsidRPr="00D2504E">
        <w:t>Original footnotes 11 to 15 to be renamed 12 to 16.</w:t>
      </w:r>
    </w:p>
    <w:p w14:paraId="71AD890E" w14:textId="77777777" w:rsidR="000929EC" w:rsidRPr="00B13149" w:rsidRDefault="000929EC" w:rsidP="00A2534E">
      <w:pPr>
        <w:pStyle w:val="HChG"/>
      </w:pPr>
      <w:r>
        <w:tab/>
        <w:t>III.</w:t>
      </w:r>
      <w:r>
        <w:tab/>
      </w:r>
      <w:r w:rsidRPr="00B13149">
        <w:t xml:space="preserve">The </w:t>
      </w:r>
      <w:r w:rsidRPr="00A2534E">
        <w:t>following</w:t>
      </w:r>
      <w:r w:rsidRPr="00B13149">
        <w:t xml:space="preserve"> could be added to the ATP handbook for additional explanation:</w:t>
      </w:r>
    </w:p>
    <w:p w14:paraId="296FD66C" w14:textId="77777777" w:rsidR="000929EC" w:rsidRPr="00B13149" w:rsidRDefault="000929EC" w:rsidP="00F256D8">
      <w:pPr>
        <w:pStyle w:val="SingleTxtG"/>
      </w:pPr>
      <w:r>
        <w:t>"</w:t>
      </w:r>
      <w:r w:rsidRPr="00B13149">
        <w:t xml:space="preserve">Airflow is an essential parameter within temperature-controlled transport. </w:t>
      </w:r>
    </w:p>
    <w:p w14:paraId="4281BC49" w14:textId="77777777" w:rsidR="000929EC" w:rsidRDefault="000929EC" w:rsidP="00F256D8">
      <w:pPr>
        <w:pStyle w:val="SingleTxtG"/>
      </w:pPr>
      <w:r w:rsidRPr="00B13149">
        <w:t>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the set temperature due to freezing or chilling damage. Some chilled cargoes are metabolically active and therefore require higher airflow to remove that heat.</w:t>
      </w:r>
    </w:p>
    <w:p w14:paraId="06210833" w14:textId="77777777" w:rsidR="000929EC" w:rsidRDefault="000929EC" w:rsidP="00F256D8">
      <w:pPr>
        <w:pStyle w:val="SingleTxtG"/>
      </w:pPr>
      <w:r w:rsidRPr="00B13149">
        <w:t>Intermittent fan operation should not be used for sensitive cargo where close temperature distribution is required. Generally, start/stop operation of the unit when the evaporator fans/unit are allowed to cycle sh</w:t>
      </w:r>
      <w:r>
        <w:t xml:space="preserve">all </w:t>
      </w:r>
      <w:r w:rsidRPr="00B13149">
        <w:t>be used only for frozen goods transportation.</w:t>
      </w:r>
    </w:p>
    <w:p w14:paraId="3C445189" w14:textId="77777777" w:rsidR="000929EC" w:rsidRDefault="000929EC" w:rsidP="00A843DD">
      <w:pPr>
        <w:pStyle w:val="SingleTxtG"/>
        <w:spacing w:after="0"/>
      </w:pPr>
      <w:r w:rsidRPr="00584D3D">
        <w:t>Table 1</w:t>
      </w:r>
    </w:p>
    <w:p w14:paraId="23F8D9C6" w14:textId="77777777" w:rsidR="000929EC" w:rsidRDefault="000929EC" w:rsidP="000929EC">
      <w:pPr>
        <w:keepNext/>
        <w:keepLines/>
        <w:spacing w:after="120"/>
        <w:ind w:left="1134" w:right="1133"/>
        <w:jc w:val="both"/>
        <w:rPr>
          <w:rFonts w:asciiTheme="majorBidi" w:hAnsiTheme="majorBidi" w:cstheme="majorBidi"/>
          <w:b/>
          <w:bCs/>
        </w:rPr>
      </w:pPr>
      <w:r w:rsidRPr="000B7CF3">
        <w:rPr>
          <w:rFonts w:asciiTheme="majorBidi" w:hAnsiTheme="majorBidi" w:cstheme="majorBidi"/>
          <w:b/>
          <w:bCs/>
        </w:rPr>
        <w:t>Examples of air flow requirements for temperature sensitive goods</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0929EC" w:rsidRPr="008250C8" w14:paraId="69E9D9AE" w14:textId="77777777" w:rsidTr="00AD512F">
        <w:trPr>
          <w:tblHeader/>
        </w:trPr>
        <w:tc>
          <w:tcPr>
            <w:tcW w:w="2029" w:type="dxa"/>
            <w:gridSpan w:val="2"/>
            <w:tcBorders>
              <w:top w:val="single" w:sz="4" w:space="0" w:color="auto"/>
              <w:bottom w:val="single" w:sz="12" w:space="0" w:color="auto"/>
            </w:tcBorders>
            <w:shd w:val="clear" w:color="auto" w:fill="auto"/>
            <w:vAlign w:val="bottom"/>
            <w:hideMark/>
          </w:tcPr>
          <w:p w14:paraId="1CC75514" w14:textId="77777777" w:rsidR="000929EC" w:rsidRPr="008250C8" w:rsidRDefault="000929EC" w:rsidP="00AD512F">
            <w:pPr>
              <w:autoSpaceDE w:val="0"/>
              <w:autoSpaceDN w:val="0"/>
              <w:adjustRightInd w:val="0"/>
              <w:spacing w:before="80" w:after="80" w:line="200" w:lineRule="exact"/>
              <w:rPr>
                <w:bCs/>
                <w:i/>
                <w:sz w:val="16"/>
                <w:szCs w:val="16"/>
              </w:rPr>
            </w:pPr>
            <w:r w:rsidRPr="008250C8">
              <w:rPr>
                <w:i/>
                <w:sz w:val="16"/>
                <w:szCs w:val="16"/>
              </w:rPr>
              <w:t>Type of goods</w:t>
            </w:r>
          </w:p>
        </w:tc>
        <w:tc>
          <w:tcPr>
            <w:tcW w:w="514" w:type="dxa"/>
            <w:tcBorders>
              <w:top w:val="single" w:sz="4" w:space="0" w:color="auto"/>
              <w:bottom w:val="single" w:sz="12" w:space="0" w:color="auto"/>
            </w:tcBorders>
            <w:shd w:val="clear" w:color="auto" w:fill="auto"/>
            <w:vAlign w:val="bottom"/>
            <w:hideMark/>
          </w:tcPr>
          <w:p w14:paraId="26179312" w14:textId="77777777" w:rsidR="000929EC" w:rsidRPr="008250C8" w:rsidRDefault="000929EC" w:rsidP="00AD512F">
            <w:pPr>
              <w:autoSpaceDE w:val="0"/>
              <w:autoSpaceDN w:val="0"/>
              <w:adjustRightInd w:val="0"/>
              <w:spacing w:before="80" w:after="80" w:line="200" w:lineRule="exact"/>
              <w:jc w:val="right"/>
              <w:rPr>
                <w:bCs/>
                <w:i/>
                <w:sz w:val="16"/>
                <w:szCs w:val="16"/>
              </w:rPr>
            </w:pPr>
            <w:r w:rsidRPr="008250C8">
              <w:rPr>
                <w:i/>
                <w:noProof/>
                <w:sz w:val="16"/>
                <w:szCs w:val="16"/>
                <w:lang w:val="fr-FR"/>
              </w:rPr>
              <w:drawing>
                <wp:inline distT="0" distB="0" distL="0" distR="0" wp14:anchorId="793A4E16" wp14:editId="4CD2A305">
                  <wp:extent cx="18097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096" w:type="dxa"/>
            <w:tcBorders>
              <w:top w:val="single" w:sz="4" w:space="0" w:color="auto"/>
              <w:bottom w:val="single" w:sz="12" w:space="0" w:color="auto"/>
            </w:tcBorders>
            <w:shd w:val="clear" w:color="auto" w:fill="auto"/>
            <w:vAlign w:val="bottom"/>
            <w:hideMark/>
          </w:tcPr>
          <w:p w14:paraId="7171D2DB" w14:textId="77777777" w:rsidR="000929EC" w:rsidRPr="008250C8" w:rsidRDefault="000929EC" w:rsidP="00AD512F">
            <w:pPr>
              <w:autoSpaceDE w:val="0"/>
              <w:autoSpaceDN w:val="0"/>
              <w:adjustRightInd w:val="0"/>
              <w:spacing w:before="80" w:after="80" w:line="200" w:lineRule="exact"/>
              <w:jc w:val="right"/>
              <w:rPr>
                <w:bCs/>
                <w:i/>
                <w:sz w:val="16"/>
                <w:szCs w:val="16"/>
              </w:rPr>
            </w:pPr>
            <w:r w:rsidRPr="008250C8">
              <w:rPr>
                <w:bCs/>
                <w:i/>
                <w:sz w:val="16"/>
                <w:szCs w:val="16"/>
              </w:rPr>
              <w:t>Temperature range</w:t>
            </w:r>
          </w:p>
          <w:p w14:paraId="36B31A0A" w14:textId="77777777" w:rsidR="000929EC" w:rsidRPr="008250C8" w:rsidRDefault="000929EC" w:rsidP="00AD512F">
            <w:pPr>
              <w:autoSpaceDE w:val="0"/>
              <w:autoSpaceDN w:val="0"/>
              <w:adjustRightInd w:val="0"/>
              <w:spacing w:before="80" w:after="80" w:line="200" w:lineRule="exact"/>
              <w:jc w:val="right"/>
              <w:rPr>
                <w:bCs/>
                <w:i/>
                <w:sz w:val="16"/>
                <w:szCs w:val="16"/>
              </w:rPr>
            </w:pPr>
            <w:r w:rsidRPr="008250C8">
              <w:rPr>
                <w:bCs/>
                <w:i/>
                <w:sz w:val="16"/>
                <w:szCs w:val="16"/>
              </w:rPr>
              <w:t>[°C]</w:t>
            </w:r>
          </w:p>
        </w:tc>
        <w:tc>
          <w:tcPr>
            <w:tcW w:w="514" w:type="dxa"/>
            <w:tcBorders>
              <w:top w:val="single" w:sz="4" w:space="0" w:color="auto"/>
              <w:bottom w:val="single" w:sz="12" w:space="0" w:color="auto"/>
            </w:tcBorders>
            <w:shd w:val="clear" w:color="auto" w:fill="auto"/>
            <w:vAlign w:val="bottom"/>
            <w:hideMark/>
          </w:tcPr>
          <w:p w14:paraId="0FFABC7D" w14:textId="77777777" w:rsidR="000929EC" w:rsidRPr="008250C8" w:rsidRDefault="000929EC" w:rsidP="00AD512F">
            <w:pPr>
              <w:autoSpaceDE w:val="0"/>
              <w:autoSpaceDN w:val="0"/>
              <w:adjustRightInd w:val="0"/>
              <w:spacing w:before="80" w:after="80" w:line="200" w:lineRule="exact"/>
              <w:jc w:val="right"/>
              <w:rPr>
                <w:bCs/>
                <w:i/>
                <w:sz w:val="16"/>
                <w:szCs w:val="16"/>
              </w:rPr>
            </w:pPr>
            <w:r w:rsidRPr="008250C8">
              <w:rPr>
                <w:i/>
                <w:noProof/>
                <w:sz w:val="16"/>
                <w:szCs w:val="16"/>
                <w:lang w:val="fr-FR"/>
              </w:rPr>
              <w:drawing>
                <wp:inline distT="0" distB="0" distL="0" distR="0" wp14:anchorId="47C4C890" wp14:editId="634F1CAB">
                  <wp:extent cx="1905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084" w:type="dxa"/>
            <w:gridSpan w:val="2"/>
            <w:tcBorders>
              <w:top w:val="single" w:sz="4" w:space="0" w:color="auto"/>
              <w:bottom w:val="single" w:sz="12" w:space="0" w:color="auto"/>
            </w:tcBorders>
            <w:shd w:val="clear" w:color="auto" w:fill="auto"/>
            <w:vAlign w:val="bottom"/>
            <w:hideMark/>
          </w:tcPr>
          <w:p w14:paraId="211DCC7F" w14:textId="77777777" w:rsidR="000929EC" w:rsidRPr="008250C8" w:rsidRDefault="000929EC" w:rsidP="00AD512F">
            <w:pPr>
              <w:autoSpaceDE w:val="0"/>
              <w:autoSpaceDN w:val="0"/>
              <w:adjustRightInd w:val="0"/>
              <w:spacing w:before="80" w:after="80" w:line="200" w:lineRule="exact"/>
              <w:jc w:val="right"/>
              <w:rPr>
                <w:bCs/>
                <w:i/>
                <w:sz w:val="16"/>
                <w:szCs w:val="16"/>
              </w:rPr>
            </w:pPr>
            <w:r w:rsidRPr="008250C8">
              <w:rPr>
                <w:bCs/>
                <w:i/>
                <w:sz w:val="16"/>
                <w:szCs w:val="16"/>
              </w:rPr>
              <w:t xml:space="preserve">Sensitivity </w:t>
            </w:r>
            <w:r w:rsidRPr="008250C8">
              <w:rPr>
                <w:bCs/>
                <w:i/>
                <w:sz w:val="16"/>
                <w:szCs w:val="16"/>
              </w:rPr>
              <w:br/>
              <w:t>to humidity</w:t>
            </w:r>
          </w:p>
        </w:tc>
        <w:tc>
          <w:tcPr>
            <w:tcW w:w="760" w:type="dxa"/>
            <w:tcBorders>
              <w:top w:val="single" w:sz="4" w:space="0" w:color="auto"/>
              <w:bottom w:val="single" w:sz="12" w:space="0" w:color="auto"/>
            </w:tcBorders>
            <w:shd w:val="clear" w:color="auto" w:fill="auto"/>
            <w:vAlign w:val="bottom"/>
            <w:hideMark/>
          </w:tcPr>
          <w:p w14:paraId="0F3AE9C0" w14:textId="77777777" w:rsidR="000929EC" w:rsidRPr="008250C8" w:rsidRDefault="000929EC" w:rsidP="00AD512F">
            <w:pPr>
              <w:autoSpaceDE w:val="0"/>
              <w:autoSpaceDN w:val="0"/>
              <w:adjustRightInd w:val="0"/>
              <w:spacing w:before="80" w:after="80" w:line="200" w:lineRule="exact"/>
              <w:jc w:val="right"/>
              <w:rPr>
                <w:bCs/>
                <w:i/>
                <w:sz w:val="16"/>
                <w:szCs w:val="16"/>
              </w:rPr>
            </w:pPr>
            <w:r w:rsidRPr="008250C8">
              <w:rPr>
                <w:i/>
                <w:noProof/>
                <w:sz w:val="16"/>
                <w:szCs w:val="16"/>
                <w:lang w:val="fr-FR"/>
              </w:rPr>
              <w:drawing>
                <wp:inline distT="0" distB="0" distL="0" distR="0" wp14:anchorId="6D0BBC96" wp14:editId="764EB8FB">
                  <wp:extent cx="2476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62261469" w14:textId="77777777" w:rsidR="000929EC" w:rsidRPr="008250C8" w:rsidRDefault="000929EC" w:rsidP="00AD512F">
            <w:pPr>
              <w:autoSpaceDE w:val="0"/>
              <w:autoSpaceDN w:val="0"/>
              <w:adjustRightInd w:val="0"/>
              <w:spacing w:before="80" w:after="80" w:line="200" w:lineRule="exact"/>
              <w:jc w:val="right"/>
              <w:rPr>
                <w:bCs/>
                <w:i/>
                <w:sz w:val="16"/>
                <w:szCs w:val="16"/>
              </w:rPr>
            </w:pPr>
            <w:r w:rsidRPr="008250C8">
              <w:rPr>
                <w:bCs/>
                <w:i/>
                <w:sz w:val="16"/>
                <w:szCs w:val="16"/>
              </w:rPr>
              <w:t>Recommended airflow rate [</w:t>
            </w:r>
            <w:r w:rsidRPr="008250C8">
              <w:rPr>
                <w:bCs/>
                <w:i/>
                <w:sz w:val="16"/>
                <w:szCs w:val="24"/>
              </w:rPr>
              <w:t>times/empty volume of equipment]</w:t>
            </w:r>
          </w:p>
        </w:tc>
      </w:tr>
      <w:tr w:rsidR="000929EC" w:rsidRPr="008250C8" w14:paraId="285F1164" w14:textId="77777777" w:rsidTr="00AD512F">
        <w:tc>
          <w:tcPr>
            <w:tcW w:w="1736" w:type="dxa"/>
            <w:tcBorders>
              <w:top w:val="single" w:sz="12" w:space="0" w:color="auto"/>
            </w:tcBorders>
            <w:shd w:val="clear" w:color="auto" w:fill="auto"/>
            <w:hideMark/>
          </w:tcPr>
          <w:p w14:paraId="4B50EABC" w14:textId="77777777" w:rsidR="000929EC" w:rsidRPr="008250C8" w:rsidRDefault="000929EC" w:rsidP="00AD512F">
            <w:pPr>
              <w:autoSpaceDE w:val="0"/>
              <w:autoSpaceDN w:val="0"/>
              <w:adjustRightInd w:val="0"/>
              <w:spacing w:before="40" w:after="40" w:line="220" w:lineRule="exact"/>
              <w:rPr>
                <w:b/>
                <w:sz w:val="18"/>
                <w:szCs w:val="16"/>
              </w:rPr>
            </w:pPr>
            <w:r w:rsidRPr="008250C8">
              <w:rPr>
                <w:b/>
                <w:sz w:val="18"/>
                <w:szCs w:val="16"/>
              </w:rPr>
              <w:t>Hanging meat</w:t>
            </w:r>
          </w:p>
        </w:tc>
        <w:tc>
          <w:tcPr>
            <w:tcW w:w="293" w:type="dxa"/>
            <w:tcBorders>
              <w:top w:val="single" w:sz="12" w:space="0" w:color="auto"/>
            </w:tcBorders>
            <w:shd w:val="clear" w:color="auto" w:fill="auto"/>
          </w:tcPr>
          <w:p w14:paraId="7A4A182B" w14:textId="77777777" w:rsidR="000929EC" w:rsidRPr="008250C8" w:rsidRDefault="000929EC" w:rsidP="00AD512F">
            <w:pPr>
              <w:autoSpaceDE w:val="0"/>
              <w:autoSpaceDN w:val="0"/>
              <w:adjustRightInd w:val="0"/>
              <w:spacing w:before="40" w:after="40" w:line="220" w:lineRule="exact"/>
              <w:rPr>
                <w:b/>
                <w:bCs/>
                <w:sz w:val="18"/>
                <w:szCs w:val="24"/>
                <w:u w:val="single"/>
              </w:rPr>
            </w:pPr>
          </w:p>
        </w:tc>
        <w:tc>
          <w:tcPr>
            <w:tcW w:w="1610" w:type="dxa"/>
            <w:gridSpan w:val="2"/>
            <w:tcBorders>
              <w:top w:val="single" w:sz="12" w:space="0" w:color="auto"/>
            </w:tcBorders>
            <w:shd w:val="clear" w:color="auto" w:fill="auto"/>
            <w:vAlign w:val="bottom"/>
            <w:hideMark/>
          </w:tcPr>
          <w:p w14:paraId="078E1CB7"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-1/+1°C</w:t>
            </w:r>
          </w:p>
        </w:tc>
        <w:tc>
          <w:tcPr>
            <w:tcW w:w="1587" w:type="dxa"/>
            <w:gridSpan w:val="2"/>
            <w:tcBorders>
              <w:top w:val="single" w:sz="12" w:space="0" w:color="auto"/>
            </w:tcBorders>
            <w:shd w:val="clear" w:color="auto" w:fill="auto"/>
            <w:vAlign w:val="bottom"/>
            <w:hideMark/>
          </w:tcPr>
          <w:p w14:paraId="71F04BF4"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tcBorders>
              <w:top w:val="single" w:sz="12" w:space="0" w:color="auto"/>
            </w:tcBorders>
            <w:shd w:val="clear" w:color="auto" w:fill="auto"/>
            <w:vAlign w:val="bottom"/>
            <w:hideMark/>
          </w:tcPr>
          <w:p w14:paraId="2A9EC7AD"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 xml:space="preserve">50 –90 </w:t>
            </w:r>
          </w:p>
        </w:tc>
      </w:tr>
      <w:tr w:rsidR="000929EC" w:rsidRPr="008250C8" w14:paraId="5F97C1D0" w14:textId="77777777" w:rsidTr="00AD512F">
        <w:tc>
          <w:tcPr>
            <w:tcW w:w="1736" w:type="dxa"/>
            <w:shd w:val="clear" w:color="auto" w:fill="auto"/>
            <w:hideMark/>
          </w:tcPr>
          <w:p w14:paraId="622ADF20" w14:textId="77777777" w:rsidR="000929EC" w:rsidRPr="008250C8" w:rsidRDefault="000929EC" w:rsidP="00AD512F">
            <w:pPr>
              <w:autoSpaceDE w:val="0"/>
              <w:autoSpaceDN w:val="0"/>
              <w:adjustRightInd w:val="0"/>
              <w:spacing w:before="40" w:after="40" w:line="220" w:lineRule="exact"/>
              <w:rPr>
                <w:b/>
                <w:sz w:val="18"/>
                <w:szCs w:val="16"/>
              </w:rPr>
            </w:pPr>
            <w:r w:rsidRPr="008250C8">
              <w:rPr>
                <w:b/>
                <w:sz w:val="18"/>
                <w:szCs w:val="16"/>
              </w:rPr>
              <w:t>Chilled products</w:t>
            </w:r>
          </w:p>
        </w:tc>
        <w:tc>
          <w:tcPr>
            <w:tcW w:w="293" w:type="dxa"/>
            <w:shd w:val="clear" w:color="auto" w:fill="auto"/>
          </w:tcPr>
          <w:p w14:paraId="21BEB880" w14:textId="77777777" w:rsidR="000929EC" w:rsidRPr="008250C8" w:rsidRDefault="000929EC" w:rsidP="00AD512F">
            <w:pPr>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2CB8D33A"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-1/+6°C</w:t>
            </w:r>
          </w:p>
        </w:tc>
        <w:tc>
          <w:tcPr>
            <w:tcW w:w="1587" w:type="dxa"/>
            <w:gridSpan w:val="2"/>
            <w:shd w:val="clear" w:color="auto" w:fill="auto"/>
            <w:vAlign w:val="bottom"/>
            <w:hideMark/>
          </w:tcPr>
          <w:p w14:paraId="498C31E9"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shd w:val="clear" w:color="auto" w:fill="auto"/>
            <w:vAlign w:val="bottom"/>
            <w:hideMark/>
          </w:tcPr>
          <w:p w14:paraId="22638952"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 xml:space="preserve">50 – 90 </w:t>
            </w:r>
          </w:p>
        </w:tc>
      </w:tr>
      <w:tr w:rsidR="000929EC" w:rsidRPr="008250C8" w14:paraId="0A569FD5" w14:textId="77777777" w:rsidTr="00AD512F">
        <w:tc>
          <w:tcPr>
            <w:tcW w:w="1736" w:type="dxa"/>
            <w:shd w:val="clear" w:color="auto" w:fill="auto"/>
          </w:tcPr>
          <w:p w14:paraId="5BF33D26" w14:textId="77777777" w:rsidR="000929EC" w:rsidRPr="008250C8" w:rsidRDefault="000929EC" w:rsidP="00AD512F">
            <w:pPr>
              <w:autoSpaceDE w:val="0"/>
              <w:autoSpaceDN w:val="0"/>
              <w:adjustRightInd w:val="0"/>
              <w:spacing w:before="40" w:after="40" w:line="220" w:lineRule="exact"/>
              <w:rPr>
                <w:b/>
                <w:sz w:val="18"/>
                <w:szCs w:val="16"/>
              </w:rPr>
            </w:pPr>
          </w:p>
        </w:tc>
        <w:tc>
          <w:tcPr>
            <w:tcW w:w="293" w:type="dxa"/>
            <w:shd w:val="clear" w:color="auto" w:fill="auto"/>
          </w:tcPr>
          <w:p w14:paraId="1D7DCCEC" w14:textId="77777777" w:rsidR="000929EC" w:rsidRPr="008250C8" w:rsidRDefault="000929EC" w:rsidP="00AD512F">
            <w:pPr>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tcPr>
          <w:p w14:paraId="7E2B45B5" w14:textId="77777777" w:rsidR="000929EC" w:rsidRPr="008250C8" w:rsidRDefault="000929EC" w:rsidP="00AD512F">
            <w:pPr>
              <w:autoSpaceDE w:val="0"/>
              <w:autoSpaceDN w:val="0"/>
              <w:adjustRightInd w:val="0"/>
              <w:spacing w:before="40" w:after="40" w:line="220" w:lineRule="exact"/>
              <w:jc w:val="right"/>
              <w:rPr>
                <w:bCs/>
                <w:sz w:val="18"/>
                <w:szCs w:val="24"/>
              </w:rPr>
            </w:pPr>
          </w:p>
        </w:tc>
        <w:tc>
          <w:tcPr>
            <w:tcW w:w="1587" w:type="dxa"/>
            <w:gridSpan w:val="2"/>
            <w:shd w:val="clear" w:color="auto" w:fill="auto"/>
            <w:vAlign w:val="bottom"/>
          </w:tcPr>
          <w:p w14:paraId="5D1E37FF" w14:textId="77777777" w:rsidR="000929EC" w:rsidRPr="008250C8" w:rsidRDefault="000929EC" w:rsidP="00AD512F">
            <w:pPr>
              <w:autoSpaceDE w:val="0"/>
              <w:autoSpaceDN w:val="0"/>
              <w:adjustRightInd w:val="0"/>
              <w:spacing w:before="40" w:after="40" w:line="220" w:lineRule="exact"/>
              <w:jc w:val="right"/>
              <w:rPr>
                <w:bCs/>
                <w:sz w:val="18"/>
                <w:szCs w:val="24"/>
              </w:rPr>
            </w:pPr>
          </w:p>
        </w:tc>
        <w:tc>
          <w:tcPr>
            <w:tcW w:w="2144" w:type="dxa"/>
            <w:gridSpan w:val="3"/>
            <w:shd w:val="clear" w:color="auto" w:fill="auto"/>
            <w:vAlign w:val="bottom"/>
          </w:tcPr>
          <w:p w14:paraId="6B572C97" w14:textId="77777777" w:rsidR="000929EC" w:rsidRPr="008250C8" w:rsidRDefault="000929EC" w:rsidP="00AD512F">
            <w:pPr>
              <w:autoSpaceDE w:val="0"/>
              <w:autoSpaceDN w:val="0"/>
              <w:adjustRightInd w:val="0"/>
              <w:spacing w:before="40" w:after="40" w:line="220" w:lineRule="exact"/>
              <w:jc w:val="right"/>
              <w:rPr>
                <w:bCs/>
                <w:sz w:val="18"/>
                <w:szCs w:val="24"/>
              </w:rPr>
            </w:pPr>
          </w:p>
        </w:tc>
      </w:tr>
      <w:tr w:rsidR="000929EC" w:rsidRPr="008250C8" w14:paraId="64AF5480" w14:textId="77777777" w:rsidTr="00AD512F">
        <w:tc>
          <w:tcPr>
            <w:tcW w:w="1736" w:type="dxa"/>
            <w:shd w:val="clear" w:color="auto" w:fill="auto"/>
            <w:hideMark/>
          </w:tcPr>
          <w:p w14:paraId="383E7556" w14:textId="77777777" w:rsidR="000929EC" w:rsidRPr="008250C8" w:rsidRDefault="000929EC" w:rsidP="00AD512F">
            <w:pPr>
              <w:autoSpaceDE w:val="0"/>
              <w:autoSpaceDN w:val="0"/>
              <w:adjustRightInd w:val="0"/>
              <w:spacing w:before="40" w:after="40" w:line="220" w:lineRule="exact"/>
              <w:rPr>
                <w:b/>
                <w:sz w:val="18"/>
                <w:szCs w:val="16"/>
              </w:rPr>
            </w:pPr>
            <w:r w:rsidRPr="008250C8">
              <w:rPr>
                <w:b/>
                <w:sz w:val="18"/>
                <w:szCs w:val="16"/>
              </w:rPr>
              <w:t>Frozen foods</w:t>
            </w:r>
          </w:p>
        </w:tc>
        <w:tc>
          <w:tcPr>
            <w:tcW w:w="293" w:type="dxa"/>
            <w:shd w:val="clear" w:color="auto" w:fill="auto"/>
          </w:tcPr>
          <w:p w14:paraId="4F283E9B" w14:textId="77777777" w:rsidR="000929EC" w:rsidRPr="008250C8" w:rsidRDefault="000929EC" w:rsidP="00AD512F">
            <w:pPr>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55F69C65"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&lt; -18°C</w:t>
            </w:r>
          </w:p>
        </w:tc>
        <w:tc>
          <w:tcPr>
            <w:tcW w:w="1587" w:type="dxa"/>
            <w:gridSpan w:val="2"/>
            <w:shd w:val="clear" w:color="auto" w:fill="auto"/>
            <w:vAlign w:val="bottom"/>
            <w:hideMark/>
          </w:tcPr>
          <w:p w14:paraId="70DAB198"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No</w:t>
            </w:r>
          </w:p>
        </w:tc>
        <w:tc>
          <w:tcPr>
            <w:tcW w:w="2144" w:type="dxa"/>
            <w:gridSpan w:val="3"/>
            <w:shd w:val="clear" w:color="auto" w:fill="auto"/>
            <w:vAlign w:val="bottom"/>
            <w:hideMark/>
          </w:tcPr>
          <w:p w14:paraId="10DC0B6F"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 xml:space="preserve">40 – 60 </w:t>
            </w:r>
          </w:p>
        </w:tc>
      </w:tr>
      <w:tr w:rsidR="000929EC" w:rsidRPr="008250C8" w14:paraId="7406DFCB" w14:textId="77777777" w:rsidTr="00AD512F">
        <w:tc>
          <w:tcPr>
            <w:tcW w:w="1736" w:type="dxa"/>
            <w:tcBorders>
              <w:bottom w:val="single" w:sz="12" w:space="0" w:color="auto"/>
            </w:tcBorders>
            <w:shd w:val="clear" w:color="auto" w:fill="auto"/>
            <w:hideMark/>
          </w:tcPr>
          <w:p w14:paraId="35498EAA" w14:textId="77777777" w:rsidR="000929EC" w:rsidRPr="008250C8" w:rsidRDefault="000929EC" w:rsidP="00AD512F">
            <w:pPr>
              <w:autoSpaceDE w:val="0"/>
              <w:autoSpaceDN w:val="0"/>
              <w:adjustRightInd w:val="0"/>
              <w:spacing w:before="40" w:after="40" w:line="220" w:lineRule="exact"/>
              <w:rPr>
                <w:b/>
                <w:sz w:val="18"/>
                <w:szCs w:val="16"/>
              </w:rPr>
            </w:pPr>
            <w:r w:rsidRPr="008250C8">
              <w:rPr>
                <w:b/>
                <w:sz w:val="18"/>
                <w:szCs w:val="16"/>
              </w:rPr>
              <w:t xml:space="preserve">Ice cream </w:t>
            </w:r>
          </w:p>
        </w:tc>
        <w:tc>
          <w:tcPr>
            <w:tcW w:w="293" w:type="dxa"/>
            <w:tcBorders>
              <w:bottom w:val="single" w:sz="12" w:space="0" w:color="auto"/>
            </w:tcBorders>
            <w:shd w:val="clear" w:color="auto" w:fill="auto"/>
          </w:tcPr>
          <w:p w14:paraId="61F2D344" w14:textId="77777777" w:rsidR="000929EC" w:rsidRPr="008250C8" w:rsidRDefault="000929EC" w:rsidP="00AD512F">
            <w:pPr>
              <w:autoSpaceDE w:val="0"/>
              <w:autoSpaceDN w:val="0"/>
              <w:adjustRightInd w:val="0"/>
              <w:spacing w:before="40" w:after="40" w:line="220" w:lineRule="exact"/>
              <w:rPr>
                <w:b/>
                <w:bCs/>
                <w:sz w:val="18"/>
                <w:szCs w:val="24"/>
                <w:u w:val="single"/>
              </w:rPr>
            </w:pPr>
          </w:p>
        </w:tc>
        <w:tc>
          <w:tcPr>
            <w:tcW w:w="1610" w:type="dxa"/>
            <w:gridSpan w:val="2"/>
            <w:tcBorders>
              <w:bottom w:val="single" w:sz="12" w:space="0" w:color="auto"/>
            </w:tcBorders>
            <w:shd w:val="clear" w:color="auto" w:fill="auto"/>
            <w:vAlign w:val="bottom"/>
            <w:hideMark/>
          </w:tcPr>
          <w:p w14:paraId="3B9FCACB"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 xml:space="preserve">&lt; -20 °C </w:t>
            </w:r>
          </w:p>
        </w:tc>
        <w:tc>
          <w:tcPr>
            <w:tcW w:w="1587" w:type="dxa"/>
            <w:gridSpan w:val="2"/>
            <w:tcBorders>
              <w:bottom w:val="single" w:sz="12" w:space="0" w:color="auto"/>
            </w:tcBorders>
            <w:shd w:val="clear" w:color="auto" w:fill="auto"/>
            <w:vAlign w:val="bottom"/>
            <w:hideMark/>
          </w:tcPr>
          <w:p w14:paraId="7C33A795"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low</w:t>
            </w:r>
          </w:p>
        </w:tc>
        <w:tc>
          <w:tcPr>
            <w:tcW w:w="2144" w:type="dxa"/>
            <w:gridSpan w:val="3"/>
            <w:tcBorders>
              <w:bottom w:val="single" w:sz="12" w:space="0" w:color="auto"/>
            </w:tcBorders>
            <w:shd w:val="clear" w:color="auto" w:fill="auto"/>
            <w:vAlign w:val="bottom"/>
            <w:hideMark/>
          </w:tcPr>
          <w:p w14:paraId="64B0F72A" w14:textId="77777777" w:rsidR="000929EC" w:rsidRPr="008250C8" w:rsidRDefault="000929EC" w:rsidP="00AD512F">
            <w:pPr>
              <w:autoSpaceDE w:val="0"/>
              <w:autoSpaceDN w:val="0"/>
              <w:adjustRightInd w:val="0"/>
              <w:spacing w:before="40" w:after="40" w:line="220" w:lineRule="exact"/>
              <w:jc w:val="right"/>
              <w:rPr>
                <w:bCs/>
                <w:sz w:val="18"/>
                <w:szCs w:val="24"/>
              </w:rPr>
            </w:pPr>
            <w:r w:rsidRPr="008250C8">
              <w:rPr>
                <w:bCs/>
                <w:sz w:val="18"/>
                <w:szCs w:val="24"/>
              </w:rPr>
              <w:t>40 – 60</w:t>
            </w:r>
          </w:p>
        </w:tc>
      </w:tr>
    </w:tbl>
    <w:p w14:paraId="46C47145" w14:textId="77777777" w:rsidR="000929EC" w:rsidRPr="007515A2" w:rsidRDefault="000929EC" w:rsidP="000929EC">
      <w:pPr>
        <w:pStyle w:val="HChG"/>
        <w:keepNext w:val="0"/>
        <w:keepLines w:val="0"/>
        <w:ind w:left="0" w:firstLine="0"/>
        <w:rPr>
          <w:rFonts w:asciiTheme="majorBidi" w:eastAsiaTheme="minorEastAsia" w:hAnsiTheme="majorBidi" w:cstheme="majorBidi"/>
          <w:b w:val="0"/>
          <w:sz w:val="20"/>
        </w:rPr>
      </w:pPr>
      <w:r>
        <w:rPr>
          <w:rFonts w:asciiTheme="majorBidi" w:eastAsiaTheme="minorEastAsia" w:hAnsiTheme="majorBidi" w:cstheme="majorBidi"/>
          <w:b w:val="0"/>
          <w:sz w:val="20"/>
        </w:rPr>
        <w:t>"</w:t>
      </w:r>
    </w:p>
    <w:p w14:paraId="725B5664" w14:textId="47B517A4" w:rsidR="00FD2B7D" w:rsidRPr="00A843DD" w:rsidRDefault="00A843DD" w:rsidP="00A843DD">
      <w:pPr>
        <w:spacing w:before="240"/>
        <w:jc w:val="center"/>
        <w:rPr>
          <w:u w:val="single"/>
        </w:rPr>
      </w:pPr>
      <w:r>
        <w:rPr>
          <w:u w:val="single"/>
        </w:rPr>
        <w:tab/>
      </w:r>
      <w:r>
        <w:rPr>
          <w:u w:val="single"/>
        </w:rPr>
        <w:tab/>
      </w:r>
      <w:r>
        <w:rPr>
          <w:u w:val="single"/>
        </w:rPr>
        <w:tab/>
      </w:r>
    </w:p>
    <w:sectPr w:rsidR="00FD2B7D" w:rsidRPr="00A843DD" w:rsidSect="00C83B36">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6B62" w14:textId="77777777" w:rsidR="001B35C7" w:rsidRPr="00FB1744" w:rsidRDefault="001B35C7" w:rsidP="00FB1744">
      <w:pPr>
        <w:pStyle w:val="Footer"/>
      </w:pPr>
    </w:p>
  </w:endnote>
  <w:endnote w:type="continuationSeparator" w:id="0">
    <w:p w14:paraId="47C7FED6" w14:textId="77777777" w:rsidR="001B35C7" w:rsidRPr="00FB1744" w:rsidRDefault="001B35C7" w:rsidP="00FB1744">
      <w:pPr>
        <w:pStyle w:val="Footer"/>
      </w:pPr>
    </w:p>
  </w:endnote>
  <w:endnote w:type="continuationNotice" w:id="1">
    <w:p w14:paraId="2BF0FB23" w14:textId="77777777" w:rsidR="001B35C7" w:rsidRDefault="001B35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613A" w14:textId="77777777" w:rsidR="001B35C7" w:rsidRPr="00FB1744" w:rsidRDefault="001B35C7" w:rsidP="00FB1744">
      <w:pPr>
        <w:tabs>
          <w:tab w:val="right" w:pos="2155"/>
        </w:tabs>
        <w:spacing w:after="80" w:line="240" w:lineRule="auto"/>
        <w:ind w:left="680"/>
      </w:pPr>
      <w:r>
        <w:rPr>
          <w:u w:val="single"/>
        </w:rPr>
        <w:tab/>
      </w:r>
    </w:p>
  </w:footnote>
  <w:footnote w:type="continuationSeparator" w:id="0">
    <w:p w14:paraId="18E4F3B8" w14:textId="77777777" w:rsidR="001B35C7" w:rsidRPr="00FB1744" w:rsidRDefault="001B35C7" w:rsidP="00FB1744">
      <w:pPr>
        <w:tabs>
          <w:tab w:val="right" w:pos="2155"/>
        </w:tabs>
        <w:spacing w:after="80" w:line="240" w:lineRule="auto"/>
        <w:ind w:left="680"/>
      </w:pPr>
      <w:r>
        <w:rPr>
          <w:u w:val="single"/>
        </w:rPr>
        <w:tab/>
      </w:r>
    </w:p>
  </w:footnote>
  <w:footnote w:type="continuationNotice" w:id="1">
    <w:p w14:paraId="54032C0E" w14:textId="77777777" w:rsidR="001B35C7" w:rsidRDefault="001B35C7">
      <w:pPr>
        <w:spacing w:line="240" w:lineRule="auto"/>
      </w:pPr>
    </w:p>
  </w:footnote>
  <w:footnote w:id="2">
    <w:p w14:paraId="451B6401" w14:textId="15FE0748" w:rsidR="000929EC" w:rsidRDefault="003E42E5" w:rsidP="000929EC">
      <w:pPr>
        <w:pStyle w:val="FootnoteText"/>
        <w:rPr>
          <w:lang w:val="en-US"/>
        </w:rPr>
      </w:pPr>
      <w:r>
        <w:tab/>
      </w:r>
      <w:r w:rsidR="000929EC" w:rsidRPr="003E42E5">
        <w:rPr>
          <w:rStyle w:val="FootnoteReference"/>
        </w:rPr>
        <w:footnoteRef/>
      </w:r>
      <w:r w:rsidR="000929EC" w:rsidRPr="003E42E5">
        <w:rPr>
          <w:rStyle w:val="FootnoteReference"/>
        </w:rPr>
        <w:tab/>
      </w:r>
      <w:r w:rsidR="000929EC">
        <w:rPr>
          <w:lang w:val="en-US"/>
        </w:rPr>
        <w:t>Applies to equipment manufactured after (DD MM YEAR)</w:t>
      </w:r>
    </w:p>
    <w:p w14:paraId="46D846B7" w14:textId="313DE3E3" w:rsidR="000929EC" w:rsidRPr="00B3574B" w:rsidRDefault="000929EC" w:rsidP="000929EC">
      <w:pPr>
        <w:pStyle w:val="FootnoteText"/>
        <w:rPr>
          <w:lang w:val="en-US"/>
        </w:rPr>
      </w:pPr>
      <w:r>
        <w:rPr>
          <w:lang w:val="en-US"/>
        </w:rPr>
        <w:tab/>
      </w:r>
      <w:r w:rsidRPr="00D12491">
        <w:rPr>
          <w:rStyle w:val="FootnoteReference"/>
        </w:rPr>
        <w:t>2</w:t>
      </w:r>
      <w:r w:rsidR="00D12491">
        <w:tab/>
      </w:r>
      <w:r>
        <w:rPr>
          <w:lang w:val="en-US"/>
        </w:rPr>
        <w:t xml:space="preserve">Containers can be </w:t>
      </w:r>
      <w:r>
        <w:t>demountable bodies of lorries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534BC8E0" w:rsidR="002D18CF" w:rsidRPr="000C2B80" w:rsidRDefault="000C2B80" w:rsidP="002D18CF">
    <w:pPr>
      <w:pStyle w:val="Header"/>
      <w:rPr>
        <w:lang w:val="fr-CH"/>
      </w:rPr>
    </w:pPr>
    <w:r>
      <w:rPr>
        <w:lang w:val="fr-CH"/>
      </w:rPr>
      <w:t>INF.</w:t>
    </w:r>
    <w:r w:rsidR="00666C87">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057E946D" w:rsidR="002D18CF" w:rsidRPr="000C2B80" w:rsidRDefault="000C2B80" w:rsidP="002D18CF">
    <w:pPr>
      <w:pStyle w:val="Header"/>
      <w:jc w:val="right"/>
      <w:rPr>
        <w:lang w:val="fr-CH"/>
      </w:rPr>
    </w:pPr>
    <w:r>
      <w:rPr>
        <w:lang w:val="fr-CH"/>
      </w:rPr>
      <w:t>INF.</w:t>
    </w:r>
    <w:r w:rsidR="00231E6A">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9D0F80"/>
    <w:multiLevelType w:val="hybridMultilevel"/>
    <w:tmpl w:val="8070D57C"/>
    <w:lvl w:ilvl="0" w:tplc="3DEA94B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307112F5"/>
    <w:multiLevelType w:val="hybridMultilevel"/>
    <w:tmpl w:val="36BE763C"/>
    <w:lvl w:ilvl="0" w:tplc="CF9AF4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0"/>
  </w:num>
  <w:num w:numId="4">
    <w:abstractNumId w:val="24"/>
  </w:num>
  <w:num w:numId="5">
    <w:abstractNumId w:val="25"/>
  </w:num>
  <w:num w:numId="6">
    <w:abstractNumId w:val="32"/>
  </w:num>
  <w:num w:numId="7">
    <w:abstractNumId w:val="14"/>
  </w:num>
  <w:num w:numId="8">
    <w:abstractNumId w:val="18"/>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21"/>
  </w:num>
  <w:num w:numId="21">
    <w:abstractNumId w:val="16"/>
  </w:num>
  <w:num w:numId="22">
    <w:abstractNumId w:val="26"/>
  </w:num>
  <w:num w:numId="23">
    <w:abstractNumId w:val="31"/>
  </w:num>
  <w:num w:numId="24">
    <w:abstractNumId w:val="12"/>
  </w:num>
  <w:num w:numId="25">
    <w:abstractNumId w:val="30"/>
  </w:num>
  <w:num w:numId="26">
    <w:abstractNumId w:val="23"/>
  </w:num>
  <w:num w:numId="27">
    <w:abstractNumId w:val="27"/>
  </w:num>
  <w:num w:numId="28">
    <w:abstractNumId w:val="11"/>
  </w:num>
  <w:num w:numId="29">
    <w:abstractNumId w:val="29"/>
  </w:num>
  <w:num w:numId="30">
    <w:abstractNumId w:val="22"/>
  </w:num>
  <w:num w:numId="31">
    <w:abstractNumId w:val="28"/>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16C3D"/>
    <w:rsid w:val="00046E92"/>
    <w:rsid w:val="00087AD8"/>
    <w:rsid w:val="000929EC"/>
    <w:rsid w:val="00095A51"/>
    <w:rsid w:val="000A1B63"/>
    <w:rsid w:val="000B664C"/>
    <w:rsid w:val="000C0B9E"/>
    <w:rsid w:val="000C29EF"/>
    <w:rsid w:val="000C2B80"/>
    <w:rsid w:val="000C5F61"/>
    <w:rsid w:val="000D1B89"/>
    <w:rsid w:val="000D5091"/>
    <w:rsid w:val="000F3FDC"/>
    <w:rsid w:val="0010142E"/>
    <w:rsid w:val="0011479F"/>
    <w:rsid w:val="001170DC"/>
    <w:rsid w:val="00121E4B"/>
    <w:rsid w:val="00137BC0"/>
    <w:rsid w:val="00151DCB"/>
    <w:rsid w:val="0018353A"/>
    <w:rsid w:val="001A09F4"/>
    <w:rsid w:val="001B35C7"/>
    <w:rsid w:val="001C2868"/>
    <w:rsid w:val="001C4519"/>
    <w:rsid w:val="001C5536"/>
    <w:rsid w:val="001D3ADF"/>
    <w:rsid w:val="001E105A"/>
    <w:rsid w:val="001E391D"/>
    <w:rsid w:val="001E4853"/>
    <w:rsid w:val="00202A4B"/>
    <w:rsid w:val="002270AC"/>
    <w:rsid w:val="00231E6A"/>
    <w:rsid w:val="00232D39"/>
    <w:rsid w:val="002340E4"/>
    <w:rsid w:val="002366EF"/>
    <w:rsid w:val="00247E2C"/>
    <w:rsid w:val="0025661E"/>
    <w:rsid w:val="00282508"/>
    <w:rsid w:val="00283D1E"/>
    <w:rsid w:val="0028427D"/>
    <w:rsid w:val="00295CD8"/>
    <w:rsid w:val="00296B65"/>
    <w:rsid w:val="002B753F"/>
    <w:rsid w:val="002C6C83"/>
    <w:rsid w:val="002D18CF"/>
    <w:rsid w:val="002D439F"/>
    <w:rsid w:val="002D6C53"/>
    <w:rsid w:val="002E175E"/>
    <w:rsid w:val="002E17A8"/>
    <w:rsid w:val="002E6652"/>
    <w:rsid w:val="002F4031"/>
    <w:rsid w:val="002F5595"/>
    <w:rsid w:val="002F56B7"/>
    <w:rsid w:val="002F71F3"/>
    <w:rsid w:val="003079F0"/>
    <w:rsid w:val="0032099E"/>
    <w:rsid w:val="00334F6A"/>
    <w:rsid w:val="00342AC8"/>
    <w:rsid w:val="003B4550"/>
    <w:rsid w:val="003C0A45"/>
    <w:rsid w:val="003E42E5"/>
    <w:rsid w:val="003F1DFF"/>
    <w:rsid w:val="00417397"/>
    <w:rsid w:val="0041767D"/>
    <w:rsid w:val="004255FE"/>
    <w:rsid w:val="00426FA2"/>
    <w:rsid w:val="004276BF"/>
    <w:rsid w:val="0043448D"/>
    <w:rsid w:val="00456087"/>
    <w:rsid w:val="00461253"/>
    <w:rsid w:val="00461F59"/>
    <w:rsid w:val="00474925"/>
    <w:rsid w:val="004934C6"/>
    <w:rsid w:val="005042C2"/>
    <w:rsid w:val="00506C12"/>
    <w:rsid w:val="00552466"/>
    <w:rsid w:val="0056599A"/>
    <w:rsid w:val="00587690"/>
    <w:rsid w:val="005A3345"/>
    <w:rsid w:val="005B08D1"/>
    <w:rsid w:val="005C1032"/>
    <w:rsid w:val="005C70FF"/>
    <w:rsid w:val="005D024A"/>
    <w:rsid w:val="005D4454"/>
    <w:rsid w:val="005F06F2"/>
    <w:rsid w:val="005F7003"/>
    <w:rsid w:val="0060012D"/>
    <w:rsid w:val="006079CB"/>
    <w:rsid w:val="00623CD9"/>
    <w:rsid w:val="00657B07"/>
    <w:rsid w:val="006604B7"/>
    <w:rsid w:val="00666C87"/>
    <w:rsid w:val="00671529"/>
    <w:rsid w:val="00687DFE"/>
    <w:rsid w:val="006A6344"/>
    <w:rsid w:val="006B24B4"/>
    <w:rsid w:val="006B329A"/>
    <w:rsid w:val="006C0D53"/>
    <w:rsid w:val="006E6D4D"/>
    <w:rsid w:val="006F0113"/>
    <w:rsid w:val="006F40C3"/>
    <w:rsid w:val="00703BBD"/>
    <w:rsid w:val="007062EE"/>
    <w:rsid w:val="00710E0A"/>
    <w:rsid w:val="00712157"/>
    <w:rsid w:val="00717266"/>
    <w:rsid w:val="007259A8"/>
    <w:rsid w:val="007268F9"/>
    <w:rsid w:val="007456D8"/>
    <w:rsid w:val="00761D32"/>
    <w:rsid w:val="00770E69"/>
    <w:rsid w:val="00773619"/>
    <w:rsid w:val="00780A81"/>
    <w:rsid w:val="007A14F7"/>
    <w:rsid w:val="007C52B0"/>
    <w:rsid w:val="007E3E3A"/>
    <w:rsid w:val="007F0335"/>
    <w:rsid w:val="00803D0E"/>
    <w:rsid w:val="00813AC3"/>
    <w:rsid w:val="00856C4D"/>
    <w:rsid w:val="00863A7C"/>
    <w:rsid w:val="008B58EF"/>
    <w:rsid w:val="008D060F"/>
    <w:rsid w:val="008E1EB4"/>
    <w:rsid w:val="00901D57"/>
    <w:rsid w:val="009411B4"/>
    <w:rsid w:val="00974820"/>
    <w:rsid w:val="0097656C"/>
    <w:rsid w:val="00994049"/>
    <w:rsid w:val="009A1A36"/>
    <w:rsid w:val="009A407F"/>
    <w:rsid w:val="009A63F6"/>
    <w:rsid w:val="009D0139"/>
    <w:rsid w:val="009D6E44"/>
    <w:rsid w:val="009E4218"/>
    <w:rsid w:val="009E6429"/>
    <w:rsid w:val="009F5CDC"/>
    <w:rsid w:val="00A00A27"/>
    <w:rsid w:val="00A032EB"/>
    <w:rsid w:val="00A03F5A"/>
    <w:rsid w:val="00A068BC"/>
    <w:rsid w:val="00A10EF0"/>
    <w:rsid w:val="00A16820"/>
    <w:rsid w:val="00A2534E"/>
    <w:rsid w:val="00A429CD"/>
    <w:rsid w:val="00A56530"/>
    <w:rsid w:val="00A623BC"/>
    <w:rsid w:val="00A64C7A"/>
    <w:rsid w:val="00A7359C"/>
    <w:rsid w:val="00A775CF"/>
    <w:rsid w:val="00A80F59"/>
    <w:rsid w:val="00A843DD"/>
    <w:rsid w:val="00A876C8"/>
    <w:rsid w:val="00A93119"/>
    <w:rsid w:val="00AB3C7E"/>
    <w:rsid w:val="00AC33BC"/>
    <w:rsid w:val="00AE710D"/>
    <w:rsid w:val="00B05F81"/>
    <w:rsid w:val="00B06045"/>
    <w:rsid w:val="00B11CBD"/>
    <w:rsid w:val="00B31EC6"/>
    <w:rsid w:val="00B36CBE"/>
    <w:rsid w:val="00B37C79"/>
    <w:rsid w:val="00B4553E"/>
    <w:rsid w:val="00B662C1"/>
    <w:rsid w:val="00B7096E"/>
    <w:rsid w:val="00B72FD7"/>
    <w:rsid w:val="00B768C2"/>
    <w:rsid w:val="00B90F85"/>
    <w:rsid w:val="00B95EF6"/>
    <w:rsid w:val="00BA6DE9"/>
    <w:rsid w:val="00BB16E9"/>
    <w:rsid w:val="00BD3E34"/>
    <w:rsid w:val="00BF7E2B"/>
    <w:rsid w:val="00C1442D"/>
    <w:rsid w:val="00C35A27"/>
    <w:rsid w:val="00C54041"/>
    <w:rsid w:val="00C75FEC"/>
    <w:rsid w:val="00C80A37"/>
    <w:rsid w:val="00C83B36"/>
    <w:rsid w:val="00C94CCC"/>
    <w:rsid w:val="00CB00E9"/>
    <w:rsid w:val="00CB78BA"/>
    <w:rsid w:val="00CC2E0B"/>
    <w:rsid w:val="00CC6247"/>
    <w:rsid w:val="00CD08A2"/>
    <w:rsid w:val="00CD5661"/>
    <w:rsid w:val="00CF36F8"/>
    <w:rsid w:val="00D12491"/>
    <w:rsid w:val="00D56775"/>
    <w:rsid w:val="00DA0C9F"/>
    <w:rsid w:val="00DE33BB"/>
    <w:rsid w:val="00DF2399"/>
    <w:rsid w:val="00E00163"/>
    <w:rsid w:val="00E02C2B"/>
    <w:rsid w:val="00E05DDE"/>
    <w:rsid w:val="00E17FF0"/>
    <w:rsid w:val="00E229A7"/>
    <w:rsid w:val="00E7067E"/>
    <w:rsid w:val="00EA30C2"/>
    <w:rsid w:val="00EB3BEF"/>
    <w:rsid w:val="00EB4157"/>
    <w:rsid w:val="00EC3BE2"/>
    <w:rsid w:val="00ED6C48"/>
    <w:rsid w:val="00EE1402"/>
    <w:rsid w:val="00EF5F4B"/>
    <w:rsid w:val="00F256D8"/>
    <w:rsid w:val="00F6207A"/>
    <w:rsid w:val="00F65DAA"/>
    <w:rsid w:val="00F65F5D"/>
    <w:rsid w:val="00F86A3A"/>
    <w:rsid w:val="00F90144"/>
    <w:rsid w:val="00FB1744"/>
    <w:rsid w:val="00FB76D1"/>
    <w:rsid w:val="00FB7F41"/>
    <w:rsid w:val="00FC04AB"/>
    <w:rsid w:val="00FD2B7D"/>
    <w:rsid w:val="00FD3165"/>
    <w:rsid w:val="00FE4C2E"/>
    <w:rsid w:val="00FE70A2"/>
    <w:rsid w:val="00FF2D3C"/>
    <w:rsid w:val="00FF53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8D7E7F19-4ADA-4B87-BFA7-70EEAF2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B25486E6-2B4B-49B6-B4BF-471A48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556</Words>
  <Characters>3170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ND</cp:lastModifiedBy>
  <cp:revision>32</cp:revision>
  <dcterms:created xsi:type="dcterms:W3CDTF">2022-10-26T20:45:00Z</dcterms:created>
  <dcterms:modified xsi:type="dcterms:W3CDTF">2022-10-26T21:21:00Z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