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722C6C50" w14:textId="77777777" w:rsidTr="005316B0">
        <w:trPr>
          <w:trHeight w:hRule="exact" w:val="851"/>
        </w:trPr>
        <w:tc>
          <w:tcPr>
            <w:tcW w:w="1276" w:type="dxa"/>
            <w:tcBorders>
              <w:bottom w:val="single" w:sz="4" w:space="0" w:color="auto"/>
            </w:tcBorders>
          </w:tcPr>
          <w:p w14:paraId="06A36F42" w14:textId="77777777" w:rsidR="001433FD" w:rsidRPr="00DB58B5" w:rsidRDefault="001433FD" w:rsidP="0001207F"/>
        </w:tc>
        <w:tc>
          <w:tcPr>
            <w:tcW w:w="2268" w:type="dxa"/>
            <w:tcBorders>
              <w:bottom w:val="single" w:sz="4" w:space="0" w:color="auto"/>
            </w:tcBorders>
            <w:vAlign w:val="bottom"/>
          </w:tcPr>
          <w:p w14:paraId="46EFF52B"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E9D4351" w14:textId="5CFEBF3E" w:rsidR="001433FD" w:rsidRPr="00E94547" w:rsidRDefault="00E94547" w:rsidP="00E94547">
            <w:pPr>
              <w:jc w:val="right"/>
            </w:pPr>
            <w:r w:rsidRPr="00E94547">
              <w:rPr>
                <w:sz w:val="40"/>
              </w:rPr>
              <w:t>ECE</w:t>
            </w:r>
            <w:r>
              <w:t>/TRANS/WP.11/2022/15</w:t>
            </w:r>
          </w:p>
        </w:tc>
      </w:tr>
      <w:tr w:rsidR="001433FD" w:rsidRPr="00DB58B5" w14:paraId="40EB740B" w14:textId="77777777" w:rsidTr="007D3236">
        <w:trPr>
          <w:trHeight w:hRule="exact" w:val="2835"/>
        </w:trPr>
        <w:tc>
          <w:tcPr>
            <w:tcW w:w="1276" w:type="dxa"/>
            <w:tcBorders>
              <w:top w:val="single" w:sz="4" w:space="0" w:color="auto"/>
              <w:bottom w:val="single" w:sz="12" w:space="0" w:color="auto"/>
            </w:tcBorders>
          </w:tcPr>
          <w:p w14:paraId="2D443CDD" w14:textId="77777777" w:rsidR="001433FD" w:rsidRPr="00DB58B5" w:rsidRDefault="001433FD" w:rsidP="007D3236">
            <w:pPr>
              <w:spacing w:before="120"/>
              <w:jc w:val="center"/>
            </w:pPr>
            <w:r>
              <w:rPr>
                <w:noProof/>
                <w:lang w:eastAsia="fr-CH"/>
              </w:rPr>
              <w:drawing>
                <wp:inline distT="0" distB="0" distL="0" distR="0" wp14:anchorId="6F967CDE" wp14:editId="7B4151F9">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DFB13E"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99F71E2" w14:textId="77777777" w:rsidR="0001207F" w:rsidRDefault="00C62FA4" w:rsidP="00C62FA4">
            <w:pPr>
              <w:spacing w:before="240" w:line="240" w:lineRule="exact"/>
            </w:pPr>
            <w:proofErr w:type="spellStart"/>
            <w:r>
              <w:t>Distr</w:t>
            </w:r>
            <w:proofErr w:type="spellEnd"/>
            <w:r>
              <w:t>. général</w:t>
            </w:r>
          </w:p>
          <w:p w14:paraId="74E0ED8C" w14:textId="77777777" w:rsidR="00C62FA4" w:rsidRDefault="00C62FA4" w:rsidP="00C62FA4">
            <w:pPr>
              <w:spacing w:line="240" w:lineRule="exact"/>
            </w:pPr>
            <w:r>
              <w:t>11 août 2022</w:t>
            </w:r>
          </w:p>
          <w:p w14:paraId="74061D33" w14:textId="77777777" w:rsidR="00C62FA4" w:rsidRDefault="00C62FA4" w:rsidP="00C62FA4">
            <w:pPr>
              <w:spacing w:line="240" w:lineRule="exact"/>
            </w:pPr>
          </w:p>
          <w:p w14:paraId="299B2BC9" w14:textId="77777777" w:rsidR="00C62FA4" w:rsidRPr="00DB58B5" w:rsidRDefault="00C62FA4" w:rsidP="00C62FA4">
            <w:pPr>
              <w:spacing w:line="240" w:lineRule="exact"/>
            </w:pPr>
            <w:r>
              <w:t>Original : français</w:t>
            </w:r>
          </w:p>
        </w:tc>
      </w:tr>
    </w:tbl>
    <w:p w14:paraId="23CFA26A" w14:textId="77777777" w:rsidR="00564657" w:rsidRDefault="00564657" w:rsidP="00C62FA4">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0F5F167E" w14:textId="77777777" w:rsidR="003F29E4" w:rsidRDefault="003F29E4" w:rsidP="003F29E4">
      <w:pPr>
        <w:spacing w:before="120"/>
        <w:rPr>
          <w:sz w:val="28"/>
          <w:szCs w:val="28"/>
        </w:rPr>
      </w:pPr>
      <w:r>
        <w:rPr>
          <w:sz w:val="28"/>
          <w:szCs w:val="28"/>
        </w:rPr>
        <w:t>Comité des transports intérieurs</w:t>
      </w:r>
    </w:p>
    <w:p w14:paraId="4DEE9559" w14:textId="77777777" w:rsidR="003F29E4" w:rsidRDefault="003F29E4" w:rsidP="003F29E4">
      <w:pPr>
        <w:spacing w:before="120"/>
        <w:rPr>
          <w:b/>
          <w:sz w:val="24"/>
          <w:szCs w:val="24"/>
        </w:rPr>
      </w:pPr>
      <w:r>
        <w:rPr>
          <w:b/>
          <w:sz w:val="24"/>
          <w:szCs w:val="24"/>
        </w:rPr>
        <w:t>Groupe de travail du transport des denrées périssables</w:t>
      </w:r>
    </w:p>
    <w:p w14:paraId="742D8A3D" w14:textId="13274B38" w:rsidR="00D9248E" w:rsidRDefault="003F29E4" w:rsidP="00D9248E">
      <w:pPr>
        <w:spacing w:before="120"/>
        <w:rPr>
          <w:b/>
          <w:lang w:val="fr-FR"/>
        </w:rPr>
      </w:pPr>
      <w:r>
        <w:rPr>
          <w:b/>
          <w:bCs/>
          <w:lang w:val="fr-FR"/>
        </w:rPr>
        <w:t>Soixante-dix neuvième session</w:t>
      </w:r>
    </w:p>
    <w:p w14:paraId="121D38E1" w14:textId="77777777" w:rsidR="00D9248E" w:rsidRPr="00265E07" w:rsidRDefault="00D9248E" w:rsidP="00D9248E">
      <w:pPr>
        <w:rPr>
          <w:bCs/>
          <w:lang w:val="fr-FR"/>
        </w:rPr>
      </w:pPr>
      <w:r w:rsidRPr="00265E07">
        <w:t xml:space="preserve">Genève, </w:t>
      </w:r>
      <w:r>
        <w:t>25</w:t>
      </w:r>
      <w:r w:rsidRPr="00265E07">
        <w:t>-</w:t>
      </w:r>
      <w:r>
        <w:t>28</w:t>
      </w:r>
      <w:r w:rsidRPr="00265E07">
        <w:t xml:space="preserve"> </w:t>
      </w:r>
      <w:r>
        <w:t>octobre</w:t>
      </w:r>
      <w:r w:rsidRPr="00265E07">
        <w:rPr>
          <w:bCs/>
          <w:lang w:val="fr-FR"/>
        </w:rPr>
        <w:t xml:space="preserve"> 20</w:t>
      </w:r>
      <w:r>
        <w:rPr>
          <w:bCs/>
          <w:lang w:val="fr-FR"/>
        </w:rPr>
        <w:t>22</w:t>
      </w:r>
    </w:p>
    <w:p w14:paraId="061BC6D0" w14:textId="16D87A9B" w:rsidR="00D9248E" w:rsidRDefault="00D9248E" w:rsidP="00D9248E">
      <w:r>
        <w:t xml:space="preserve">Point </w:t>
      </w:r>
      <w:r w:rsidR="007A46A9">
        <w:t xml:space="preserve">5 </w:t>
      </w:r>
      <w:r w:rsidR="00955521">
        <w:t>a</w:t>
      </w:r>
      <w:r w:rsidR="007A46A9">
        <w:t>)</w:t>
      </w:r>
      <w:r>
        <w:t xml:space="preserve"> de l'ordre du jour provisoire</w:t>
      </w:r>
    </w:p>
    <w:p w14:paraId="7EF0D447" w14:textId="3376EB4C" w:rsidR="003F29E4" w:rsidRDefault="003F29E4" w:rsidP="003F29E4">
      <w:pPr>
        <w:pStyle w:val="Standard"/>
        <w:rPr>
          <w:b/>
          <w:lang w:val="fr-FR"/>
        </w:rPr>
      </w:pPr>
      <w:r>
        <w:rPr>
          <w:b/>
          <w:lang w:val="fr-FR"/>
        </w:rPr>
        <w:t>Propositions d’amendements à l’ATP :</w:t>
      </w:r>
    </w:p>
    <w:p w14:paraId="51933079" w14:textId="422E0782" w:rsidR="00D07EC8" w:rsidRPr="00D07EC8" w:rsidRDefault="00D07EC8" w:rsidP="003F29E4">
      <w:pPr>
        <w:pStyle w:val="Standard"/>
        <w:rPr>
          <w:b/>
          <w:bCs/>
          <w:lang w:val="fr-FR"/>
        </w:rPr>
      </w:pPr>
      <w:r w:rsidRPr="00D07EC8">
        <w:rPr>
          <w:b/>
          <w:bCs/>
          <w:lang w:val="fr-FR"/>
        </w:rPr>
        <w:t>propositions en suspens</w:t>
      </w:r>
    </w:p>
    <w:p w14:paraId="164B4DC5" w14:textId="01A3C4B1" w:rsidR="003F29E4" w:rsidRPr="00F4604C" w:rsidRDefault="006F7814" w:rsidP="006F7814">
      <w:pPr>
        <w:pStyle w:val="HChG"/>
      </w:pPr>
      <w:r>
        <w:tab/>
      </w:r>
      <w:r>
        <w:tab/>
      </w:r>
      <w:r w:rsidR="003F29E4" w:rsidRPr="006F7814">
        <w:t>Proposition</w:t>
      </w:r>
      <w:r w:rsidR="003F29E4">
        <w:rPr>
          <w:lang w:val="fr-FR"/>
        </w:rPr>
        <w:t xml:space="preserve"> d’amendements au paragraphe 7.3.7</w:t>
      </w:r>
      <w:r w:rsidR="003F29E4" w:rsidRPr="009D3460">
        <w:rPr>
          <w:lang w:val="fr-FR"/>
        </w:rPr>
        <w:t xml:space="preserve"> de l’appendice 2 de l’annexe 1</w:t>
      </w:r>
    </w:p>
    <w:p w14:paraId="61F33556" w14:textId="34F601D3" w:rsidR="003F29E4" w:rsidRDefault="006F7814" w:rsidP="006F7814">
      <w:pPr>
        <w:pStyle w:val="H1G"/>
        <w:rPr>
          <w:rStyle w:val="Policepardfaut1"/>
          <w:lang w:val="fr-FR"/>
        </w:rPr>
      </w:pPr>
      <w:r>
        <w:rPr>
          <w:rStyle w:val="Policepardfaut1"/>
        </w:rPr>
        <w:tab/>
      </w:r>
      <w:r>
        <w:rPr>
          <w:rStyle w:val="Policepardfaut1"/>
        </w:rPr>
        <w:tab/>
      </w:r>
      <w:r w:rsidR="003F29E4" w:rsidRPr="006F7814">
        <w:rPr>
          <w:rStyle w:val="Policepardfaut1"/>
        </w:rPr>
        <w:t>Communication</w:t>
      </w:r>
      <w:r w:rsidR="003F29E4">
        <w:rPr>
          <w:rStyle w:val="Policepardfaut1"/>
          <w:lang w:val="fr-FR"/>
        </w:rPr>
        <w:t xml:space="preserve"> du </w:t>
      </w:r>
      <w:r w:rsidR="003F29E4">
        <w:t>Gouvernement</w:t>
      </w:r>
      <w:r w:rsidR="003F29E4">
        <w:rPr>
          <w:rStyle w:val="Policepardfaut1"/>
          <w:lang w:val="fr-FR"/>
        </w:rPr>
        <w:t xml:space="preserve"> de la France</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3F29E4" w14:paraId="4B0829B3" w14:textId="77777777" w:rsidTr="000276F5">
        <w:trPr>
          <w:jc w:val="center"/>
        </w:trPr>
        <w:tc>
          <w:tcPr>
            <w:tcW w:w="9628" w:type="dxa"/>
            <w:tcBorders>
              <w:bottom w:val="nil"/>
            </w:tcBorders>
            <w:shd w:val="clear" w:color="auto" w:fill="auto"/>
          </w:tcPr>
          <w:p w14:paraId="4A521BFA" w14:textId="77777777" w:rsidR="003F29E4" w:rsidRPr="00C6263E" w:rsidRDefault="003F29E4" w:rsidP="000276F5">
            <w:pPr>
              <w:spacing w:before="240" w:after="120"/>
              <w:ind w:left="255"/>
              <w:rPr>
                <w:i/>
                <w:sz w:val="24"/>
              </w:rPr>
            </w:pPr>
            <w:r w:rsidRPr="00C6263E">
              <w:rPr>
                <w:i/>
                <w:sz w:val="24"/>
              </w:rPr>
              <w:t xml:space="preserve">Résumé </w:t>
            </w:r>
          </w:p>
        </w:tc>
      </w:tr>
      <w:tr w:rsidR="003F29E4" w14:paraId="323E8E9F" w14:textId="77777777" w:rsidTr="000276F5">
        <w:trPr>
          <w:jc w:val="center"/>
        </w:trPr>
        <w:tc>
          <w:tcPr>
            <w:tcW w:w="9628" w:type="dxa"/>
            <w:tcBorders>
              <w:top w:val="nil"/>
              <w:bottom w:val="single" w:sz="4" w:space="0" w:color="auto"/>
            </w:tcBorders>
            <w:shd w:val="clear" w:color="auto" w:fill="auto"/>
          </w:tcPr>
          <w:tbl>
            <w:tblPr>
              <w:tblW w:w="9630" w:type="dxa"/>
              <w:jc w:val="center"/>
              <w:tblBorders>
                <w:right w:val="single" w:sz="4" w:space="0" w:color="00000A"/>
              </w:tblBorders>
              <w:tblCellMar>
                <w:left w:w="10" w:type="dxa"/>
                <w:right w:w="10" w:type="dxa"/>
              </w:tblCellMar>
              <w:tblLook w:val="04A0" w:firstRow="1" w:lastRow="0" w:firstColumn="1" w:lastColumn="0" w:noHBand="0" w:noVBand="1"/>
            </w:tblPr>
            <w:tblGrid>
              <w:gridCol w:w="9630"/>
            </w:tblGrid>
            <w:tr w:rsidR="003F29E4" w14:paraId="63879AEA" w14:textId="77777777" w:rsidTr="000276F5">
              <w:trPr>
                <w:jc w:val="center"/>
              </w:trPr>
              <w:tc>
                <w:tcPr>
                  <w:tcW w:w="9630" w:type="dxa"/>
                  <w:shd w:val="clear" w:color="auto" w:fill="FFFFFF"/>
                  <w:tcMar>
                    <w:top w:w="0" w:type="dxa"/>
                    <w:left w:w="113" w:type="dxa"/>
                    <w:bottom w:w="0" w:type="dxa"/>
                    <w:right w:w="108" w:type="dxa"/>
                  </w:tcMar>
                  <w:hideMark/>
                </w:tcPr>
                <w:p w14:paraId="133496BD" w14:textId="77777777" w:rsidR="003F29E4" w:rsidRDefault="003F29E4" w:rsidP="000276F5">
                  <w:pPr>
                    <w:pStyle w:val="SingleTxtG"/>
                    <w:spacing w:before="120"/>
                    <w:ind w:left="2269" w:hanging="2096"/>
                  </w:pPr>
                  <w:r>
                    <w:rPr>
                      <w:b/>
                    </w:rPr>
                    <w:t>Résumé analytique </w:t>
                  </w:r>
                  <w:r>
                    <w:t>:</w:t>
                  </w:r>
                  <w:r>
                    <w:rPr>
                      <w:b/>
                    </w:rPr>
                    <w:tab/>
                  </w:r>
                  <w:r w:rsidRPr="00A2243D">
                    <w:rPr>
                      <w:bCs/>
                    </w:rPr>
                    <w:t>Proposition visant à compléter le paragraphe 7.3.7 de l’appendice 2 de l’annexe 1 en excluant l’utilisation de cloisons amovibles dans les engins multi compartiments multi températures et à ajouter une définition de la cloison amovible au paragraphe 7.3.1 de l’appendice 2 de l’annexe 1</w:t>
                  </w:r>
                </w:p>
              </w:tc>
            </w:tr>
            <w:tr w:rsidR="003F29E4" w14:paraId="4083E21E" w14:textId="77777777" w:rsidTr="000276F5">
              <w:trPr>
                <w:jc w:val="center"/>
              </w:trPr>
              <w:tc>
                <w:tcPr>
                  <w:tcW w:w="9630" w:type="dxa"/>
                  <w:shd w:val="clear" w:color="auto" w:fill="FFFFFF"/>
                  <w:tcMar>
                    <w:top w:w="0" w:type="dxa"/>
                    <w:left w:w="113" w:type="dxa"/>
                    <w:bottom w:w="0" w:type="dxa"/>
                    <w:right w:w="108" w:type="dxa"/>
                  </w:tcMar>
                  <w:hideMark/>
                </w:tcPr>
                <w:p w14:paraId="644EDD12" w14:textId="77777777" w:rsidR="003F29E4" w:rsidRPr="009D3460" w:rsidRDefault="003F29E4" w:rsidP="000276F5">
                  <w:pPr>
                    <w:pStyle w:val="SingleTxtG"/>
                    <w:spacing w:before="120"/>
                    <w:ind w:left="2269" w:hanging="2096"/>
                  </w:pPr>
                  <w:r>
                    <w:rPr>
                      <w:b/>
                    </w:rPr>
                    <w:t>Mesure à prendre </w:t>
                  </w:r>
                  <w:r>
                    <w:t>:</w:t>
                  </w:r>
                  <w:r>
                    <w:rPr>
                      <w:b/>
                    </w:rPr>
                    <w:tab/>
                  </w:r>
                  <w:r w:rsidRPr="00A2243D">
                    <w:rPr>
                      <w:bCs/>
                    </w:rPr>
                    <w:t>Compléter le paragraphe 7.3.7 de l’appendice 2 de l’annexe 1 et le paragraphe 7.3.1 de l’appendice 2 de l’annexe 1</w:t>
                  </w:r>
                </w:p>
              </w:tc>
            </w:tr>
            <w:tr w:rsidR="003F29E4" w14:paraId="25010473" w14:textId="77777777" w:rsidTr="000276F5">
              <w:trPr>
                <w:jc w:val="center"/>
              </w:trPr>
              <w:tc>
                <w:tcPr>
                  <w:tcW w:w="9630" w:type="dxa"/>
                  <w:shd w:val="clear" w:color="auto" w:fill="FFFFFF"/>
                  <w:tcMar>
                    <w:top w:w="0" w:type="dxa"/>
                    <w:left w:w="113" w:type="dxa"/>
                    <w:bottom w:w="0" w:type="dxa"/>
                    <w:right w:w="108" w:type="dxa"/>
                  </w:tcMar>
                  <w:hideMark/>
                </w:tcPr>
                <w:p w14:paraId="1E8665ED" w14:textId="77777777" w:rsidR="003F29E4" w:rsidRDefault="003F29E4" w:rsidP="004A520F">
                  <w:pPr>
                    <w:pStyle w:val="SingleTxtG"/>
                    <w:ind w:left="2300" w:hanging="2126"/>
                    <w:jc w:val="left"/>
                  </w:pPr>
                  <w:r>
                    <w:rPr>
                      <w:b/>
                    </w:rPr>
                    <w:t>Documents connexes </w:t>
                  </w:r>
                  <w:r>
                    <w:t>:</w:t>
                  </w:r>
                  <w:r>
                    <w:rPr>
                      <w:b/>
                    </w:rPr>
                    <w:tab/>
                  </w:r>
                  <w:r>
                    <w:t>Aucun.</w:t>
                  </w:r>
                </w:p>
              </w:tc>
            </w:tr>
          </w:tbl>
          <w:p w14:paraId="331470F7" w14:textId="77777777" w:rsidR="003F29E4" w:rsidRDefault="003F29E4" w:rsidP="000276F5"/>
        </w:tc>
      </w:tr>
    </w:tbl>
    <w:p w14:paraId="24F229E7" w14:textId="4CE51659" w:rsidR="003F29E4" w:rsidRPr="00495C82" w:rsidRDefault="004A520F" w:rsidP="00C654AF">
      <w:pPr>
        <w:pStyle w:val="HChG"/>
        <w:rPr>
          <w:rFonts w:eastAsia="Calibri"/>
          <w:lang w:eastAsia="en-US"/>
        </w:rPr>
      </w:pPr>
      <w:r w:rsidRPr="00495C82">
        <w:rPr>
          <w:rFonts w:eastAsia="Calibri"/>
          <w:lang w:eastAsia="en-US"/>
        </w:rPr>
        <w:tab/>
      </w:r>
      <w:r w:rsidRPr="00495C82">
        <w:rPr>
          <w:rFonts w:eastAsia="Calibri"/>
          <w:lang w:eastAsia="en-US"/>
        </w:rPr>
        <w:tab/>
      </w:r>
      <w:r w:rsidR="003F29E4" w:rsidRPr="00495C82">
        <w:rPr>
          <w:rFonts w:eastAsia="Calibri"/>
          <w:lang w:eastAsia="en-US"/>
        </w:rPr>
        <w:t>Introduction</w:t>
      </w:r>
    </w:p>
    <w:p w14:paraId="793E48F9" w14:textId="02493905" w:rsidR="003F29E4" w:rsidRDefault="003F29E4" w:rsidP="003F29E4">
      <w:pPr>
        <w:pStyle w:val="SingleTxtG"/>
        <w:tabs>
          <w:tab w:val="right" w:pos="851"/>
        </w:tabs>
        <w:rPr>
          <w:rFonts w:eastAsia="Calibri"/>
          <w:lang w:eastAsia="en-US"/>
        </w:rPr>
      </w:pPr>
      <w:r>
        <w:rPr>
          <w:rFonts w:eastAsia="Calibri"/>
          <w:lang w:eastAsia="en-US"/>
        </w:rPr>
        <w:t>1.</w:t>
      </w:r>
      <w:r>
        <w:rPr>
          <w:rFonts w:eastAsia="Calibri"/>
          <w:lang w:eastAsia="en-US"/>
        </w:rPr>
        <w:tab/>
        <w:t>L</w:t>
      </w:r>
      <w:r w:rsidRPr="00A91A78">
        <w:rPr>
          <w:rFonts w:eastAsia="Calibri"/>
          <w:lang w:eastAsia="en-US"/>
        </w:rPr>
        <w:t xml:space="preserve">e paragraphe 7.3.7 de l’appendice 2 de l’annexe 1 </w:t>
      </w:r>
      <w:r>
        <w:rPr>
          <w:rFonts w:eastAsia="Calibri"/>
          <w:lang w:eastAsia="en-US"/>
        </w:rPr>
        <w:t>évoque les déperditions thermiques des cloisons internes pour lesquelles seuls deux types sont représentés par les termes « Longitudinale » et « Transversale »</w:t>
      </w:r>
    </w:p>
    <w:p w14:paraId="6582724A" w14:textId="0B972256" w:rsidR="003F29E4" w:rsidRDefault="003F29E4" w:rsidP="003F29E4">
      <w:pPr>
        <w:pStyle w:val="SingleTxtG"/>
        <w:tabs>
          <w:tab w:val="right" w:pos="851"/>
        </w:tabs>
        <w:rPr>
          <w:rFonts w:eastAsia="Calibri"/>
          <w:lang w:eastAsia="en-US"/>
        </w:rPr>
      </w:pPr>
      <w:r>
        <w:rPr>
          <w:rFonts w:eastAsia="Calibri"/>
          <w:lang w:eastAsia="en-US"/>
        </w:rPr>
        <w:t>2.</w:t>
      </w:r>
      <w:r>
        <w:rPr>
          <w:rFonts w:eastAsia="Calibri"/>
          <w:lang w:eastAsia="en-US"/>
        </w:rPr>
        <w:tab/>
        <w:t>Les solutions technologiques proposées par les carrossiers constructeurs pour répondre aux besoins des transporteurs ne sont pas entièrement représentées au travers de ces termes, qui peuvent être sujet à interprétation.</w:t>
      </w:r>
    </w:p>
    <w:p w14:paraId="58676835" w14:textId="4BFCEEB2" w:rsidR="003F29E4" w:rsidRDefault="003F29E4" w:rsidP="003F29E4">
      <w:pPr>
        <w:pStyle w:val="SingleTxtG"/>
        <w:tabs>
          <w:tab w:val="right" w:pos="851"/>
        </w:tabs>
        <w:rPr>
          <w:rFonts w:eastAsia="Calibri"/>
          <w:lang w:eastAsia="en-US"/>
        </w:rPr>
      </w:pPr>
      <w:r>
        <w:rPr>
          <w:rFonts w:eastAsia="Calibri"/>
          <w:lang w:eastAsia="en-US"/>
        </w:rPr>
        <w:t>3.</w:t>
      </w:r>
      <w:r w:rsidR="004A520F">
        <w:rPr>
          <w:rFonts w:eastAsia="Calibri"/>
          <w:lang w:eastAsia="en-US"/>
        </w:rPr>
        <w:tab/>
      </w:r>
      <w:r>
        <w:rPr>
          <w:rFonts w:eastAsia="Calibri"/>
          <w:lang w:eastAsia="en-US"/>
        </w:rPr>
        <w:t>Les matériaux utilisés dans la conception des cloisons sont susceptibles d’entrer en contact avec les denrées transportées. Ces matériaux ne doivent pas altérer les denrées alimentaires ni leur conférer des propriétés nocives ou anormales.</w:t>
      </w:r>
    </w:p>
    <w:p w14:paraId="1215A59A" w14:textId="51965B52" w:rsidR="003F29E4" w:rsidRDefault="003F29E4" w:rsidP="003F29E4">
      <w:pPr>
        <w:pStyle w:val="SingleTxtG"/>
        <w:tabs>
          <w:tab w:val="right" w:pos="851"/>
        </w:tabs>
        <w:rPr>
          <w:rFonts w:eastAsia="Calibri"/>
          <w:lang w:eastAsia="en-US"/>
        </w:rPr>
      </w:pPr>
      <w:r>
        <w:rPr>
          <w:rFonts w:eastAsia="Calibri"/>
          <w:lang w:eastAsia="en-US"/>
        </w:rPr>
        <w:lastRenderedPageBreak/>
        <w:t>4.</w:t>
      </w:r>
      <w:r>
        <w:rPr>
          <w:rFonts w:eastAsia="Calibri"/>
          <w:lang w:eastAsia="en-US"/>
        </w:rPr>
        <w:tab/>
        <w:t>La présente proposition vise à introduire une notion d’hygiène et à exclure l’utilisation des cloisons amovibles dans le cadre du transport multi-température, et de compléter l</w:t>
      </w:r>
      <w:r w:rsidRPr="00A91A78">
        <w:rPr>
          <w:rFonts w:eastAsia="Calibri"/>
          <w:lang w:eastAsia="en-US"/>
        </w:rPr>
        <w:t>e paragraphe 7.3.7 de l’appendice 2 de l’annexe 1</w:t>
      </w:r>
      <w:r>
        <w:rPr>
          <w:rFonts w:eastAsia="Calibri"/>
          <w:lang w:eastAsia="en-US"/>
        </w:rPr>
        <w:t xml:space="preserve"> en complément de la proposition </w:t>
      </w:r>
      <w:r w:rsidR="001D68F0">
        <w:rPr>
          <w:rFonts w:eastAsia="Calibri"/>
          <w:lang w:eastAsia="en-US"/>
        </w:rPr>
        <w:t>ECE/TRANS/WP.11/</w:t>
      </w:r>
      <w:r>
        <w:rPr>
          <w:rFonts w:eastAsia="Calibri"/>
          <w:lang w:eastAsia="en-US"/>
        </w:rPr>
        <w:t>2022</w:t>
      </w:r>
      <w:r w:rsidR="001D68F0">
        <w:rPr>
          <w:rFonts w:eastAsia="Calibri"/>
          <w:lang w:eastAsia="en-US"/>
        </w:rPr>
        <w:t>/</w:t>
      </w:r>
      <w:r>
        <w:rPr>
          <w:rFonts w:eastAsia="Calibri"/>
          <w:lang w:eastAsia="en-US"/>
        </w:rPr>
        <w:t>5. Une définition de la cloison amovible est également ajoutée au paragraphe 7.3.1</w:t>
      </w:r>
    </w:p>
    <w:p w14:paraId="1335EDB7" w14:textId="77777777" w:rsidR="003F29E4" w:rsidRDefault="003F29E4" w:rsidP="00F305FC">
      <w:pPr>
        <w:pStyle w:val="HChG"/>
      </w:pPr>
      <w:r>
        <w:tab/>
        <w:t>I.</w:t>
      </w:r>
      <w:r>
        <w:tab/>
      </w:r>
      <w:r w:rsidRPr="005E5CCF">
        <w:t>Proposition</w:t>
      </w:r>
    </w:p>
    <w:p w14:paraId="16ED3D28" w14:textId="103A2FEF" w:rsidR="003F29E4" w:rsidRPr="00AB4960" w:rsidRDefault="00F305FC" w:rsidP="003F29E4">
      <w:pPr>
        <w:pStyle w:val="SingleTxtG"/>
        <w:tabs>
          <w:tab w:val="right" w:pos="851"/>
        </w:tabs>
        <w:rPr>
          <w:rFonts w:eastAsia="Calibri"/>
          <w:lang w:eastAsia="en-US"/>
        </w:rPr>
      </w:pPr>
      <w:r>
        <w:rPr>
          <w:rFonts w:eastAsia="Calibri"/>
          <w:lang w:eastAsia="en-US"/>
        </w:rPr>
        <w:t>5</w:t>
      </w:r>
      <w:r w:rsidR="003F29E4" w:rsidRPr="000067B4">
        <w:rPr>
          <w:rFonts w:eastAsia="Calibri"/>
          <w:lang w:eastAsia="en-US"/>
        </w:rPr>
        <w:t>.</w:t>
      </w:r>
      <w:r w:rsidR="003F29E4" w:rsidRPr="000067B4">
        <w:rPr>
          <w:rFonts w:eastAsia="Calibri"/>
          <w:lang w:eastAsia="en-US"/>
        </w:rPr>
        <w:tab/>
      </w:r>
      <w:r w:rsidR="003F29E4" w:rsidRPr="00AB4960">
        <w:rPr>
          <w:rFonts w:eastAsia="Calibri"/>
          <w:lang w:eastAsia="en-US"/>
        </w:rPr>
        <w:t>Introduire une notion d</w:t>
      </w:r>
      <w:r w:rsidR="003F29E4">
        <w:rPr>
          <w:rFonts w:eastAsia="Calibri"/>
          <w:lang w:eastAsia="en-US"/>
        </w:rPr>
        <w:t>’hygiène à la fin du paragraphe</w:t>
      </w:r>
      <w:r w:rsidR="003F29E4" w:rsidRPr="00AB4960">
        <w:rPr>
          <w:rFonts w:eastAsia="Calibri"/>
          <w:lang w:eastAsia="en-US"/>
        </w:rPr>
        <w:t xml:space="preserve"> 7.3.7 de l’appendice 2 de l’annexe 1 :</w:t>
      </w:r>
    </w:p>
    <w:p w14:paraId="264FD96F" w14:textId="5C270D1D" w:rsidR="003F29E4" w:rsidRPr="003E07CC" w:rsidRDefault="00217588" w:rsidP="00217588">
      <w:pPr>
        <w:pStyle w:val="H23G"/>
      </w:pPr>
      <w:r>
        <w:rPr>
          <w:w w:val="95"/>
        </w:rPr>
        <w:tab/>
        <w:t>7.3.7.</w:t>
      </w:r>
      <w:r>
        <w:rPr>
          <w:w w:val="95"/>
        </w:rPr>
        <w:tab/>
      </w:r>
      <w:r w:rsidR="003F29E4" w:rsidRPr="003E07CC">
        <w:rPr>
          <w:w w:val="95"/>
        </w:rPr>
        <w:t>Cloisons internes</w:t>
      </w:r>
    </w:p>
    <w:p w14:paraId="43EF4BBE" w14:textId="77777777" w:rsidR="003F29E4" w:rsidRPr="00217588" w:rsidRDefault="003F29E4" w:rsidP="00217588">
      <w:pPr>
        <w:pStyle w:val="SingleTxtG"/>
        <w:rPr>
          <w:rFonts w:eastAsia="Calibri"/>
        </w:rPr>
      </w:pPr>
      <w:r w:rsidRPr="00217588">
        <w:rPr>
          <w:rFonts w:eastAsia="Calibri"/>
        </w:rPr>
        <w:t>« Dans le cas d’une cloison mobile, celle-ci doit être équipée d’un mécanisme de verrouillage permettant d’assurer le maintien en position verticale ou horizontale de celle-ci pendant toute la phase d’utilisation de l’engin. »</w:t>
      </w:r>
    </w:p>
    <w:p w14:paraId="4E397E61" w14:textId="77777777" w:rsidR="003F29E4" w:rsidRPr="00217588" w:rsidRDefault="003F29E4" w:rsidP="00217588">
      <w:pPr>
        <w:pStyle w:val="SingleTxtG"/>
      </w:pPr>
      <w:r w:rsidRPr="00217588">
        <w:t>Les cloisons amovibles ne peuvent être utilisées dans le cadre du transport multi températures.</w:t>
      </w:r>
    </w:p>
    <w:p w14:paraId="6717B0D2" w14:textId="184994F4" w:rsidR="003F29E4" w:rsidRDefault="004C2E7F" w:rsidP="009216A0">
      <w:pPr>
        <w:pStyle w:val="SingleTxtG"/>
        <w:tabs>
          <w:tab w:val="right" w:pos="851"/>
        </w:tabs>
      </w:pPr>
      <w:r>
        <w:t>6</w:t>
      </w:r>
      <w:r w:rsidR="003F29E4">
        <w:t>.</w:t>
      </w:r>
      <w:r>
        <w:tab/>
      </w:r>
      <w:r w:rsidR="003F29E4" w:rsidRPr="009216A0">
        <w:rPr>
          <w:rFonts w:eastAsia="Calibri"/>
          <w:lang w:eastAsia="en-US"/>
        </w:rPr>
        <w:t>Introduire</w:t>
      </w:r>
      <w:r w:rsidR="003F29E4">
        <w:t xml:space="preserve"> la définition d’une cloison amovible au paragraphe 7.3.1 de l’appendice 2 de l’annexe 1 :</w:t>
      </w:r>
    </w:p>
    <w:p w14:paraId="12E74833" w14:textId="34F7A9B4" w:rsidR="003F29E4" w:rsidRPr="00217588" w:rsidRDefault="00204ECC" w:rsidP="00E57086">
      <w:pPr>
        <w:pStyle w:val="SingleTxtG"/>
        <w:ind w:left="1701" w:hanging="567"/>
        <w:rPr>
          <w:rFonts w:eastAsia="Calibri"/>
        </w:rPr>
      </w:pPr>
      <w:r>
        <w:rPr>
          <w:rFonts w:eastAsia="Calibri"/>
        </w:rPr>
        <w:t>« </w:t>
      </w:r>
      <w:r w:rsidR="003F29E4" w:rsidRPr="00217588">
        <w:rPr>
          <w:rFonts w:eastAsia="Calibri"/>
        </w:rPr>
        <w:t>o)</w:t>
      </w:r>
      <w:r w:rsidR="00887DBF">
        <w:rPr>
          <w:rFonts w:eastAsia="Calibri"/>
        </w:rPr>
        <w:tab/>
      </w:r>
      <w:r w:rsidR="003F29E4" w:rsidRPr="00217588">
        <w:rPr>
          <w:rFonts w:eastAsia="Calibri"/>
          <w:lang w:eastAsia="en-US"/>
        </w:rPr>
        <w:t>Cloison</w:t>
      </w:r>
      <w:r w:rsidR="003F29E4" w:rsidRPr="00217588">
        <w:rPr>
          <w:rFonts w:eastAsia="Calibri"/>
        </w:rPr>
        <w:t xml:space="preserve"> amovible : paroi de séparation ne pouvant être verrouillée mécaniquement à l’engin, et qui permet un stockage extérieur à l’engin.</w:t>
      </w:r>
      <w:r>
        <w:rPr>
          <w:rFonts w:eastAsia="Calibri"/>
        </w:rPr>
        <w:t> »</w:t>
      </w:r>
    </w:p>
    <w:p w14:paraId="492056ED" w14:textId="77777777" w:rsidR="003F29E4" w:rsidRDefault="003F29E4" w:rsidP="00E31E1A">
      <w:pPr>
        <w:pStyle w:val="HChG"/>
      </w:pPr>
      <w:r>
        <w:tab/>
        <w:t>II.</w:t>
      </w:r>
      <w:r>
        <w:tab/>
        <w:t>Incidence</w:t>
      </w:r>
    </w:p>
    <w:tbl>
      <w:tblPr>
        <w:tblW w:w="0" w:type="auto"/>
        <w:tblBorders>
          <w:top w:val="nil"/>
          <w:left w:val="nil"/>
          <w:bottom w:val="nil"/>
          <w:right w:val="nil"/>
        </w:tblBorders>
        <w:tblLayout w:type="fixed"/>
        <w:tblLook w:val="0000" w:firstRow="0" w:lastRow="0" w:firstColumn="0" w:lastColumn="0" w:noHBand="0" w:noVBand="0"/>
      </w:tblPr>
      <w:tblGrid>
        <w:gridCol w:w="2802"/>
        <w:gridCol w:w="3668"/>
        <w:gridCol w:w="2285"/>
      </w:tblGrid>
      <w:tr w:rsidR="003F29E4" w14:paraId="6DCD94FA" w14:textId="77777777" w:rsidTr="000276F5">
        <w:trPr>
          <w:gridAfter w:val="1"/>
          <w:wAfter w:w="2285" w:type="dxa"/>
          <w:trHeight w:val="90"/>
        </w:trPr>
        <w:tc>
          <w:tcPr>
            <w:tcW w:w="2802" w:type="dxa"/>
          </w:tcPr>
          <w:p w14:paraId="78B3AEAA" w14:textId="77777777" w:rsidR="003F29E4" w:rsidRDefault="003F29E4" w:rsidP="000276F5">
            <w:pPr>
              <w:pStyle w:val="Default"/>
              <w:tabs>
                <w:tab w:val="right" w:pos="851"/>
              </w:tabs>
              <w:ind w:left="1134"/>
              <w:rPr>
                <w:sz w:val="20"/>
                <w:szCs w:val="20"/>
              </w:rPr>
            </w:pPr>
            <w:r>
              <w:rPr>
                <w:sz w:val="20"/>
                <w:szCs w:val="20"/>
              </w:rPr>
              <w:t xml:space="preserve">Coût : </w:t>
            </w:r>
          </w:p>
        </w:tc>
        <w:tc>
          <w:tcPr>
            <w:tcW w:w="3668" w:type="dxa"/>
          </w:tcPr>
          <w:p w14:paraId="2040B788" w14:textId="77777777" w:rsidR="003F29E4" w:rsidRDefault="003F29E4" w:rsidP="000276F5">
            <w:pPr>
              <w:pStyle w:val="Default"/>
              <w:tabs>
                <w:tab w:val="right" w:pos="851"/>
              </w:tabs>
              <w:rPr>
                <w:sz w:val="20"/>
                <w:szCs w:val="20"/>
              </w:rPr>
            </w:pPr>
            <w:r>
              <w:rPr>
                <w:sz w:val="20"/>
                <w:szCs w:val="20"/>
              </w:rPr>
              <w:t xml:space="preserve">Aucune incidence. </w:t>
            </w:r>
          </w:p>
        </w:tc>
      </w:tr>
      <w:tr w:rsidR="003F29E4" w14:paraId="232AA88C" w14:textId="77777777" w:rsidTr="000276F5">
        <w:trPr>
          <w:gridAfter w:val="1"/>
          <w:wAfter w:w="2285" w:type="dxa"/>
          <w:trHeight w:val="90"/>
        </w:trPr>
        <w:tc>
          <w:tcPr>
            <w:tcW w:w="2802" w:type="dxa"/>
          </w:tcPr>
          <w:p w14:paraId="02D919FC" w14:textId="77777777" w:rsidR="003F29E4" w:rsidRDefault="003F29E4" w:rsidP="000276F5">
            <w:pPr>
              <w:pStyle w:val="Default"/>
              <w:tabs>
                <w:tab w:val="right" w:pos="851"/>
              </w:tabs>
              <w:ind w:left="1134"/>
              <w:rPr>
                <w:sz w:val="20"/>
                <w:szCs w:val="20"/>
              </w:rPr>
            </w:pPr>
            <w:r>
              <w:rPr>
                <w:sz w:val="20"/>
                <w:szCs w:val="20"/>
              </w:rPr>
              <w:t xml:space="preserve">Environnement : </w:t>
            </w:r>
          </w:p>
        </w:tc>
        <w:tc>
          <w:tcPr>
            <w:tcW w:w="3668" w:type="dxa"/>
          </w:tcPr>
          <w:p w14:paraId="5DC68008" w14:textId="77777777" w:rsidR="003F29E4" w:rsidRDefault="003F29E4" w:rsidP="000276F5">
            <w:pPr>
              <w:pStyle w:val="Default"/>
              <w:tabs>
                <w:tab w:val="right" w:pos="851"/>
              </w:tabs>
              <w:rPr>
                <w:sz w:val="20"/>
                <w:szCs w:val="20"/>
              </w:rPr>
            </w:pPr>
            <w:r>
              <w:rPr>
                <w:sz w:val="20"/>
                <w:szCs w:val="20"/>
              </w:rPr>
              <w:t xml:space="preserve">Aucune incidence. </w:t>
            </w:r>
          </w:p>
        </w:tc>
      </w:tr>
      <w:tr w:rsidR="003F29E4" w14:paraId="3F6D6AFE" w14:textId="77777777" w:rsidTr="000276F5">
        <w:trPr>
          <w:trHeight w:val="210"/>
        </w:trPr>
        <w:tc>
          <w:tcPr>
            <w:tcW w:w="2802" w:type="dxa"/>
          </w:tcPr>
          <w:p w14:paraId="3690D415" w14:textId="77777777" w:rsidR="003F29E4" w:rsidRDefault="003F29E4" w:rsidP="000276F5">
            <w:pPr>
              <w:pStyle w:val="Default"/>
              <w:tabs>
                <w:tab w:val="right" w:pos="851"/>
              </w:tabs>
              <w:ind w:left="1134"/>
              <w:rPr>
                <w:sz w:val="20"/>
                <w:szCs w:val="20"/>
              </w:rPr>
            </w:pPr>
            <w:r>
              <w:rPr>
                <w:sz w:val="20"/>
                <w:szCs w:val="20"/>
              </w:rPr>
              <w:t xml:space="preserve">Faisabilité : </w:t>
            </w:r>
          </w:p>
        </w:tc>
        <w:tc>
          <w:tcPr>
            <w:tcW w:w="5953" w:type="dxa"/>
            <w:gridSpan w:val="2"/>
          </w:tcPr>
          <w:p w14:paraId="6D24FF92" w14:textId="77777777" w:rsidR="003F29E4" w:rsidRDefault="003F29E4" w:rsidP="000276F5">
            <w:pPr>
              <w:pStyle w:val="Default"/>
              <w:tabs>
                <w:tab w:val="right" w:pos="851"/>
              </w:tabs>
              <w:ind w:left="18"/>
              <w:rPr>
                <w:sz w:val="20"/>
                <w:szCs w:val="20"/>
              </w:rPr>
            </w:pPr>
            <w:r>
              <w:rPr>
                <w:sz w:val="20"/>
                <w:szCs w:val="20"/>
              </w:rPr>
              <w:t>L’amendement proposé peut aisément être introduit dans l’ATP. Une période de transition d’un an est proposée.</w:t>
            </w:r>
          </w:p>
        </w:tc>
      </w:tr>
      <w:tr w:rsidR="003F29E4" w14:paraId="0ED28043" w14:textId="77777777" w:rsidTr="000276F5">
        <w:trPr>
          <w:gridAfter w:val="1"/>
          <w:wAfter w:w="2285" w:type="dxa"/>
          <w:trHeight w:val="90"/>
        </w:trPr>
        <w:tc>
          <w:tcPr>
            <w:tcW w:w="2802" w:type="dxa"/>
          </w:tcPr>
          <w:p w14:paraId="63AE5BED" w14:textId="77777777" w:rsidR="003F29E4" w:rsidRDefault="003F29E4" w:rsidP="000276F5">
            <w:pPr>
              <w:pStyle w:val="Default"/>
              <w:tabs>
                <w:tab w:val="right" w:pos="851"/>
              </w:tabs>
              <w:ind w:left="1134"/>
              <w:rPr>
                <w:sz w:val="20"/>
                <w:szCs w:val="20"/>
              </w:rPr>
            </w:pPr>
            <w:r>
              <w:rPr>
                <w:sz w:val="20"/>
                <w:szCs w:val="20"/>
              </w:rPr>
              <w:t xml:space="preserve">Applicabilité : </w:t>
            </w:r>
          </w:p>
        </w:tc>
        <w:tc>
          <w:tcPr>
            <w:tcW w:w="3668" w:type="dxa"/>
          </w:tcPr>
          <w:p w14:paraId="33098224" w14:textId="77777777" w:rsidR="003F29E4" w:rsidRDefault="003F29E4" w:rsidP="000276F5">
            <w:pPr>
              <w:pStyle w:val="Default"/>
              <w:tabs>
                <w:tab w:val="right" w:pos="851"/>
              </w:tabs>
              <w:ind w:left="33"/>
              <w:rPr>
                <w:sz w:val="20"/>
                <w:szCs w:val="20"/>
              </w:rPr>
            </w:pPr>
            <w:r>
              <w:rPr>
                <w:sz w:val="20"/>
                <w:szCs w:val="20"/>
              </w:rPr>
              <w:t xml:space="preserve">Aucune difficulté n’est à prévoir. </w:t>
            </w:r>
          </w:p>
        </w:tc>
      </w:tr>
    </w:tbl>
    <w:p w14:paraId="3C8F545F" w14:textId="764474C1" w:rsidR="003F29E4" w:rsidRPr="00C654AF" w:rsidRDefault="00C654AF" w:rsidP="00C654AF">
      <w:pPr>
        <w:spacing w:before="240"/>
        <w:jc w:val="center"/>
        <w:rPr>
          <w:u w:val="single"/>
          <w:lang w:val="fr-FR"/>
        </w:rPr>
      </w:pPr>
      <w:r>
        <w:rPr>
          <w:u w:val="single"/>
          <w:lang w:val="fr-FR"/>
        </w:rPr>
        <w:tab/>
      </w:r>
      <w:r>
        <w:rPr>
          <w:u w:val="single"/>
          <w:lang w:val="fr-FR"/>
        </w:rPr>
        <w:tab/>
      </w:r>
      <w:r>
        <w:rPr>
          <w:u w:val="single"/>
          <w:lang w:val="fr-FR"/>
        </w:rPr>
        <w:tab/>
      </w:r>
    </w:p>
    <w:sectPr w:rsidR="003F29E4" w:rsidRPr="00C654AF" w:rsidSect="00C62FA4">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5279E" w14:textId="77777777" w:rsidR="00C62FA4" w:rsidRDefault="00C62FA4" w:rsidP="00F95C08">
      <w:pPr>
        <w:spacing w:line="240" w:lineRule="auto"/>
      </w:pPr>
    </w:p>
  </w:endnote>
  <w:endnote w:type="continuationSeparator" w:id="0">
    <w:p w14:paraId="3A542AA4" w14:textId="77777777" w:rsidR="00C62FA4" w:rsidRPr="00AC3823" w:rsidRDefault="00C62FA4" w:rsidP="00AC3823">
      <w:pPr>
        <w:pStyle w:val="Pieddepage"/>
      </w:pPr>
    </w:p>
  </w:endnote>
  <w:endnote w:type="continuationNotice" w:id="1">
    <w:p w14:paraId="485F8B8C" w14:textId="77777777" w:rsidR="00C62FA4" w:rsidRDefault="00C62F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E006" w14:textId="77777777" w:rsidR="00C62FA4" w:rsidRPr="00C62FA4" w:rsidRDefault="00C62FA4" w:rsidP="00C62FA4">
    <w:pPr>
      <w:pStyle w:val="Pieddepage"/>
      <w:tabs>
        <w:tab w:val="right" w:pos="9638"/>
      </w:tabs>
      <w:rPr>
        <w:sz w:val="18"/>
      </w:rPr>
    </w:pPr>
    <w:r w:rsidRPr="00C62FA4">
      <w:rPr>
        <w:b/>
        <w:sz w:val="18"/>
      </w:rPr>
      <w:fldChar w:fldCharType="begin"/>
    </w:r>
    <w:r w:rsidRPr="00C62FA4">
      <w:rPr>
        <w:b/>
        <w:sz w:val="18"/>
      </w:rPr>
      <w:instrText xml:space="preserve"> PAGE  \* MERGEFORMAT </w:instrText>
    </w:r>
    <w:r w:rsidRPr="00C62FA4">
      <w:rPr>
        <w:b/>
        <w:sz w:val="18"/>
      </w:rPr>
      <w:fldChar w:fldCharType="separate"/>
    </w:r>
    <w:r w:rsidRPr="00C62FA4">
      <w:rPr>
        <w:b/>
        <w:noProof/>
        <w:sz w:val="18"/>
      </w:rPr>
      <w:t>2</w:t>
    </w:r>
    <w:r w:rsidRPr="00C62FA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35A2" w14:textId="77777777" w:rsidR="00C62FA4" w:rsidRPr="00C62FA4" w:rsidRDefault="00C62FA4" w:rsidP="00C62FA4">
    <w:pPr>
      <w:pStyle w:val="Pieddepage"/>
      <w:tabs>
        <w:tab w:val="right" w:pos="9638"/>
      </w:tabs>
      <w:rPr>
        <w:b/>
        <w:sz w:val="18"/>
      </w:rPr>
    </w:pPr>
    <w:r>
      <w:tab/>
    </w:r>
    <w:r w:rsidRPr="00C62FA4">
      <w:rPr>
        <w:b/>
        <w:sz w:val="18"/>
      </w:rPr>
      <w:fldChar w:fldCharType="begin"/>
    </w:r>
    <w:r w:rsidRPr="00C62FA4">
      <w:rPr>
        <w:b/>
        <w:sz w:val="18"/>
      </w:rPr>
      <w:instrText xml:space="preserve"> PAGE  \* MERGEFORMAT </w:instrText>
    </w:r>
    <w:r w:rsidRPr="00C62FA4">
      <w:rPr>
        <w:b/>
        <w:sz w:val="18"/>
      </w:rPr>
      <w:fldChar w:fldCharType="separate"/>
    </w:r>
    <w:r w:rsidRPr="00C62FA4">
      <w:rPr>
        <w:b/>
        <w:noProof/>
        <w:sz w:val="18"/>
      </w:rPr>
      <w:t>3</w:t>
    </w:r>
    <w:r w:rsidRPr="00C62FA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BD35" w14:textId="5B7413CB" w:rsidR="000D3EE9" w:rsidRPr="00E94547" w:rsidRDefault="00E94547" w:rsidP="00E94547">
    <w:pPr>
      <w:pStyle w:val="Pieddepage"/>
      <w:tabs>
        <w:tab w:val="left" w:pos="6520"/>
        <w:tab w:val="right" w:pos="9638"/>
      </w:tabs>
      <w:spacing w:before="120"/>
      <w:rPr>
        <w:sz w:val="20"/>
      </w:rPr>
    </w:pPr>
    <w:r>
      <w:rPr>
        <w:sz w:val="20"/>
      </w:rPr>
      <w:t>GE.22-12547  (F)</w:t>
    </w:r>
    <w:bookmarkStart w:id="0" w:name="_GoBack"/>
    <w:bookmarkEnd w:id="0"/>
    <w:r>
      <w:rPr>
        <w:sz w:val="20"/>
      </w:rPr>
      <w:tab/>
    </w:r>
    <w:r w:rsidRPr="00E94547">
      <w:rPr>
        <w:noProof/>
        <w:sz w:val="20"/>
        <w:lang w:eastAsia="fr-CH"/>
      </w:rPr>
      <w:drawing>
        <wp:inline distT="0" distB="0" distL="0" distR="0" wp14:anchorId="010D1395" wp14:editId="6DB4F8A4">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7E8CA3E1" wp14:editId="15EBA22C">
          <wp:extent cx="637540" cy="6375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C089" w14:textId="77777777" w:rsidR="00C62FA4" w:rsidRPr="00AC3823" w:rsidRDefault="00C62FA4" w:rsidP="00AC3823">
      <w:pPr>
        <w:pStyle w:val="Pieddepage"/>
        <w:tabs>
          <w:tab w:val="right" w:pos="2155"/>
        </w:tabs>
        <w:spacing w:after="80" w:line="240" w:lineRule="atLeast"/>
        <w:ind w:left="680"/>
        <w:rPr>
          <w:u w:val="single"/>
        </w:rPr>
      </w:pPr>
      <w:r>
        <w:rPr>
          <w:u w:val="single"/>
        </w:rPr>
        <w:tab/>
      </w:r>
    </w:p>
  </w:footnote>
  <w:footnote w:type="continuationSeparator" w:id="0">
    <w:p w14:paraId="0454CCF2" w14:textId="77777777" w:rsidR="00C62FA4" w:rsidRPr="00AC3823" w:rsidRDefault="00C62FA4" w:rsidP="00AC3823">
      <w:pPr>
        <w:pStyle w:val="Pieddepage"/>
        <w:tabs>
          <w:tab w:val="right" w:pos="2155"/>
        </w:tabs>
        <w:spacing w:after="80" w:line="240" w:lineRule="atLeast"/>
        <w:ind w:left="680"/>
        <w:rPr>
          <w:u w:val="single"/>
        </w:rPr>
      </w:pPr>
      <w:r>
        <w:rPr>
          <w:u w:val="single"/>
        </w:rPr>
        <w:tab/>
      </w:r>
    </w:p>
  </w:footnote>
  <w:footnote w:type="continuationNotice" w:id="1">
    <w:p w14:paraId="78211994" w14:textId="77777777" w:rsidR="00C62FA4" w:rsidRPr="00AC3823" w:rsidRDefault="00C62FA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91A7" w14:textId="77777777" w:rsidR="00C62FA4" w:rsidRPr="00C62FA4" w:rsidRDefault="00A11135">
    <w:pPr>
      <w:pStyle w:val="En-tte"/>
    </w:pPr>
    <w:r>
      <w:fldChar w:fldCharType="begin"/>
    </w:r>
    <w:r>
      <w:instrText xml:space="preserve"> TITLE  \* MERGEFORMAT </w:instrText>
    </w:r>
    <w:r>
      <w:fldChar w:fldCharType="separate"/>
    </w:r>
    <w:r w:rsidR="00C62FA4">
      <w:t>ECE/TRANS/WP.11/2022/15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4CC5" w14:textId="77777777" w:rsidR="00C62FA4" w:rsidRPr="00C62FA4" w:rsidRDefault="00A11135" w:rsidP="00C62FA4">
    <w:pPr>
      <w:pStyle w:val="En-tte"/>
      <w:jc w:val="right"/>
    </w:pPr>
    <w:r>
      <w:fldChar w:fldCharType="begin"/>
    </w:r>
    <w:r>
      <w:instrText xml:space="preserve"> TITLE  \* MERGEFORMAT </w:instrText>
    </w:r>
    <w:r>
      <w:fldChar w:fldCharType="separate"/>
    </w:r>
    <w:r w:rsidR="00C62FA4">
      <w:t>ECE/TRANS/WP.11/2022/15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27D5612"/>
    <w:multiLevelType w:val="multilevel"/>
    <w:tmpl w:val="1054A862"/>
    <w:lvl w:ilvl="0">
      <w:start w:val="7"/>
      <w:numFmt w:val="decimal"/>
      <w:lvlText w:val="%1"/>
      <w:lvlJc w:val="left"/>
      <w:pPr>
        <w:ind w:left="964" w:hanging="850"/>
      </w:pPr>
      <w:rPr>
        <w:rFonts w:hint="default"/>
        <w:lang w:val="en-US" w:eastAsia="en-US" w:bidi="ar-SA"/>
      </w:rPr>
    </w:lvl>
    <w:lvl w:ilvl="1">
      <w:start w:val="3"/>
      <w:numFmt w:val="decimal"/>
      <w:lvlText w:val="%1.%2"/>
      <w:lvlJc w:val="left"/>
      <w:pPr>
        <w:ind w:left="964" w:hanging="850"/>
      </w:pPr>
      <w:rPr>
        <w:rFonts w:hint="default"/>
        <w:lang w:val="en-US" w:eastAsia="en-US" w:bidi="ar-SA"/>
      </w:rPr>
    </w:lvl>
    <w:lvl w:ilvl="2">
      <w:start w:val="7"/>
      <w:numFmt w:val="decimal"/>
      <w:lvlText w:val="%1.%2.%3"/>
      <w:lvlJc w:val="left"/>
      <w:pPr>
        <w:ind w:left="992" w:hanging="850"/>
      </w:pPr>
      <w:rPr>
        <w:rFonts w:hint="default"/>
        <w:w w:val="97"/>
        <w:lang w:val="en-US" w:eastAsia="en-US" w:bidi="ar-SA"/>
      </w:rPr>
    </w:lvl>
    <w:lvl w:ilvl="3">
      <w:start w:val="1"/>
      <w:numFmt w:val="lowerLetter"/>
      <w:lvlText w:val="(%4)"/>
      <w:lvlJc w:val="left"/>
      <w:pPr>
        <w:ind w:left="1417" w:hanging="454"/>
      </w:pPr>
      <w:rPr>
        <w:rFonts w:ascii="Trebuchet MS" w:eastAsia="Trebuchet MS" w:hAnsi="Trebuchet MS" w:cs="Trebuchet MS" w:hint="default"/>
        <w:b w:val="0"/>
        <w:bCs w:val="0"/>
        <w:i w:val="0"/>
        <w:iCs w:val="0"/>
        <w:spacing w:val="-7"/>
        <w:w w:val="72"/>
        <w:sz w:val="20"/>
        <w:szCs w:val="20"/>
        <w:lang w:val="en-US" w:eastAsia="en-US" w:bidi="ar-SA"/>
      </w:rPr>
    </w:lvl>
    <w:lvl w:ilvl="4">
      <w:numFmt w:val="bullet"/>
      <w:lvlText w:val="•"/>
      <w:lvlJc w:val="left"/>
      <w:pPr>
        <w:ind w:left="4135" w:hanging="454"/>
      </w:pPr>
      <w:rPr>
        <w:rFonts w:hint="default"/>
        <w:lang w:val="en-US" w:eastAsia="en-US" w:bidi="ar-SA"/>
      </w:rPr>
    </w:lvl>
    <w:lvl w:ilvl="5">
      <w:numFmt w:val="bullet"/>
      <w:lvlText w:val="•"/>
      <w:lvlJc w:val="left"/>
      <w:pPr>
        <w:ind w:left="5040" w:hanging="454"/>
      </w:pPr>
      <w:rPr>
        <w:rFonts w:hint="default"/>
        <w:lang w:val="en-US" w:eastAsia="en-US" w:bidi="ar-SA"/>
      </w:rPr>
    </w:lvl>
    <w:lvl w:ilvl="6">
      <w:numFmt w:val="bullet"/>
      <w:lvlText w:val="•"/>
      <w:lvlJc w:val="left"/>
      <w:pPr>
        <w:ind w:left="5945" w:hanging="454"/>
      </w:pPr>
      <w:rPr>
        <w:rFonts w:hint="default"/>
        <w:lang w:val="en-US" w:eastAsia="en-US" w:bidi="ar-SA"/>
      </w:rPr>
    </w:lvl>
    <w:lvl w:ilvl="7">
      <w:numFmt w:val="bullet"/>
      <w:lvlText w:val="•"/>
      <w:lvlJc w:val="left"/>
      <w:pPr>
        <w:ind w:left="6850" w:hanging="454"/>
      </w:pPr>
      <w:rPr>
        <w:rFonts w:hint="default"/>
        <w:lang w:val="en-US" w:eastAsia="en-US" w:bidi="ar-SA"/>
      </w:rPr>
    </w:lvl>
    <w:lvl w:ilvl="8">
      <w:numFmt w:val="bullet"/>
      <w:lvlText w:val="•"/>
      <w:lvlJc w:val="left"/>
      <w:pPr>
        <w:ind w:left="7755" w:hanging="454"/>
      </w:pPr>
      <w:rPr>
        <w:rFonts w:hint="default"/>
        <w:lang w:val="en-US" w:eastAsia="en-US" w:bidi="ar-SA"/>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99556623">
    <w:abstractNumId w:val="13"/>
  </w:num>
  <w:num w:numId="2" w16cid:durableId="701395113">
    <w:abstractNumId w:val="12"/>
  </w:num>
  <w:num w:numId="3" w16cid:durableId="1819613017">
    <w:abstractNumId w:val="10"/>
  </w:num>
  <w:num w:numId="4" w16cid:durableId="1131703269">
    <w:abstractNumId w:val="8"/>
  </w:num>
  <w:num w:numId="5" w16cid:durableId="2026900772">
    <w:abstractNumId w:val="3"/>
  </w:num>
  <w:num w:numId="6" w16cid:durableId="1791703655">
    <w:abstractNumId w:val="2"/>
  </w:num>
  <w:num w:numId="7" w16cid:durableId="1745951777">
    <w:abstractNumId w:val="1"/>
  </w:num>
  <w:num w:numId="8" w16cid:durableId="1531138612">
    <w:abstractNumId w:val="0"/>
  </w:num>
  <w:num w:numId="9" w16cid:durableId="14423698">
    <w:abstractNumId w:val="9"/>
  </w:num>
  <w:num w:numId="10" w16cid:durableId="2125809674">
    <w:abstractNumId w:val="7"/>
  </w:num>
  <w:num w:numId="11" w16cid:durableId="708603477">
    <w:abstractNumId w:val="6"/>
  </w:num>
  <w:num w:numId="12" w16cid:durableId="1759788098">
    <w:abstractNumId w:val="5"/>
  </w:num>
  <w:num w:numId="13" w16cid:durableId="1115632929">
    <w:abstractNumId w:val="4"/>
  </w:num>
  <w:num w:numId="14" w16cid:durableId="3069840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FA4"/>
    <w:rsid w:val="0001207F"/>
    <w:rsid w:val="00017F94"/>
    <w:rsid w:val="00023842"/>
    <w:rsid w:val="000334F9"/>
    <w:rsid w:val="0007796D"/>
    <w:rsid w:val="000942EE"/>
    <w:rsid w:val="000A52BF"/>
    <w:rsid w:val="000B7790"/>
    <w:rsid w:val="000D3EE9"/>
    <w:rsid w:val="000D62F3"/>
    <w:rsid w:val="00111F2F"/>
    <w:rsid w:val="001433FD"/>
    <w:rsid w:val="0014365E"/>
    <w:rsid w:val="00146839"/>
    <w:rsid w:val="001541D3"/>
    <w:rsid w:val="00176178"/>
    <w:rsid w:val="001A064B"/>
    <w:rsid w:val="001D400F"/>
    <w:rsid w:val="001D68F0"/>
    <w:rsid w:val="001F525A"/>
    <w:rsid w:val="00204ECC"/>
    <w:rsid w:val="00217588"/>
    <w:rsid w:val="00223272"/>
    <w:rsid w:val="00240333"/>
    <w:rsid w:val="0024779E"/>
    <w:rsid w:val="002832AC"/>
    <w:rsid w:val="002834A0"/>
    <w:rsid w:val="002D7C93"/>
    <w:rsid w:val="00343829"/>
    <w:rsid w:val="0037241C"/>
    <w:rsid w:val="003C2175"/>
    <w:rsid w:val="003F29E4"/>
    <w:rsid w:val="00441C3B"/>
    <w:rsid w:val="00446B0A"/>
    <w:rsid w:val="00446FE5"/>
    <w:rsid w:val="00452396"/>
    <w:rsid w:val="004575BB"/>
    <w:rsid w:val="00495C82"/>
    <w:rsid w:val="004A520F"/>
    <w:rsid w:val="004C2E7F"/>
    <w:rsid w:val="004E468C"/>
    <w:rsid w:val="004F2920"/>
    <w:rsid w:val="005316B0"/>
    <w:rsid w:val="00536769"/>
    <w:rsid w:val="005505B7"/>
    <w:rsid w:val="00564657"/>
    <w:rsid w:val="00573BE5"/>
    <w:rsid w:val="00586ED3"/>
    <w:rsid w:val="00596AA9"/>
    <w:rsid w:val="00617845"/>
    <w:rsid w:val="006E2F73"/>
    <w:rsid w:val="006F7814"/>
    <w:rsid w:val="00703D0F"/>
    <w:rsid w:val="00706363"/>
    <w:rsid w:val="0071601D"/>
    <w:rsid w:val="007A46A9"/>
    <w:rsid w:val="007A62E6"/>
    <w:rsid w:val="007E584B"/>
    <w:rsid w:val="007F59D8"/>
    <w:rsid w:val="0080684C"/>
    <w:rsid w:val="008204DA"/>
    <w:rsid w:val="0083123A"/>
    <w:rsid w:val="00871C75"/>
    <w:rsid w:val="008767E8"/>
    <w:rsid w:val="008776DC"/>
    <w:rsid w:val="00887DBF"/>
    <w:rsid w:val="00915979"/>
    <w:rsid w:val="009216A0"/>
    <w:rsid w:val="00955521"/>
    <w:rsid w:val="009705C8"/>
    <w:rsid w:val="009C1CF4"/>
    <w:rsid w:val="009F02C9"/>
    <w:rsid w:val="00A2243D"/>
    <w:rsid w:val="00A30353"/>
    <w:rsid w:val="00A62D91"/>
    <w:rsid w:val="00A90D54"/>
    <w:rsid w:val="00AA113A"/>
    <w:rsid w:val="00AC3823"/>
    <w:rsid w:val="00AE323C"/>
    <w:rsid w:val="00B00181"/>
    <w:rsid w:val="00B00B0D"/>
    <w:rsid w:val="00B07F65"/>
    <w:rsid w:val="00B30069"/>
    <w:rsid w:val="00B50E25"/>
    <w:rsid w:val="00B64918"/>
    <w:rsid w:val="00B765F7"/>
    <w:rsid w:val="00BA0CA9"/>
    <w:rsid w:val="00C02897"/>
    <w:rsid w:val="00C27F4D"/>
    <w:rsid w:val="00C62FA4"/>
    <w:rsid w:val="00C654AF"/>
    <w:rsid w:val="00C7616F"/>
    <w:rsid w:val="00C9548A"/>
    <w:rsid w:val="00CB16B5"/>
    <w:rsid w:val="00CE0608"/>
    <w:rsid w:val="00CE6835"/>
    <w:rsid w:val="00D07EC8"/>
    <w:rsid w:val="00D3439C"/>
    <w:rsid w:val="00D44CF3"/>
    <w:rsid w:val="00D70306"/>
    <w:rsid w:val="00D9248E"/>
    <w:rsid w:val="00DA6C5E"/>
    <w:rsid w:val="00DB1831"/>
    <w:rsid w:val="00DD3BFD"/>
    <w:rsid w:val="00DF431C"/>
    <w:rsid w:val="00DF6678"/>
    <w:rsid w:val="00E31E1A"/>
    <w:rsid w:val="00E57086"/>
    <w:rsid w:val="00E939CE"/>
    <w:rsid w:val="00E94547"/>
    <w:rsid w:val="00EC50E5"/>
    <w:rsid w:val="00EF2E22"/>
    <w:rsid w:val="00EF6299"/>
    <w:rsid w:val="00F0592C"/>
    <w:rsid w:val="00F305FC"/>
    <w:rsid w:val="00F4328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A2B50F"/>
  <w15:docId w15:val="{BE36A505-8455-4E30-B8F8-9A402151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character" w:customStyle="1" w:styleId="Policepardfaut1">
    <w:name w:val="Police par défaut1"/>
    <w:rsid w:val="003F29E4"/>
  </w:style>
  <w:style w:type="paragraph" w:customStyle="1" w:styleId="Standard">
    <w:name w:val="Standard"/>
    <w:rsid w:val="003F29E4"/>
    <w:pPr>
      <w:suppressAutoHyphens/>
      <w:autoSpaceDN w:val="0"/>
      <w:snapToGrid w:val="0"/>
      <w:spacing w:after="0" w:line="240" w:lineRule="atLeast"/>
      <w:textAlignment w:val="baseline"/>
    </w:pPr>
    <w:rPr>
      <w:rFonts w:eastAsia="Calibri"/>
      <w:kern w:val="3"/>
      <w:lang w:eastAsia="en-US"/>
    </w:rPr>
  </w:style>
  <w:style w:type="paragraph" w:customStyle="1" w:styleId="Default">
    <w:name w:val="Default"/>
    <w:rsid w:val="003F29E4"/>
    <w:pPr>
      <w:autoSpaceDE w:val="0"/>
      <w:autoSpaceDN w:val="0"/>
      <w:adjustRightInd w:val="0"/>
      <w:spacing w:after="0" w:line="240" w:lineRule="auto"/>
    </w:pPr>
    <w:rPr>
      <w:color w:val="000000"/>
      <w:sz w:val="24"/>
      <w:szCs w:val="24"/>
      <w:lang w:val="fr-FR"/>
    </w:rPr>
  </w:style>
  <w:style w:type="character" w:styleId="Marquedecommentaire">
    <w:name w:val="annotation reference"/>
    <w:basedOn w:val="Policepardfaut"/>
    <w:uiPriority w:val="99"/>
    <w:semiHidden/>
    <w:unhideWhenUsed/>
    <w:rsid w:val="00E57086"/>
    <w:rPr>
      <w:sz w:val="16"/>
      <w:szCs w:val="16"/>
    </w:rPr>
  </w:style>
  <w:style w:type="paragraph" w:styleId="Commentaire">
    <w:name w:val="annotation text"/>
    <w:basedOn w:val="Normal"/>
    <w:link w:val="CommentaireCar"/>
    <w:uiPriority w:val="99"/>
    <w:semiHidden/>
    <w:unhideWhenUsed/>
    <w:rsid w:val="00E57086"/>
    <w:pPr>
      <w:spacing w:line="240" w:lineRule="auto"/>
    </w:pPr>
  </w:style>
  <w:style w:type="character" w:customStyle="1" w:styleId="CommentaireCar">
    <w:name w:val="Commentaire Car"/>
    <w:basedOn w:val="Policepardfaut"/>
    <w:link w:val="Commentaire"/>
    <w:uiPriority w:val="99"/>
    <w:semiHidden/>
    <w:rsid w:val="00E57086"/>
  </w:style>
  <w:style w:type="paragraph" w:styleId="Objetducommentaire">
    <w:name w:val="annotation subject"/>
    <w:basedOn w:val="Commentaire"/>
    <w:next w:val="Commentaire"/>
    <w:link w:val="ObjetducommentaireCar"/>
    <w:uiPriority w:val="99"/>
    <w:semiHidden/>
    <w:unhideWhenUsed/>
    <w:rsid w:val="00E57086"/>
    <w:rPr>
      <w:b/>
      <w:bCs/>
    </w:rPr>
  </w:style>
  <w:style w:type="character" w:customStyle="1" w:styleId="ObjetducommentaireCar">
    <w:name w:val="Objet du commentaire Car"/>
    <w:basedOn w:val="CommentaireCar"/>
    <w:link w:val="Objetducommentaire"/>
    <w:uiPriority w:val="99"/>
    <w:semiHidden/>
    <w:rsid w:val="00E570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Props1.xml><?xml version="1.0" encoding="utf-8"?>
<ds:datastoreItem xmlns:ds="http://schemas.openxmlformats.org/officeDocument/2006/customXml" ds:itemID="{39200B3E-0FC0-4D3B-9A28-23D6282EEDFC}">
  <ds:schemaRefs>
    <ds:schemaRef ds:uri="http://schemas.microsoft.com/sharepoint/v3/contenttype/forms"/>
  </ds:schemaRefs>
</ds:datastoreItem>
</file>

<file path=customXml/itemProps2.xml><?xml version="1.0" encoding="utf-8"?>
<ds:datastoreItem xmlns:ds="http://schemas.openxmlformats.org/officeDocument/2006/customXml" ds:itemID="{0D5DA831-98B1-47DD-AB4F-477C44FC3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4A9CE-2EE6-49BB-8732-017E3D696537}">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2595</Characters>
  <Application>Microsoft Office Word</Application>
  <DocSecurity>0</DocSecurity>
  <Lines>70</Lines>
  <Paragraphs>48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ECE/TRANS/WP.11/2022/15</dc:title>
  <dc:subject>FINAL</dc:subject>
  <dc:creator>ND</dc:creator>
  <cp:keywords/>
  <dc:description/>
  <cp:lastModifiedBy>Julien Okrzesik</cp:lastModifiedBy>
  <cp:revision>2</cp:revision>
  <cp:lastPrinted>2014-05-14T10:59:00Z</cp:lastPrinted>
  <dcterms:created xsi:type="dcterms:W3CDTF">2022-08-12T06:44:00Z</dcterms:created>
  <dcterms:modified xsi:type="dcterms:W3CDTF">2022-08-12T06:44:00Z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