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1642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1642F" w:rsidP="00C1642F">
            <w:pPr>
              <w:jc w:val="right"/>
            </w:pPr>
            <w:r w:rsidRPr="00C1642F">
              <w:rPr>
                <w:sz w:val="40"/>
              </w:rPr>
              <w:t>ECE</w:t>
            </w:r>
            <w:r>
              <w:t>/TRANS/WP.11/2018/17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1642F" w:rsidP="00C97039">
            <w:pPr>
              <w:spacing w:before="240"/>
            </w:pPr>
            <w:r>
              <w:t>Distr. générale</w:t>
            </w:r>
          </w:p>
          <w:p w:rsidR="00C1642F" w:rsidRDefault="00C1642F" w:rsidP="00C1642F">
            <w:pPr>
              <w:spacing w:line="240" w:lineRule="exact"/>
            </w:pPr>
            <w:r>
              <w:t>25 juillet 2018</w:t>
            </w:r>
          </w:p>
          <w:p w:rsidR="00C1642F" w:rsidRDefault="00C1642F" w:rsidP="00C1642F">
            <w:pPr>
              <w:spacing w:line="240" w:lineRule="exact"/>
            </w:pPr>
            <w:r>
              <w:t>Français</w:t>
            </w:r>
          </w:p>
          <w:p w:rsidR="00C1642F" w:rsidRPr="00DB58B5" w:rsidRDefault="00C1642F" w:rsidP="00C1642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1642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1642F" w:rsidRPr="00685843" w:rsidRDefault="00C1642F" w:rsidP="00305801">
      <w:pPr>
        <w:spacing w:before="120"/>
        <w:rPr>
          <w:b/>
          <w:sz w:val="24"/>
          <w:szCs w:val="24"/>
        </w:rPr>
      </w:pPr>
      <w:r>
        <w:rPr>
          <w:b/>
          <w:sz w:val="24"/>
          <w:szCs w:val="24"/>
        </w:rPr>
        <w:t>Groupe de travail du transport des denrées périssables</w:t>
      </w:r>
    </w:p>
    <w:p w:rsidR="00C1642F" w:rsidRPr="00F30D47" w:rsidRDefault="00C1642F" w:rsidP="00305801">
      <w:pPr>
        <w:spacing w:before="120"/>
        <w:rPr>
          <w:b/>
        </w:rPr>
      </w:pPr>
      <w:r w:rsidRPr="00C1642F">
        <w:rPr>
          <w:b/>
        </w:rPr>
        <w:t>Soixante-quatorzième</w:t>
      </w:r>
      <w:r w:rsidRPr="003C134A">
        <w:t xml:space="preserve"> </w:t>
      </w:r>
      <w:r w:rsidRPr="00F30D47">
        <w:rPr>
          <w:b/>
        </w:rPr>
        <w:t>session</w:t>
      </w:r>
    </w:p>
    <w:p w:rsidR="00C1642F" w:rsidRDefault="00C1642F" w:rsidP="00305801">
      <w:r>
        <w:t xml:space="preserve">Genève, </w:t>
      </w:r>
      <w:r w:rsidRPr="003C134A">
        <w:t>8-12 octobre 2018</w:t>
      </w:r>
    </w:p>
    <w:p w:rsidR="00C1642F" w:rsidRDefault="00C1642F" w:rsidP="00C1642F">
      <w:r>
        <w:t>Point 2 de l’ordre du jour provisoire</w:t>
      </w:r>
      <w:bookmarkStart w:id="1" w:name="_Hlk511311763"/>
    </w:p>
    <w:p w:rsidR="00C1642F" w:rsidRPr="00C1642F" w:rsidRDefault="00C1642F" w:rsidP="00C1642F">
      <w:pPr>
        <w:rPr>
          <w:b/>
        </w:rPr>
      </w:pPr>
      <w:r w:rsidRPr="00C1642F">
        <w:rPr>
          <w:b/>
        </w:rPr>
        <w:t>Table ronde sur les moyens d</w:t>
      </w:r>
      <w:r>
        <w:rPr>
          <w:b/>
        </w:rPr>
        <w:t>’</w:t>
      </w:r>
      <w:r w:rsidRPr="00C1642F">
        <w:rPr>
          <w:b/>
        </w:rPr>
        <w:t>améliorer</w:t>
      </w:r>
      <w:r w:rsidRPr="00C1642F">
        <w:rPr>
          <w:b/>
        </w:rPr>
        <w:br/>
        <w:t>le fonctionnement du Groupe de travail</w:t>
      </w:r>
      <w:bookmarkEnd w:id="1"/>
    </w:p>
    <w:p w:rsidR="00C1642F" w:rsidRPr="003C134A" w:rsidRDefault="00C1642F" w:rsidP="00C1642F">
      <w:pPr>
        <w:pStyle w:val="HChG"/>
        <w:tabs>
          <w:tab w:val="clear" w:pos="851"/>
        </w:tabs>
      </w:pPr>
      <w:r>
        <w:tab/>
      </w:r>
      <w:r w:rsidRPr="003C134A">
        <w:t>Table ronde sur l</w:t>
      </w:r>
      <w:r>
        <w:t>’</w:t>
      </w:r>
      <w:r w:rsidRPr="003C134A">
        <w:t>amélioration du Groupe de travail</w:t>
      </w:r>
      <w:r>
        <w:br/>
      </w:r>
      <w:r w:rsidRPr="003C134A">
        <w:t>du transport des denrées périssables (WP.11)</w:t>
      </w:r>
    </w:p>
    <w:p w:rsidR="00F9573C" w:rsidRDefault="00C1642F" w:rsidP="00C1642F">
      <w:pPr>
        <w:pStyle w:val="H1G"/>
      </w:pPr>
      <w:r w:rsidRPr="003C134A">
        <w:tab/>
      </w:r>
      <w:r w:rsidRPr="003C134A">
        <w:tab/>
        <w:t>Transmis par le Président du groupe de travail informel</w:t>
      </w:r>
      <w:r>
        <w:br/>
      </w:r>
      <w:r w:rsidRPr="003C134A">
        <w:t>sur l</w:t>
      </w:r>
      <w:r>
        <w:t>’</w:t>
      </w:r>
      <w:r w:rsidRPr="003C134A">
        <w:t>amélioration des méthodes de travail du WP.11</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1642F" w:rsidTr="009C5C5C">
        <w:trPr>
          <w:jc w:val="center"/>
        </w:trPr>
        <w:tc>
          <w:tcPr>
            <w:tcW w:w="9637" w:type="dxa"/>
            <w:shd w:val="clear" w:color="auto" w:fill="auto"/>
          </w:tcPr>
          <w:p w:rsidR="00C1642F" w:rsidRPr="000001E7" w:rsidRDefault="00C1642F" w:rsidP="009C5C5C">
            <w:pPr>
              <w:spacing w:before="240" w:after="120"/>
              <w:ind w:left="255"/>
              <w:rPr>
                <w:i/>
                <w:sz w:val="24"/>
              </w:rPr>
            </w:pPr>
            <w:r w:rsidRPr="000001E7">
              <w:rPr>
                <w:i/>
                <w:sz w:val="24"/>
              </w:rPr>
              <w:t>Résumé</w:t>
            </w:r>
          </w:p>
        </w:tc>
      </w:tr>
      <w:tr w:rsidR="00C1642F" w:rsidTr="009C5C5C">
        <w:trPr>
          <w:jc w:val="center"/>
        </w:trPr>
        <w:tc>
          <w:tcPr>
            <w:tcW w:w="9637" w:type="dxa"/>
            <w:shd w:val="clear" w:color="auto" w:fill="auto"/>
          </w:tcPr>
          <w:p w:rsidR="00C1642F" w:rsidRDefault="00C1642F" w:rsidP="00C1642F">
            <w:pPr>
              <w:pStyle w:val="SingleTxtG"/>
              <w:ind w:left="3402" w:hanging="2268"/>
            </w:pPr>
            <w:r>
              <w:rPr>
                <w:b/>
                <w:bCs/>
                <w:lang w:val="fr-FR"/>
              </w:rPr>
              <w:t>Résumé analytique :</w:t>
            </w:r>
            <w:r>
              <w:rPr>
                <w:b/>
                <w:bCs/>
                <w:lang w:val="fr-FR"/>
              </w:rPr>
              <w:tab/>
            </w:r>
            <w:r>
              <w:rPr>
                <w:lang w:val="fr-FR"/>
              </w:rPr>
              <w:t>Afin d’améliorer</w:t>
            </w:r>
            <w:r w:rsidRPr="00CB1F18">
              <w:rPr>
                <w:lang w:val="fr-FR"/>
              </w:rPr>
              <w:t xml:space="preserve"> les méthodes de travail du WP.11, il a été décidé </w:t>
            </w:r>
            <w:r>
              <w:rPr>
                <w:lang w:val="fr-FR"/>
              </w:rPr>
              <w:t xml:space="preserve">d’accroître son efficacité </w:t>
            </w:r>
            <w:r w:rsidRPr="00CB1F18">
              <w:rPr>
                <w:lang w:val="fr-FR"/>
              </w:rPr>
              <w:t>et d</w:t>
            </w:r>
            <w:r>
              <w:rPr>
                <w:lang w:val="fr-FR"/>
              </w:rPr>
              <w:t>’</w:t>
            </w:r>
            <w:r w:rsidRPr="00CB1F18">
              <w:rPr>
                <w:lang w:val="fr-FR"/>
              </w:rPr>
              <w:t>améliorer son fonctionnement. Lors de la table ronde qui aura lieu le premier jour de la soixante-quatorzième session, les participants aborderont les principales questions permettant d</w:t>
            </w:r>
            <w:r>
              <w:rPr>
                <w:lang w:val="fr-FR"/>
              </w:rPr>
              <w:t>’</w:t>
            </w:r>
            <w:r w:rsidRPr="00CB1F18">
              <w:rPr>
                <w:lang w:val="fr-FR"/>
              </w:rPr>
              <w:t xml:space="preserve">y parvenir. Le groupe de travail </w:t>
            </w:r>
            <w:r>
              <w:rPr>
                <w:lang w:val="fr-FR"/>
              </w:rPr>
              <w:t xml:space="preserve">informel </w:t>
            </w:r>
            <w:r w:rsidRPr="00CB1F18">
              <w:rPr>
                <w:lang w:val="fr-FR"/>
              </w:rPr>
              <w:t>a élaboré</w:t>
            </w:r>
            <w:r>
              <w:rPr>
                <w:lang w:val="fr-FR"/>
              </w:rPr>
              <w:t xml:space="preserve"> le présent document, qui contient des </w:t>
            </w:r>
            <w:r w:rsidRPr="00CB1F18">
              <w:rPr>
                <w:lang w:val="fr-FR"/>
              </w:rPr>
              <w:t>éléments de discussion</w:t>
            </w:r>
            <w:r>
              <w:rPr>
                <w:lang w:val="fr-FR"/>
              </w:rPr>
              <w:t xml:space="preserve"> </w:t>
            </w:r>
            <w:r w:rsidRPr="00CB1F18">
              <w:rPr>
                <w:lang w:val="fr-FR"/>
              </w:rPr>
              <w:t xml:space="preserve">pertinents. Un accord sur ces points et sur leur </w:t>
            </w:r>
            <w:r>
              <w:rPr>
                <w:lang w:val="fr-FR"/>
              </w:rPr>
              <w:t>application</w:t>
            </w:r>
            <w:r w:rsidRPr="00CB1F18">
              <w:rPr>
                <w:lang w:val="fr-FR"/>
              </w:rPr>
              <w:t xml:space="preserve"> co</w:t>
            </w:r>
            <w:r>
              <w:rPr>
                <w:lang w:val="fr-FR"/>
              </w:rPr>
              <w:t xml:space="preserve">ntribuera à la réalisation des </w:t>
            </w:r>
            <w:r w:rsidRPr="00CB1F18">
              <w:rPr>
                <w:lang w:val="fr-FR"/>
              </w:rPr>
              <w:t>objectif</w:t>
            </w:r>
            <w:r>
              <w:rPr>
                <w:lang w:val="fr-FR"/>
              </w:rPr>
              <w:t>s susmentionnés</w:t>
            </w:r>
            <w:r w:rsidRPr="00CB1F18">
              <w:rPr>
                <w:lang w:val="fr-FR"/>
              </w:rPr>
              <w:t>.</w:t>
            </w:r>
          </w:p>
        </w:tc>
      </w:tr>
      <w:tr w:rsidR="00C1642F" w:rsidTr="009C5C5C">
        <w:trPr>
          <w:jc w:val="center"/>
        </w:trPr>
        <w:tc>
          <w:tcPr>
            <w:tcW w:w="9637" w:type="dxa"/>
            <w:shd w:val="clear" w:color="auto" w:fill="auto"/>
          </w:tcPr>
          <w:p w:rsidR="00C1642F" w:rsidRDefault="00C1642F" w:rsidP="00C1642F">
            <w:pPr>
              <w:pStyle w:val="SingleTxtG"/>
              <w:ind w:left="3402" w:hanging="2268"/>
              <w:rPr>
                <w:b/>
                <w:bCs/>
                <w:lang w:val="fr-FR"/>
              </w:rPr>
            </w:pPr>
            <w:r>
              <w:rPr>
                <w:b/>
                <w:bCs/>
                <w:lang w:val="fr-FR"/>
              </w:rPr>
              <w:t>Mesure à prendre :</w:t>
            </w:r>
            <w:r>
              <w:rPr>
                <w:b/>
                <w:bCs/>
                <w:lang w:val="fr-FR"/>
              </w:rPr>
              <w:tab/>
            </w:r>
            <w:r>
              <w:rPr>
                <w:b/>
                <w:bCs/>
                <w:lang w:val="fr-FR"/>
              </w:rPr>
              <w:tab/>
            </w:r>
            <w:r w:rsidRPr="00CB1F18">
              <w:rPr>
                <w:lang w:val="fr-FR"/>
              </w:rPr>
              <w:t xml:space="preserve">Examiner les questions soulevées dans </w:t>
            </w:r>
            <w:r>
              <w:rPr>
                <w:lang w:val="fr-FR"/>
              </w:rPr>
              <w:t>le présent</w:t>
            </w:r>
            <w:r w:rsidRPr="00CB1F18">
              <w:rPr>
                <w:lang w:val="fr-FR"/>
              </w:rPr>
              <w:t xml:space="preserve"> document et parvenir à un consensus.</w:t>
            </w:r>
          </w:p>
        </w:tc>
      </w:tr>
      <w:tr w:rsidR="00C1642F" w:rsidTr="009C5C5C">
        <w:trPr>
          <w:jc w:val="center"/>
        </w:trPr>
        <w:tc>
          <w:tcPr>
            <w:tcW w:w="9637" w:type="dxa"/>
            <w:shd w:val="clear" w:color="auto" w:fill="auto"/>
          </w:tcPr>
          <w:p w:rsidR="00C1642F" w:rsidRDefault="00C1642F" w:rsidP="009C5C5C">
            <w:pPr>
              <w:pStyle w:val="SingleTxtG"/>
              <w:rPr>
                <w:b/>
                <w:bCs/>
                <w:lang w:val="fr-FR"/>
              </w:rPr>
            </w:pPr>
            <w:r>
              <w:rPr>
                <w:b/>
                <w:bCs/>
                <w:lang w:val="fr-FR"/>
              </w:rPr>
              <w:t>Documents connexes :</w:t>
            </w:r>
            <w:r>
              <w:rPr>
                <w:b/>
                <w:bCs/>
                <w:lang w:val="fr-FR"/>
              </w:rPr>
              <w:tab/>
            </w:r>
            <w:r>
              <w:rPr>
                <w:lang w:val="fr-FR"/>
              </w:rPr>
              <w:t>Aucun.</w:t>
            </w:r>
          </w:p>
        </w:tc>
      </w:tr>
      <w:tr w:rsidR="00C1642F" w:rsidTr="009C5C5C">
        <w:trPr>
          <w:jc w:val="center"/>
        </w:trPr>
        <w:tc>
          <w:tcPr>
            <w:tcW w:w="9637" w:type="dxa"/>
            <w:shd w:val="clear" w:color="auto" w:fill="auto"/>
          </w:tcPr>
          <w:p w:rsidR="00C1642F" w:rsidRDefault="00C1642F" w:rsidP="009C5C5C"/>
        </w:tc>
      </w:tr>
    </w:tbl>
    <w:p w:rsidR="002B38DA" w:rsidRPr="00CB1F18" w:rsidRDefault="002B38DA" w:rsidP="002B38DA">
      <w:pPr>
        <w:pStyle w:val="HChG"/>
      </w:pPr>
      <w:r>
        <w:rPr>
          <w:lang w:val="fr-FR"/>
        </w:rPr>
        <w:tab/>
      </w:r>
      <w:r w:rsidRPr="00CB1F18">
        <w:rPr>
          <w:lang w:val="fr-FR"/>
        </w:rPr>
        <w:t>I.</w:t>
      </w:r>
      <w:r w:rsidRPr="00CB1F18">
        <w:rPr>
          <w:lang w:val="fr-FR"/>
        </w:rPr>
        <w:tab/>
        <w:t>Introduction</w:t>
      </w:r>
    </w:p>
    <w:p w:rsidR="002B38DA" w:rsidRDefault="002B38DA" w:rsidP="002B38DA">
      <w:pPr>
        <w:pStyle w:val="SingleTxtG"/>
        <w:rPr>
          <w:lang w:val="fr-FR"/>
        </w:rPr>
      </w:pPr>
      <w:r w:rsidRPr="00CB1F18">
        <w:rPr>
          <w:lang w:val="fr-FR"/>
        </w:rPr>
        <w:t>1.</w:t>
      </w:r>
      <w:r w:rsidRPr="00CB1F18">
        <w:rPr>
          <w:lang w:val="fr-FR"/>
        </w:rPr>
        <w:tab/>
        <w:t>À sa soixante-treizième session (10-13 octobre 2017), le Groupe de travail du transport des denrées périssables (WP.11) a décidé de p</w:t>
      </w:r>
      <w:r>
        <w:rPr>
          <w:lang w:val="fr-FR"/>
        </w:rPr>
        <w:t xml:space="preserve">rolonger </w:t>
      </w:r>
      <w:r w:rsidRPr="00CB1F18">
        <w:rPr>
          <w:lang w:val="fr-FR"/>
        </w:rPr>
        <w:t>d</w:t>
      </w:r>
      <w:r>
        <w:rPr>
          <w:lang w:val="fr-FR"/>
        </w:rPr>
        <w:t>’</w:t>
      </w:r>
      <w:r w:rsidRPr="00CB1F18">
        <w:rPr>
          <w:lang w:val="fr-FR"/>
        </w:rPr>
        <w:t>une journée</w:t>
      </w:r>
      <w:r>
        <w:rPr>
          <w:lang w:val="fr-FR"/>
        </w:rPr>
        <w:t xml:space="preserve"> sa prochaine session, qui se tiendra en </w:t>
      </w:r>
      <w:r w:rsidRPr="00CB1F18">
        <w:rPr>
          <w:lang w:val="fr-FR"/>
        </w:rPr>
        <w:t>octobre 2018</w:t>
      </w:r>
      <w:r>
        <w:rPr>
          <w:lang w:val="fr-FR"/>
        </w:rPr>
        <w:t>,</w:t>
      </w:r>
      <w:r w:rsidRPr="00CB1F18">
        <w:rPr>
          <w:lang w:val="fr-FR"/>
        </w:rPr>
        <w:t xml:space="preserve"> </w:t>
      </w:r>
      <w:r>
        <w:rPr>
          <w:lang w:val="fr-FR"/>
        </w:rPr>
        <w:t>afin d’</w:t>
      </w:r>
      <w:r w:rsidRPr="00CB1F18">
        <w:rPr>
          <w:lang w:val="fr-FR"/>
        </w:rPr>
        <w:t>organiser une table ronde</w:t>
      </w:r>
      <w:r>
        <w:rPr>
          <w:lang w:val="fr-FR"/>
        </w:rPr>
        <w:t>, avec pour objectif d’améliorer les</w:t>
      </w:r>
      <w:r w:rsidRPr="00CB1F18">
        <w:rPr>
          <w:lang w:val="fr-FR"/>
        </w:rPr>
        <w:t xml:space="preserve"> méthodes de travail du Groupe de travail, </w:t>
      </w:r>
      <w:r>
        <w:rPr>
          <w:lang w:val="fr-FR"/>
        </w:rPr>
        <w:t>d’adapter</w:t>
      </w:r>
      <w:r w:rsidRPr="00CB1F18">
        <w:rPr>
          <w:lang w:val="fr-FR"/>
        </w:rPr>
        <w:t xml:space="preserve"> </w:t>
      </w:r>
      <w:r>
        <w:rPr>
          <w:lang w:val="fr-FR"/>
        </w:rPr>
        <w:t>l’ATP aux</w:t>
      </w:r>
      <w:r w:rsidRPr="00CB1F18">
        <w:rPr>
          <w:lang w:val="fr-FR"/>
        </w:rPr>
        <w:t xml:space="preserve"> dernières évolutions technologique</w:t>
      </w:r>
      <w:r>
        <w:rPr>
          <w:lang w:val="fr-FR"/>
        </w:rPr>
        <w:t>s</w:t>
      </w:r>
      <w:r w:rsidRPr="00CB1F18">
        <w:rPr>
          <w:lang w:val="fr-FR"/>
        </w:rPr>
        <w:t>, politique</w:t>
      </w:r>
      <w:r>
        <w:rPr>
          <w:lang w:val="fr-FR"/>
        </w:rPr>
        <w:t>s</w:t>
      </w:r>
      <w:r w:rsidRPr="00CB1F18">
        <w:rPr>
          <w:lang w:val="fr-FR"/>
        </w:rPr>
        <w:t xml:space="preserve"> et économique</w:t>
      </w:r>
      <w:r>
        <w:rPr>
          <w:lang w:val="fr-FR"/>
        </w:rPr>
        <w:t>s</w:t>
      </w:r>
      <w:r w:rsidRPr="00CB1F18">
        <w:rPr>
          <w:lang w:val="fr-FR"/>
        </w:rPr>
        <w:t xml:space="preserve">, </w:t>
      </w:r>
      <w:r>
        <w:rPr>
          <w:lang w:val="fr-FR"/>
        </w:rPr>
        <w:t xml:space="preserve">ainsi que de maintenir à jour cet </w:t>
      </w:r>
      <w:r>
        <w:rPr>
          <w:lang w:val="fr-FR"/>
        </w:rPr>
        <w:lastRenderedPageBreak/>
        <w:t>Accord qui garantit</w:t>
      </w:r>
      <w:r w:rsidRPr="00CB1F18">
        <w:rPr>
          <w:lang w:val="fr-FR"/>
        </w:rPr>
        <w:t xml:space="preserve"> la haute qualité des produits et la protection de la santé partout dans le monde.</w:t>
      </w:r>
    </w:p>
    <w:p w:rsidR="002B38DA" w:rsidRDefault="002B38DA" w:rsidP="002B38DA">
      <w:pPr>
        <w:pStyle w:val="SingleTxtG"/>
        <w:rPr>
          <w:lang w:val="fr-FR"/>
        </w:rPr>
      </w:pPr>
      <w:r w:rsidRPr="00CB1F18">
        <w:rPr>
          <w:lang w:val="fr-FR"/>
        </w:rPr>
        <w:t>2.</w:t>
      </w:r>
      <w:r w:rsidRPr="00CB1F18">
        <w:rPr>
          <w:lang w:val="fr-FR"/>
        </w:rPr>
        <w:tab/>
      </w:r>
      <w:r>
        <w:rPr>
          <w:lang w:val="fr-FR"/>
        </w:rPr>
        <w:t xml:space="preserve">Le présent </w:t>
      </w:r>
      <w:r w:rsidRPr="00CB1F18">
        <w:rPr>
          <w:lang w:val="fr-FR"/>
        </w:rPr>
        <w:t>document sert de base au débat et expose les</w:t>
      </w:r>
      <w:r>
        <w:rPr>
          <w:lang w:val="fr-FR"/>
        </w:rPr>
        <w:t xml:space="preserve"> principaux points qui doivent </w:t>
      </w:r>
      <w:r w:rsidRPr="00CB1F18">
        <w:rPr>
          <w:lang w:val="fr-FR"/>
        </w:rPr>
        <w:t>faire l</w:t>
      </w:r>
      <w:r>
        <w:rPr>
          <w:lang w:val="fr-FR"/>
        </w:rPr>
        <w:t>’</w:t>
      </w:r>
      <w:r w:rsidRPr="00CB1F18">
        <w:rPr>
          <w:lang w:val="fr-FR"/>
        </w:rPr>
        <w:t xml:space="preserve">objet </w:t>
      </w:r>
      <w:r>
        <w:rPr>
          <w:lang w:val="fr-FR"/>
        </w:rPr>
        <w:t xml:space="preserve">de </w:t>
      </w:r>
      <w:r w:rsidRPr="00CB1F18">
        <w:rPr>
          <w:lang w:val="fr-FR"/>
        </w:rPr>
        <w:t>réflexion</w:t>
      </w:r>
      <w:r>
        <w:rPr>
          <w:lang w:val="fr-FR"/>
        </w:rPr>
        <w:t>s</w:t>
      </w:r>
      <w:r w:rsidRPr="00CB1F18">
        <w:rPr>
          <w:lang w:val="fr-FR"/>
        </w:rPr>
        <w:t xml:space="preserve"> et de discussions </w:t>
      </w:r>
      <w:r>
        <w:rPr>
          <w:lang w:val="fr-FR"/>
        </w:rPr>
        <w:t xml:space="preserve">constructives, ainsi que de décisions afin d’atteindre les </w:t>
      </w:r>
      <w:r w:rsidRPr="00CB1F18">
        <w:rPr>
          <w:lang w:val="fr-FR"/>
        </w:rPr>
        <w:t>objectif</w:t>
      </w:r>
      <w:r>
        <w:rPr>
          <w:lang w:val="fr-FR"/>
        </w:rPr>
        <w:t>s</w:t>
      </w:r>
      <w:r w:rsidRPr="00CB1F18">
        <w:rPr>
          <w:lang w:val="fr-FR"/>
        </w:rPr>
        <w:t xml:space="preserve"> susmentionné</w:t>
      </w:r>
      <w:r>
        <w:rPr>
          <w:lang w:val="fr-FR"/>
        </w:rPr>
        <w:t>s</w:t>
      </w:r>
      <w:r w:rsidRPr="00CB1F18">
        <w:rPr>
          <w:lang w:val="fr-FR"/>
        </w:rPr>
        <w:t>.</w:t>
      </w:r>
    </w:p>
    <w:p w:rsidR="002B38DA" w:rsidRPr="00FC0142" w:rsidRDefault="002B38DA" w:rsidP="002B38DA">
      <w:pPr>
        <w:pStyle w:val="SingleTxtG"/>
        <w:rPr>
          <w:lang w:val="fr-FR"/>
        </w:rPr>
      </w:pPr>
      <w:r w:rsidRPr="00CB1F18">
        <w:rPr>
          <w:lang w:val="fr-FR"/>
        </w:rPr>
        <w:t>3.</w:t>
      </w:r>
      <w:r w:rsidRPr="00CB1F18">
        <w:rPr>
          <w:lang w:val="fr-FR"/>
        </w:rPr>
        <w:tab/>
        <w:t xml:space="preserve">Le mandat confié au groupe de travail informel par le Groupe de travail </w:t>
      </w:r>
      <w:r>
        <w:rPr>
          <w:lang w:val="fr-FR"/>
        </w:rPr>
        <w:t xml:space="preserve">a </w:t>
      </w:r>
      <w:r w:rsidRPr="00FC0142">
        <w:rPr>
          <w:lang w:val="fr-FR"/>
        </w:rPr>
        <w:t>été clairement défini comme suit :</w:t>
      </w:r>
    </w:p>
    <w:p w:rsidR="002B38DA" w:rsidRPr="00AC44B2" w:rsidRDefault="00AC44B2" w:rsidP="00174354">
      <w:pPr>
        <w:pStyle w:val="SingleTxtG"/>
        <w:ind w:left="2268" w:hanging="567"/>
        <w:rPr>
          <w:b/>
          <w:i/>
        </w:rPr>
      </w:pPr>
      <w:r w:rsidRPr="00AC44B2">
        <w:rPr>
          <w:b/>
          <w:i/>
          <w:lang w:val="fr-FR"/>
        </w:rPr>
        <w:t>a.</w:t>
      </w:r>
      <w:r w:rsidRPr="00AC44B2">
        <w:rPr>
          <w:b/>
          <w:i/>
          <w:lang w:val="fr-FR"/>
        </w:rPr>
        <w:tab/>
      </w:r>
      <w:r w:rsidR="002B38DA" w:rsidRPr="00AC44B2">
        <w:rPr>
          <w:b/>
          <w:i/>
          <w:lang w:val="fr-FR"/>
        </w:rPr>
        <w:t>Recenser et examiner les sujets qui méritent attention en vue de maintenir l’ATP à jour.</w:t>
      </w:r>
    </w:p>
    <w:p w:rsidR="002B38DA" w:rsidRPr="00AC44B2" w:rsidRDefault="00AC44B2" w:rsidP="00174354">
      <w:pPr>
        <w:pStyle w:val="SingleTxtG"/>
        <w:ind w:left="2268" w:hanging="567"/>
        <w:rPr>
          <w:b/>
          <w:i/>
        </w:rPr>
      </w:pPr>
      <w:r w:rsidRPr="00AC44B2">
        <w:rPr>
          <w:b/>
          <w:i/>
          <w:lang w:val="fr-FR"/>
        </w:rPr>
        <w:t>b.</w:t>
      </w:r>
      <w:r w:rsidRPr="00AC44B2">
        <w:rPr>
          <w:b/>
          <w:i/>
          <w:lang w:val="fr-FR"/>
        </w:rPr>
        <w:tab/>
      </w:r>
      <w:r w:rsidR="002B38DA" w:rsidRPr="00AC44B2">
        <w:rPr>
          <w:b/>
          <w:i/>
          <w:lang w:val="fr-FR"/>
        </w:rPr>
        <w:t>Recenser et examiner les moyens d’améliorer encore le fonctionnement et l’efficacité du WP.11.</w:t>
      </w:r>
    </w:p>
    <w:p w:rsidR="002B38DA" w:rsidRPr="009C5C5C" w:rsidRDefault="00AC44B2" w:rsidP="00174354">
      <w:pPr>
        <w:pStyle w:val="SingleTxtG"/>
        <w:ind w:left="2268" w:hanging="567"/>
        <w:rPr>
          <w:i/>
        </w:rPr>
      </w:pPr>
      <w:r w:rsidRPr="00AC44B2">
        <w:rPr>
          <w:b/>
          <w:i/>
          <w:lang w:val="fr-FR"/>
        </w:rPr>
        <w:t>c.</w:t>
      </w:r>
      <w:r w:rsidRPr="00AC44B2">
        <w:rPr>
          <w:b/>
          <w:i/>
          <w:lang w:val="fr-FR"/>
        </w:rPr>
        <w:tab/>
      </w:r>
      <w:r w:rsidR="002B38DA" w:rsidRPr="00AC44B2">
        <w:rPr>
          <w:b/>
          <w:i/>
          <w:lang w:val="fr-FR"/>
        </w:rPr>
        <w:t>Élaborer des projets de documents pour examen lors d’une table ronde qui se tiendra au début de la soixante-quatorzième session du WP.11.</w:t>
      </w:r>
    </w:p>
    <w:p w:rsidR="002B38DA" w:rsidRDefault="002B38DA" w:rsidP="002B38DA">
      <w:pPr>
        <w:pStyle w:val="SingleTxtG"/>
        <w:rPr>
          <w:lang w:val="fr-FR"/>
        </w:rPr>
      </w:pPr>
      <w:r w:rsidRPr="00CB1F18">
        <w:rPr>
          <w:lang w:val="fr-FR"/>
        </w:rPr>
        <w:t>4.</w:t>
      </w:r>
      <w:r w:rsidRPr="00CB1F18">
        <w:rPr>
          <w:lang w:val="fr-FR"/>
        </w:rPr>
        <w:tab/>
      </w:r>
      <w:r>
        <w:rPr>
          <w:lang w:val="fr-FR"/>
        </w:rPr>
        <w:t xml:space="preserve">Le présent document est un document de nature </w:t>
      </w:r>
      <w:r w:rsidRPr="00CB1F18">
        <w:rPr>
          <w:lang w:val="fr-FR"/>
        </w:rPr>
        <w:t xml:space="preserve">générale destiné à être utilisé </w:t>
      </w:r>
      <w:r>
        <w:rPr>
          <w:lang w:val="fr-FR"/>
        </w:rPr>
        <w:t xml:space="preserve">lors de </w:t>
      </w:r>
      <w:r w:rsidRPr="00CB1F18">
        <w:rPr>
          <w:lang w:val="fr-FR"/>
        </w:rPr>
        <w:t xml:space="preserve">la table ronde. </w:t>
      </w:r>
      <w:r>
        <w:rPr>
          <w:lang w:val="fr-FR"/>
        </w:rPr>
        <w:t xml:space="preserve">Chacun des </w:t>
      </w:r>
      <w:r w:rsidRPr="00CB1F18">
        <w:rPr>
          <w:lang w:val="fr-FR"/>
        </w:rPr>
        <w:t>sujet</w:t>
      </w:r>
      <w:r>
        <w:rPr>
          <w:lang w:val="fr-FR"/>
        </w:rPr>
        <w:t>s</w:t>
      </w:r>
      <w:r w:rsidRPr="00CB1F18">
        <w:rPr>
          <w:lang w:val="fr-FR"/>
        </w:rPr>
        <w:t xml:space="preserve"> peut être examiné et adopté séparément par le Groupe de travail. </w:t>
      </w:r>
    </w:p>
    <w:p w:rsidR="002B38DA" w:rsidRPr="00CB1F18" w:rsidRDefault="002B38DA" w:rsidP="002B38DA">
      <w:pPr>
        <w:pStyle w:val="HChG"/>
        <w:rPr>
          <w:rFonts w:eastAsia="SimSun"/>
        </w:rPr>
      </w:pPr>
      <w:r>
        <w:rPr>
          <w:lang w:val="fr-FR"/>
        </w:rPr>
        <w:tab/>
      </w:r>
      <w:r w:rsidRPr="00CB1F18">
        <w:rPr>
          <w:lang w:val="fr-FR"/>
        </w:rPr>
        <w:t>II.</w:t>
      </w:r>
      <w:r w:rsidRPr="00CB1F18">
        <w:rPr>
          <w:lang w:val="fr-FR"/>
        </w:rPr>
        <w:tab/>
        <w:t>Proposition</w:t>
      </w:r>
    </w:p>
    <w:p w:rsidR="002B38DA" w:rsidRPr="00CB1F18" w:rsidRDefault="002B38DA" w:rsidP="002B38DA">
      <w:pPr>
        <w:pStyle w:val="SingleTxtG"/>
      </w:pPr>
      <w:r w:rsidRPr="00CB1F18">
        <w:rPr>
          <w:lang w:val="fr-FR"/>
        </w:rPr>
        <w:t>5.</w:t>
      </w:r>
      <w:r w:rsidRPr="00CB1F18">
        <w:rPr>
          <w:lang w:val="fr-FR"/>
        </w:rPr>
        <w:tab/>
        <w:t>Recensement et examen des sujets qui méritent attention en vue de maintenir l</w:t>
      </w:r>
      <w:r>
        <w:rPr>
          <w:lang w:val="fr-FR"/>
        </w:rPr>
        <w:t>’</w:t>
      </w:r>
      <w:r w:rsidR="00E05EC6">
        <w:rPr>
          <w:lang w:val="fr-FR"/>
        </w:rPr>
        <w:t>ATP à jour :</w:t>
      </w:r>
    </w:p>
    <w:p w:rsidR="002B38DA" w:rsidRDefault="002B38DA" w:rsidP="002B38DA">
      <w:pPr>
        <w:pStyle w:val="SingleTxtG"/>
        <w:ind w:firstLine="567"/>
        <w:rPr>
          <w:lang w:val="fr-FR"/>
        </w:rPr>
      </w:pPr>
      <w:r w:rsidRPr="00CB1F18">
        <w:rPr>
          <w:lang w:val="fr-FR"/>
        </w:rPr>
        <w:t>a)</w:t>
      </w:r>
      <w:r w:rsidRPr="00CB1F18">
        <w:rPr>
          <w:lang w:val="fr-FR"/>
        </w:rPr>
        <w:tab/>
        <w:t>Définir clairement la portée de l</w:t>
      </w:r>
      <w:r>
        <w:rPr>
          <w:lang w:val="fr-FR"/>
        </w:rPr>
        <w:t>’</w:t>
      </w:r>
      <w:r w:rsidRPr="00CB1F18">
        <w:rPr>
          <w:lang w:val="fr-FR"/>
        </w:rPr>
        <w:t xml:space="preserve">ATP, notamment en </w:t>
      </w:r>
      <w:r>
        <w:rPr>
          <w:lang w:val="fr-FR"/>
        </w:rPr>
        <w:t xml:space="preserve">prévoyant </w:t>
      </w:r>
      <w:r w:rsidRPr="00CB1F18">
        <w:rPr>
          <w:lang w:val="fr-FR"/>
        </w:rPr>
        <w:t xml:space="preserve">une </w:t>
      </w:r>
      <w:r>
        <w:rPr>
          <w:lang w:val="fr-FR"/>
        </w:rPr>
        <w:t>disposition d’ouverture ou d’extension</w:t>
      </w:r>
      <w:r w:rsidRPr="00CB1F18">
        <w:rPr>
          <w:lang w:val="fr-FR"/>
        </w:rPr>
        <w:t xml:space="preserve"> permettant d</w:t>
      </w:r>
      <w:r>
        <w:rPr>
          <w:lang w:val="fr-FR"/>
        </w:rPr>
        <w:t>’</w:t>
      </w:r>
      <w:r w:rsidRPr="00CB1F18">
        <w:rPr>
          <w:lang w:val="fr-FR"/>
        </w:rPr>
        <w:t>étendre l</w:t>
      </w:r>
      <w:r w:rsidR="00372811">
        <w:rPr>
          <w:lang w:val="fr-FR"/>
        </w:rPr>
        <w:t>e champ</w:t>
      </w:r>
      <w:r>
        <w:rPr>
          <w:lang w:val="fr-FR"/>
        </w:rPr>
        <w:t xml:space="preserve"> d’</w:t>
      </w:r>
      <w:r w:rsidRPr="00CB1F18">
        <w:rPr>
          <w:lang w:val="fr-FR"/>
        </w:rPr>
        <w:t>application</w:t>
      </w:r>
      <w:r>
        <w:rPr>
          <w:lang w:val="fr-FR"/>
        </w:rPr>
        <w:t xml:space="preserve"> en cas de besoin</w:t>
      </w:r>
      <w:r w:rsidR="00E05EC6">
        <w:rPr>
          <w:lang w:val="fr-FR"/>
        </w:rPr>
        <w:t> ;</w:t>
      </w:r>
    </w:p>
    <w:p w:rsidR="002B38DA" w:rsidRPr="00CB1F18" w:rsidRDefault="002B38DA" w:rsidP="002B38DA">
      <w:pPr>
        <w:pStyle w:val="SingleTxtG"/>
        <w:ind w:firstLine="567"/>
      </w:pPr>
      <w:r>
        <w:rPr>
          <w:lang w:val="fr-FR"/>
        </w:rPr>
        <w:t>b)</w:t>
      </w:r>
      <w:r>
        <w:rPr>
          <w:lang w:val="fr-FR"/>
        </w:rPr>
        <w:tab/>
        <w:t>Faire figurer dans l’Accord une définition de « denrées périssables »</w:t>
      </w:r>
      <w:r w:rsidR="00E05EC6">
        <w:rPr>
          <w:lang w:val="fr-FR"/>
        </w:rPr>
        <w:t> ;</w:t>
      </w:r>
    </w:p>
    <w:p w:rsidR="002B38DA" w:rsidRPr="00CB1F18" w:rsidRDefault="002B38DA" w:rsidP="002B38DA">
      <w:pPr>
        <w:pStyle w:val="SingleTxtG"/>
        <w:ind w:firstLine="567"/>
      </w:pPr>
      <w:r w:rsidRPr="00CB1F18">
        <w:rPr>
          <w:lang w:val="fr-FR"/>
        </w:rPr>
        <w:t>c)</w:t>
      </w:r>
      <w:r w:rsidRPr="00CB1F18">
        <w:rPr>
          <w:lang w:val="fr-FR"/>
        </w:rPr>
        <w:tab/>
      </w:r>
      <w:r>
        <w:rPr>
          <w:lang w:val="fr-FR"/>
        </w:rPr>
        <w:t xml:space="preserve">S’entendre </w:t>
      </w:r>
      <w:r w:rsidRPr="00CB1F18">
        <w:rPr>
          <w:lang w:val="fr-FR"/>
        </w:rPr>
        <w:t>sur les définit</w:t>
      </w:r>
      <w:r>
        <w:rPr>
          <w:lang w:val="fr-FR"/>
        </w:rPr>
        <w:t>ions générales (en particulier celles de « denrées périssables »</w:t>
      </w:r>
      <w:r w:rsidRPr="00CB1F18">
        <w:rPr>
          <w:lang w:val="fr-FR"/>
        </w:rPr>
        <w:t xml:space="preserve">, </w:t>
      </w:r>
      <w:r>
        <w:rPr>
          <w:lang w:val="fr-FR"/>
        </w:rPr>
        <w:t xml:space="preserve">de </w:t>
      </w:r>
      <w:r w:rsidRPr="00174354">
        <w:rPr>
          <w:lang w:val="fr-FR"/>
        </w:rPr>
        <w:t>« consommation sans danger</w:t>
      </w:r>
      <w:r>
        <w:rPr>
          <w:lang w:val="fr-FR"/>
        </w:rPr>
        <w:t>/qualité » et de « tracé »</w:t>
      </w:r>
      <w:r w:rsidR="00E05EC6">
        <w:rPr>
          <w:lang w:val="fr-FR"/>
        </w:rPr>
        <w:t>) ;</w:t>
      </w:r>
    </w:p>
    <w:p w:rsidR="002B38DA" w:rsidRPr="004974B7" w:rsidRDefault="002B38DA" w:rsidP="002B38DA">
      <w:pPr>
        <w:pStyle w:val="SingleTxtG"/>
        <w:ind w:firstLine="567"/>
      </w:pPr>
      <w:r w:rsidRPr="00CB1F18">
        <w:rPr>
          <w:lang w:val="fr-FR"/>
        </w:rPr>
        <w:t>d)</w:t>
      </w:r>
      <w:r w:rsidRPr="00CB1F18">
        <w:rPr>
          <w:lang w:val="fr-FR"/>
        </w:rPr>
        <w:tab/>
        <w:t xml:space="preserve">Convenir </w:t>
      </w:r>
      <w:r>
        <w:rPr>
          <w:lang w:val="fr-FR"/>
        </w:rPr>
        <w:t xml:space="preserve">d’élaborer </w:t>
      </w:r>
      <w:r w:rsidRPr="00CB1F18">
        <w:rPr>
          <w:lang w:val="fr-FR"/>
        </w:rPr>
        <w:t xml:space="preserve">une liste de produits entrant </w:t>
      </w:r>
      <w:r>
        <w:rPr>
          <w:lang w:val="fr-FR"/>
        </w:rPr>
        <w:t>dans le champ d’application</w:t>
      </w:r>
      <w:r w:rsidRPr="00CB1F18">
        <w:rPr>
          <w:lang w:val="fr-FR"/>
        </w:rPr>
        <w:t xml:space="preserve"> </w:t>
      </w:r>
      <w:r w:rsidRPr="004974B7">
        <w:rPr>
          <w:lang w:val="fr-FR"/>
        </w:rPr>
        <w:t xml:space="preserve">(voir la </w:t>
      </w:r>
      <w:r w:rsidRPr="009C5C5C">
        <w:rPr>
          <w:lang w:val="fr-FR"/>
        </w:rPr>
        <w:t>liste des marchandises dangereuses</w:t>
      </w:r>
      <w:r w:rsidRPr="004974B7">
        <w:rPr>
          <w:lang w:val="fr-FR"/>
        </w:rPr>
        <w:t xml:space="preserve"> (tableau A) de l</w:t>
      </w:r>
      <w:r>
        <w:rPr>
          <w:lang w:val="fr-FR"/>
        </w:rPr>
        <w:t>’</w:t>
      </w:r>
      <w:r w:rsidR="00E05EC6">
        <w:rPr>
          <w:lang w:val="fr-FR"/>
        </w:rPr>
        <w:t>ADR) ;</w:t>
      </w:r>
    </w:p>
    <w:p w:rsidR="002B38DA" w:rsidRPr="00CB1F18" w:rsidRDefault="002B38DA" w:rsidP="002B38DA">
      <w:pPr>
        <w:pStyle w:val="SingleTxtG"/>
        <w:ind w:firstLine="567"/>
      </w:pPr>
      <w:r w:rsidRPr="00CB1F18">
        <w:rPr>
          <w:lang w:val="fr-FR"/>
        </w:rPr>
        <w:t>e)</w:t>
      </w:r>
      <w:r w:rsidRPr="00CB1F18">
        <w:rPr>
          <w:lang w:val="fr-FR"/>
        </w:rPr>
        <w:tab/>
        <w:t>Étudier les meilleures pratiques</w:t>
      </w:r>
      <w:r>
        <w:rPr>
          <w:lang w:val="fr-FR"/>
        </w:rPr>
        <w:t xml:space="preserve"> </w:t>
      </w:r>
      <w:r w:rsidRPr="00600A3C">
        <w:rPr>
          <w:lang w:val="fr-FR"/>
        </w:rPr>
        <w:t xml:space="preserve">et les enseignements tirés </w:t>
      </w:r>
      <w:r w:rsidRPr="00CB1F18">
        <w:rPr>
          <w:lang w:val="fr-FR"/>
        </w:rPr>
        <w:t xml:space="preserve">des </w:t>
      </w:r>
      <w:r>
        <w:rPr>
          <w:lang w:val="fr-FR"/>
        </w:rPr>
        <w:t>travaux d’</w:t>
      </w:r>
      <w:r w:rsidRPr="00CB1F18">
        <w:rPr>
          <w:lang w:val="fr-FR"/>
        </w:rPr>
        <w:t>autres groupes de trav</w:t>
      </w:r>
      <w:r>
        <w:rPr>
          <w:lang w:val="fr-FR"/>
        </w:rPr>
        <w:t>ail (r</w:t>
      </w:r>
      <w:r w:rsidRPr="00CB1F18">
        <w:rPr>
          <w:lang w:val="fr-FR"/>
        </w:rPr>
        <w:t>éunions communes/réunions d</w:t>
      </w:r>
      <w:r>
        <w:rPr>
          <w:lang w:val="fr-FR"/>
        </w:rPr>
        <w:t>’</w:t>
      </w:r>
      <w:r w:rsidRPr="00CB1F18">
        <w:rPr>
          <w:lang w:val="fr-FR"/>
        </w:rPr>
        <w:t>harmonisation)</w:t>
      </w:r>
      <w:r w:rsidR="00E30F4C">
        <w:rPr>
          <w:lang w:val="fr-FR"/>
        </w:rPr>
        <w:t> :</w:t>
      </w:r>
    </w:p>
    <w:p w:rsidR="002B38DA" w:rsidRPr="00600A3C" w:rsidRDefault="002B38DA" w:rsidP="00E30F4C">
      <w:pPr>
        <w:pStyle w:val="SingleTxtG"/>
        <w:ind w:left="1701"/>
        <w:rPr>
          <w:lang w:val="fr-FR"/>
        </w:rPr>
      </w:pPr>
      <w:r w:rsidRPr="009C5C5C">
        <w:rPr>
          <w:i/>
          <w:iCs/>
          <w:lang w:val="fr-FR"/>
        </w:rPr>
        <w:t>Collaborer étroitement avec les autres organes subsidiaires du Comité des transports intérieurs, notamment le Forum mondial de l</w:t>
      </w:r>
      <w:r>
        <w:rPr>
          <w:i/>
          <w:iCs/>
          <w:lang w:val="fr-FR"/>
        </w:rPr>
        <w:t>’</w:t>
      </w:r>
      <w:r w:rsidRPr="009C5C5C">
        <w:rPr>
          <w:i/>
          <w:iCs/>
          <w:lang w:val="fr-FR"/>
        </w:rPr>
        <w:t>harmonisation des Règlements concernant les véhicules (WP.29), le Groupe de travail sur les transports routiers (SC.1), le Groupe de travail des transports par chemin de fer (SC.2) ainsi que tout autre organe pertinent de la CEE sur les questions d</w:t>
      </w:r>
      <w:r>
        <w:rPr>
          <w:i/>
          <w:iCs/>
          <w:lang w:val="fr-FR"/>
        </w:rPr>
        <w:t>’</w:t>
      </w:r>
      <w:r w:rsidRPr="009C5C5C">
        <w:rPr>
          <w:i/>
          <w:iCs/>
          <w:lang w:val="fr-FR"/>
        </w:rPr>
        <w:t>intérêt commun touchant le transport des denrées périssables, tel que le Groupe de travail des normes de qualité des produits agricoles (WP.7)</w:t>
      </w:r>
      <w:r w:rsidR="00E30F4C">
        <w:rPr>
          <w:i/>
          <w:iCs/>
          <w:lang w:val="fr-FR"/>
        </w:rPr>
        <w:t>.</w:t>
      </w:r>
    </w:p>
    <w:p w:rsidR="002B38DA" w:rsidRPr="00CB1F18" w:rsidRDefault="002B38DA" w:rsidP="002B38DA">
      <w:pPr>
        <w:pStyle w:val="SingleTxtG"/>
        <w:ind w:firstLine="567"/>
      </w:pPr>
      <w:r w:rsidRPr="00CB1F18">
        <w:rPr>
          <w:lang w:val="fr-FR"/>
        </w:rPr>
        <w:t>f)</w:t>
      </w:r>
      <w:r w:rsidRPr="00CB1F18">
        <w:rPr>
          <w:lang w:val="fr-FR"/>
        </w:rPr>
        <w:tab/>
        <w:t>Établir des groupes de travail informels pour les sujets nécessitant des connaissances particulières (</w:t>
      </w:r>
      <w:r>
        <w:rPr>
          <w:lang w:val="fr-FR"/>
        </w:rPr>
        <w:t xml:space="preserve">par exemple les </w:t>
      </w:r>
      <w:r w:rsidRPr="00CB1F18">
        <w:rPr>
          <w:lang w:val="fr-FR"/>
        </w:rPr>
        <w:t>prescriptions techniques pour les systèmes de refroid</w:t>
      </w:r>
      <w:r w:rsidR="00E05EC6">
        <w:rPr>
          <w:lang w:val="fr-FR"/>
        </w:rPr>
        <w:t>issement ou de contrôle, etc.)</w:t>
      </w:r>
      <w:r w:rsidR="00E30F4C">
        <w:rPr>
          <w:lang w:val="fr-FR"/>
        </w:rPr>
        <w:t> :</w:t>
      </w:r>
    </w:p>
    <w:p w:rsidR="002B38DA" w:rsidRDefault="002B38DA" w:rsidP="00E30F4C">
      <w:pPr>
        <w:pStyle w:val="SingleTxtG"/>
        <w:ind w:left="1701"/>
        <w:rPr>
          <w:i/>
          <w:iCs/>
          <w:lang w:val="fr-FR"/>
        </w:rPr>
      </w:pPr>
      <w:r w:rsidRPr="00CB1F18">
        <w:rPr>
          <w:i/>
          <w:iCs/>
          <w:lang w:val="fr-FR"/>
        </w:rPr>
        <w:t>Les groupes de travail informels examinent et améliorent certaines questions.</w:t>
      </w:r>
      <w:r w:rsidRPr="00CB1F18">
        <w:rPr>
          <w:lang w:val="fr-FR"/>
        </w:rPr>
        <w:t xml:space="preserve"> </w:t>
      </w:r>
      <w:r>
        <w:rPr>
          <w:i/>
          <w:iCs/>
          <w:lang w:val="fr-FR"/>
        </w:rPr>
        <w:t>S’agissant de certain</w:t>
      </w:r>
      <w:r w:rsidRPr="00CB1F18">
        <w:rPr>
          <w:i/>
          <w:iCs/>
          <w:lang w:val="fr-FR"/>
        </w:rPr>
        <w:t xml:space="preserve">s </w:t>
      </w:r>
      <w:r>
        <w:rPr>
          <w:i/>
          <w:iCs/>
          <w:lang w:val="fr-FR"/>
        </w:rPr>
        <w:t>domaines dans lesquels</w:t>
      </w:r>
      <w:r w:rsidRPr="00CB1F18">
        <w:rPr>
          <w:i/>
          <w:iCs/>
          <w:lang w:val="fr-FR"/>
        </w:rPr>
        <w:t xml:space="preserve"> des connaissances </w:t>
      </w:r>
      <w:r>
        <w:rPr>
          <w:i/>
          <w:iCs/>
          <w:lang w:val="fr-FR"/>
        </w:rPr>
        <w:t xml:space="preserve">approfondies </w:t>
      </w:r>
      <w:r w:rsidRPr="00CB1F18">
        <w:rPr>
          <w:i/>
          <w:iCs/>
          <w:lang w:val="fr-FR"/>
        </w:rPr>
        <w:t>sont nécessaires, l</w:t>
      </w:r>
      <w:r>
        <w:rPr>
          <w:i/>
          <w:iCs/>
          <w:lang w:val="fr-FR"/>
        </w:rPr>
        <w:t>’</w:t>
      </w:r>
      <w:r w:rsidRPr="00CB1F18">
        <w:rPr>
          <w:i/>
          <w:iCs/>
          <w:lang w:val="fr-FR"/>
        </w:rPr>
        <w:t>établissement de groupes de travail informel</w:t>
      </w:r>
      <w:r>
        <w:rPr>
          <w:i/>
          <w:iCs/>
          <w:lang w:val="fr-FR"/>
        </w:rPr>
        <w:t>s</w:t>
      </w:r>
      <w:r w:rsidRPr="00CB1F18">
        <w:rPr>
          <w:i/>
          <w:iCs/>
          <w:lang w:val="fr-FR"/>
        </w:rPr>
        <w:t xml:space="preserve"> est utile et </w:t>
      </w:r>
      <w:r>
        <w:rPr>
          <w:i/>
          <w:iCs/>
          <w:lang w:val="fr-FR"/>
        </w:rPr>
        <w:t>constitue</w:t>
      </w:r>
      <w:r w:rsidRPr="00CB1F18">
        <w:rPr>
          <w:i/>
          <w:iCs/>
          <w:lang w:val="fr-FR"/>
        </w:rPr>
        <w:t xml:space="preserve"> une bonne pratique mise en œuvre </w:t>
      </w:r>
      <w:r>
        <w:rPr>
          <w:i/>
          <w:iCs/>
          <w:lang w:val="fr-FR"/>
        </w:rPr>
        <w:t xml:space="preserve">dans </w:t>
      </w:r>
      <w:r w:rsidRPr="00CB1F18">
        <w:rPr>
          <w:i/>
          <w:iCs/>
          <w:lang w:val="fr-FR"/>
        </w:rPr>
        <w:t>d</w:t>
      </w:r>
      <w:r>
        <w:rPr>
          <w:i/>
          <w:iCs/>
          <w:lang w:val="fr-FR"/>
        </w:rPr>
        <w:t>’</w:t>
      </w:r>
      <w:r w:rsidRPr="00CB1F18">
        <w:rPr>
          <w:i/>
          <w:iCs/>
          <w:lang w:val="fr-FR"/>
        </w:rPr>
        <w:t xml:space="preserve">autres Groupes de travail. Les groupes de travail informels </w:t>
      </w:r>
      <w:r>
        <w:rPr>
          <w:i/>
          <w:iCs/>
          <w:lang w:val="fr-FR"/>
        </w:rPr>
        <w:t xml:space="preserve">ainsi créés </w:t>
      </w:r>
      <w:r w:rsidRPr="00CB1F18">
        <w:rPr>
          <w:i/>
          <w:iCs/>
          <w:lang w:val="fr-FR"/>
        </w:rPr>
        <w:t xml:space="preserve">se réunissent </w:t>
      </w:r>
      <w:r>
        <w:rPr>
          <w:i/>
          <w:iCs/>
          <w:lang w:val="fr-FR"/>
        </w:rPr>
        <w:t xml:space="preserve">pendant les sessions </w:t>
      </w:r>
      <w:r w:rsidRPr="00CB1F18">
        <w:rPr>
          <w:i/>
          <w:iCs/>
          <w:lang w:val="fr-FR"/>
        </w:rPr>
        <w:t xml:space="preserve">en marge de la plénière et élaborent des propositions concrètes pour résoudre des problèmes techniques spécifiques ou des </w:t>
      </w:r>
      <w:r>
        <w:rPr>
          <w:i/>
          <w:iCs/>
          <w:lang w:val="fr-FR"/>
        </w:rPr>
        <w:t xml:space="preserve">questions </w:t>
      </w:r>
      <w:r w:rsidRPr="00CB1F18">
        <w:rPr>
          <w:i/>
          <w:iCs/>
          <w:lang w:val="fr-FR"/>
        </w:rPr>
        <w:t>qui apparaissent au cours de la séance plénière.</w:t>
      </w:r>
    </w:p>
    <w:p w:rsidR="002B38DA" w:rsidRDefault="002B38DA" w:rsidP="00E30F4C">
      <w:pPr>
        <w:pStyle w:val="SingleTxtG"/>
        <w:ind w:left="1701"/>
        <w:rPr>
          <w:i/>
          <w:iCs/>
          <w:lang w:val="fr-FR"/>
        </w:rPr>
      </w:pPr>
      <w:r w:rsidRPr="00CB1F18">
        <w:rPr>
          <w:i/>
          <w:iCs/>
          <w:lang w:val="fr-FR"/>
        </w:rPr>
        <w:t>L</w:t>
      </w:r>
      <w:r>
        <w:rPr>
          <w:i/>
          <w:iCs/>
          <w:lang w:val="fr-FR"/>
        </w:rPr>
        <w:t>’</w:t>
      </w:r>
      <w:r w:rsidRPr="00CB1F18">
        <w:rPr>
          <w:i/>
          <w:iCs/>
          <w:lang w:val="fr-FR"/>
        </w:rPr>
        <w:t>ordre du jour et le mandat de ces groupes de travail informels sont définis par le Groupe de travail.</w:t>
      </w:r>
      <w:r w:rsidRPr="00CB1F18">
        <w:rPr>
          <w:lang w:val="fr-FR"/>
        </w:rPr>
        <w:t xml:space="preserve"> </w:t>
      </w:r>
      <w:r w:rsidRPr="00CB1F18">
        <w:rPr>
          <w:i/>
          <w:iCs/>
          <w:lang w:val="fr-FR"/>
        </w:rPr>
        <w:t xml:space="preserve">Les documents sont présentés </w:t>
      </w:r>
      <w:r>
        <w:rPr>
          <w:i/>
          <w:iCs/>
          <w:lang w:val="fr-FR"/>
        </w:rPr>
        <w:t xml:space="preserve">en </w:t>
      </w:r>
      <w:r w:rsidRPr="00CB1F18">
        <w:rPr>
          <w:i/>
          <w:iCs/>
          <w:lang w:val="fr-FR"/>
        </w:rPr>
        <w:t xml:space="preserve">séance plénière et le Groupe de </w:t>
      </w:r>
      <w:r w:rsidRPr="00CB1F18">
        <w:rPr>
          <w:i/>
          <w:iCs/>
          <w:lang w:val="fr-FR"/>
        </w:rPr>
        <w:lastRenderedPageBreak/>
        <w:t>travail peut décider de transmettre le document à un groupe de travail informel</w:t>
      </w:r>
      <w:r>
        <w:rPr>
          <w:i/>
          <w:iCs/>
          <w:lang w:val="fr-FR"/>
        </w:rPr>
        <w:t xml:space="preserve"> pour examen</w:t>
      </w:r>
      <w:r w:rsidRPr="00CB1F18">
        <w:rPr>
          <w:i/>
          <w:iCs/>
          <w:lang w:val="fr-FR"/>
        </w:rPr>
        <w:t>.</w:t>
      </w:r>
    </w:p>
    <w:p w:rsidR="002B38DA" w:rsidRDefault="002B38DA" w:rsidP="00E30F4C">
      <w:pPr>
        <w:pStyle w:val="SingleTxtG"/>
        <w:ind w:left="1701"/>
        <w:rPr>
          <w:i/>
          <w:iCs/>
          <w:lang w:val="fr-FR"/>
        </w:rPr>
      </w:pPr>
      <w:r w:rsidRPr="00CB1F18">
        <w:rPr>
          <w:i/>
          <w:iCs/>
          <w:lang w:val="fr-FR"/>
        </w:rPr>
        <w:t>Après la réunion, le groupe de travail informel se joint à la session du WP.11 et présente ses résultats et</w:t>
      </w:r>
      <w:r>
        <w:rPr>
          <w:i/>
          <w:iCs/>
          <w:lang w:val="fr-FR"/>
        </w:rPr>
        <w:t>/ou</w:t>
      </w:r>
      <w:r w:rsidRPr="00CB1F18">
        <w:rPr>
          <w:i/>
          <w:iCs/>
          <w:lang w:val="fr-FR"/>
        </w:rPr>
        <w:t xml:space="preserve"> ses propositions, qui sont ensuite examinée</w:t>
      </w:r>
      <w:r>
        <w:rPr>
          <w:i/>
          <w:iCs/>
          <w:lang w:val="fr-FR"/>
        </w:rPr>
        <w:t>s</w:t>
      </w:r>
      <w:r w:rsidRPr="00CB1F18">
        <w:rPr>
          <w:i/>
          <w:iCs/>
          <w:lang w:val="fr-FR"/>
        </w:rPr>
        <w:t xml:space="preserve"> et adoptée</w:t>
      </w:r>
      <w:r>
        <w:rPr>
          <w:i/>
          <w:iCs/>
          <w:lang w:val="fr-FR"/>
        </w:rPr>
        <w:t>s</w:t>
      </w:r>
      <w:r w:rsidRPr="00CB1F18">
        <w:rPr>
          <w:i/>
          <w:iCs/>
          <w:lang w:val="fr-FR"/>
        </w:rPr>
        <w:t xml:space="preserve"> par le WP.11.</w:t>
      </w:r>
    </w:p>
    <w:p w:rsidR="002B38DA" w:rsidRDefault="002B38DA" w:rsidP="00E30F4C">
      <w:pPr>
        <w:pStyle w:val="SingleTxtG"/>
        <w:ind w:left="1701"/>
        <w:rPr>
          <w:i/>
          <w:lang w:val="fr-FR"/>
        </w:rPr>
      </w:pPr>
      <w:r w:rsidRPr="005E472D">
        <w:rPr>
          <w:i/>
          <w:lang w:val="fr-FR"/>
        </w:rPr>
        <w:t>S</w:t>
      </w:r>
      <w:r>
        <w:rPr>
          <w:i/>
          <w:lang w:val="fr-FR"/>
        </w:rPr>
        <w:t>’</w:t>
      </w:r>
      <w:r w:rsidRPr="005E472D">
        <w:rPr>
          <w:i/>
          <w:lang w:val="fr-FR"/>
        </w:rPr>
        <w:t xml:space="preserve">agissant des réunions des Groupes de travail traitant des questions relatives au transport des marchandises dangereuses, les groupes de travail informels sont </w:t>
      </w:r>
      <w:r>
        <w:rPr>
          <w:i/>
          <w:lang w:val="fr-FR"/>
        </w:rPr>
        <w:t xml:space="preserve">le </w:t>
      </w:r>
      <w:r w:rsidRPr="005E472D">
        <w:rPr>
          <w:i/>
          <w:lang w:val="fr-FR"/>
        </w:rPr>
        <w:t xml:space="preserve">« groupe de travail </w:t>
      </w:r>
      <w:r>
        <w:rPr>
          <w:i/>
          <w:lang w:val="fr-FR"/>
        </w:rPr>
        <w:t xml:space="preserve">des </w:t>
      </w:r>
      <w:r w:rsidRPr="005E472D">
        <w:rPr>
          <w:i/>
          <w:lang w:val="fr-FR"/>
        </w:rPr>
        <w:t xml:space="preserve">citernes » et </w:t>
      </w:r>
      <w:r>
        <w:rPr>
          <w:i/>
          <w:lang w:val="fr-FR"/>
        </w:rPr>
        <w:t xml:space="preserve">le </w:t>
      </w:r>
      <w:r w:rsidRPr="005E472D">
        <w:rPr>
          <w:i/>
          <w:lang w:val="fr-FR"/>
        </w:rPr>
        <w:t>« groupe de travail</w:t>
      </w:r>
      <w:r>
        <w:rPr>
          <w:i/>
          <w:lang w:val="fr-FR"/>
        </w:rPr>
        <w:t xml:space="preserve"> des</w:t>
      </w:r>
      <w:r w:rsidRPr="005E472D">
        <w:rPr>
          <w:i/>
          <w:lang w:val="fr-FR"/>
        </w:rPr>
        <w:t xml:space="preserve"> normes ».</w:t>
      </w:r>
    </w:p>
    <w:p w:rsidR="002B38DA" w:rsidRPr="00CB1F18" w:rsidRDefault="002B38DA" w:rsidP="002B38DA">
      <w:pPr>
        <w:pStyle w:val="SingleTxtG"/>
        <w:ind w:firstLine="567"/>
      </w:pPr>
      <w:r w:rsidRPr="00CB1F18">
        <w:rPr>
          <w:lang w:val="fr-FR"/>
        </w:rPr>
        <w:t>g)</w:t>
      </w:r>
      <w:r w:rsidRPr="00CB1F18">
        <w:rPr>
          <w:lang w:val="fr-FR"/>
        </w:rPr>
        <w:tab/>
        <w:t xml:space="preserve">Étudier de manière générale </w:t>
      </w:r>
      <w:r>
        <w:rPr>
          <w:lang w:val="fr-FR"/>
        </w:rPr>
        <w:t xml:space="preserve">la pertinence des normes ISO pour l’ATP en se demandant s’il est-il plus utile de citer les normes existantes ou d’en élaborer de nouvelles. </w:t>
      </w:r>
      <w:r w:rsidRPr="00BD3005">
        <w:rPr>
          <w:lang w:val="fr-FR"/>
        </w:rPr>
        <w:t>Il s</w:t>
      </w:r>
      <w:r>
        <w:rPr>
          <w:lang w:val="fr-FR"/>
        </w:rPr>
        <w:t>’</w:t>
      </w:r>
      <w:r w:rsidRPr="00BD3005">
        <w:rPr>
          <w:lang w:val="fr-FR"/>
        </w:rPr>
        <w:t>agit notamment d</w:t>
      </w:r>
      <w:r>
        <w:rPr>
          <w:lang w:val="fr-FR"/>
        </w:rPr>
        <w:t>’</w:t>
      </w:r>
      <w:r w:rsidRPr="00BD3005">
        <w:rPr>
          <w:lang w:val="fr-FR"/>
        </w:rPr>
        <w:t xml:space="preserve">aborder les points </w:t>
      </w:r>
      <w:r>
        <w:rPr>
          <w:lang w:val="fr-FR"/>
        </w:rPr>
        <w:t>suivants :</w:t>
      </w:r>
      <w:r w:rsidRPr="00CB1F18">
        <w:rPr>
          <w:lang w:val="fr-FR"/>
        </w:rPr>
        <w:t xml:space="preserve"> </w:t>
      </w:r>
    </w:p>
    <w:p w:rsidR="002B38DA" w:rsidRPr="00CB1F18" w:rsidRDefault="002B38DA" w:rsidP="00043A74">
      <w:pPr>
        <w:pStyle w:val="Bullet2G"/>
      </w:pPr>
      <w:r w:rsidRPr="00CB1F18">
        <w:rPr>
          <w:lang w:val="fr-FR"/>
        </w:rPr>
        <w:t>Lien</w:t>
      </w:r>
      <w:r>
        <w:rPr>
          <w:lang w:val="fr-FR"/>
        </w:rPr>
        <w:t>s</w:t>
      </w:r>
      <w:r w:rsidRPr="00CB1F18">
        <w:rPr>
          <w:lang w:val="fr-FR"/>
        </w:rPr>
        <w:t xml:space="preserve"> avec les chaînes mondiales de transport et l</w:t>
      </w:r>
      <w:r w:rsidR="00315216">
        <w:rPr>
          <w:lang w:val="fr-FR"/>
        </w:rPr>
        <w:t>e transport multimodal ;</w:t>
      </w:r>
    </w:p>
    <w:p w:rsidR="002B38DA" w:rsidRPr="00CB1F18" w:rsidRDefault="002B38DA" w:rsidP="00043A74">
      <w:pPr>
        <w:pStyle w:val="Bullet2G"/>
      </w:pPr>
      <w:r w:rsidRPr="00E67CFF">
        <w:rPr>
          <w:lang w:val="fr-FR"/>
        </w:rPr>
        <w:t>Éventualité</w:t>
      </w:r>
      <w:r>
        <w:rPr>
          <w:lang w:val="fr-FR"/>
        </w:rPr>
        <w:t xml:space="preserve"> de</w:t>
      </w:r>
      <w:r w:rsidRPr="00CB1F18">
        <w:rPr>
          <w:lang w:val="fr-FR"/>
        </w:rPr>
        <w:t xml:space="preserve"> la participation </w:t>
      </w:r>
      <w:r>
        <w:rPr>
          <w:lang w:val="fr-FR"/>
        </w:rPr>
        <w:t>de représentants</w:t>
      </w:r>
      <w:r w:rsidRPr="00CB1F18">
        <w:rPr>
          <w:lang w:val="fr-FR"/>
        </w:rPr>
        <w:t xml:space="preserve"> de l</w:t>
      </w:r>
      <w:r>
        <w:rPr>
          <w:lang w:val="fr-FR"/>
        </w:rPr>
        <w:t>’</w:t>
      </w:r>
      <w:r w:rsidRPr="00CB1F18">
        <w:rPr>
          <w:lang w:val="fr-FR"/>
        </w:rPr>
        <w:t xml:space="preserve">ISO </w:t>
      </w:r>
      <w:r>
        <w:rPr>
          <w:lang w:val="fr-FR"/>
        </w:rPr>
        <w:t>au</w:t>
      </w:r>
      <w:r w:rsidRPr="00CB1F18">
        <w:rPr>
          <w:lang w:val="fr-FR"/>
        </w:rPr>
        <w:t xml:space="preserve"> </w:t>
      </w:r>
      <w:r>
        <w:rPr>
          <w:lang w:val="fr-FR"/>
        </w:rPr>
        <w:t>débat</w:t>
      </w:r>
      <w:r w:rsidR="00315216">
        <w:rPr>
          <w:lang w:val="fr-FR"/>
        </w:rPr>
        <w:t> ;</w:t>
      </w:r>
    </w:p>
    <w:p w:rsidR="002B38DA" w:rsidRPr="00CB1F18" w:rsidRDefault="002B38DA" w:rsidP="00043A74">
      <w:pPr>
        <w:pStyle w:val="Bullet2G"/>
      </w:pPr>
      <w:r w:rsidRPr="00CB1F18">
        <w:rPr>
          <w:lang w:val="fr-FR"/>
        </w:rPr>
        <w:t>Comm</w:t>
      </w:r>
      <w:r>
        <w:rPr>
          <w:lang w:val="fr-FR"/>
        </w:rPr>
        <w:t>ission d’élaboration des normes</w:t>
      </w:r>
      <w:r w:rsidR="00315216">
        <w:rPr>
          <w:lang w:val="fr-FR"/>
        </w:rPr>
        <w:t> ;</w:t>
      </w:r>
    </w:p>
    <w:p w:rsidR="002B38DA" w:rsidRDefault="002B38DA" w:rsidP="002B38DA">
      <w:pPr>
        <w:pStyle w:val="SingleTxtG"/>
        <w:ind w:firstLine="567"/>
        <w:rPr>
          <w:lang w:val="fr-FR"/>
        </w:rPr>
      </w:pPr>
      <w:r w:rsidRPr="00CB1F18">
        <w:rPr>
          <w:lang w:val="fr-FR"/>
        </w:rPr>
        <w:t>h)</w:t>
      </w:r>
      <w:r w:rsidRPr="00CB1F18">
        <w:rPr>
          <w:lang w:val="fr-FR"/>
        </w:rPr>
        <w:tab/>
        <w:t>Envisager l</w:t>
      </w:r>
      <w:r>
        <w:rPr>
          <w:lang w:val="fr-FR"/>
        </w:rPr>
        <w:t>’</w:t>
      </w:r>
      <w:r w:rsidRPr="00CB1F18">
        <w:rPr>
          <w:lang w:val="fr-FR"/>
        </w:rPr>
        <w:t>établissement d</w:t>
      </w:r>
      <w:r>
        <w:rPr>
          <w:lang w:val="fr-FR"/>
        </w:rPr>
        <w:t>’</w:t>
      </w:r>
      <w:r w:rsidRPr="00CB1F18">
        <w:rPr>
          <w:lang w:val="fr-FR"/>
        </w:rPr>
        <w:t xml:space="preserve">un groupe de travail permanent sur les normes qui réviserait et actualiserait </w:t>
      </w:r>
      <w:r>
        <w:rPr>
          <w:lang w:val="fr-FR"/>
        </w:rPr>
        <w:t>celles qui sont ou pourraient être citées</w:t>
      </w:r>
      <w:r w:rsidRPr="00CB1F18">
        <w:rPr>
          <w:lang w:val="fr-FR"/>
        </w:rPr>
        <w:t xml:space="preserve"> dans l</w:t>
      </w:r>
      <w:r>
        <w:rPr>
          <w:lang w:val="fr-FR"/>
        </w:rPr>
        <w:t>’</w:t>
      </w:r>
      <w:r w:rsidRPr="00CB1F18">
        <w:rPr>
          <w:lang w:val="fr-FR"/>
        </w:rPr>
        <w:t>ATP</w:t>
      </w:r>
      <w:r w:rsidR="0055052D">
        <w:rPr>
          <w:lang w:val="fr-FR"/>
        </w:rPr>
        <w:t> ;</w:t>
      </w:r>
    </w:p>
    <w:p w:rsidR="002B38DA" w:rsidRDefault="002B38DA" w:rsidP="002B38DA">
      <w:pPr>
        <w:pStyle w:val="SingleTxtG"/>
        <w:ind w:firstLine="567"/>
        <w:rPr>
          <w:lang w:val="fr-FR"/>
        </w:rPr>
      </w:pPr>
      <w:r>
        <w:rPr>
          <w:lang w:val="fr-FR"/>
        </w:rPr>
        <w:t>i)</w:t>
      </w:r>
      <w:r>
        <w:rPr>
          <w:lang w:val="fr-FR"/>
        </w:rPr>
        <w:tab/>
        <w:t>Parvenir à un consensus sur le fait que</w:t>
      </w:r>
      <w:r w:rsidRPr="00CB1F18">
        <w:rPr>
          <w:lang w:val="fr-FR"/>
        </w:rPr>
        <w:t xml:space="preserve"> l</w:t>
      </w:r>
      <w:r>
        <w:rPr>
          <w:lang w:val="fr-FR"/>
        </w:rPr>
        <w:t>’</w:t>
      </w:r>
      <w:r w:rsidRPr="00CB1F18">
        <w:rPr>
          <w:lang w:val="fr-FR"/>
        </w:rPr>
        <w:t xml:space="preserve">Accord </w:t>
      </w:r>
      <w:r>
        <w:rPr>
          <w:lang w:val="fr-FR"/>
        </w:rPr>
        <w:t>est l’instrument qui permet de garantir</w:t>
      </w:r>
      <w:r w:rsidRPr="00CB1F18">
        <w:rPr>
          <w:lang w:val="fr-FR"/>
        </w:rPr>
        <w:t xml:space="preserve"> la haute qualité des produits et la protection de</w:t>
      </w:r>
      <w:r>
        <w:rPr>
          <w:lang w:val="fr-FR"/>
        </w:rPr>
        <w:t xml:space="preserve"> la santé partout dans le monde</w:t>
      </w:r>
      <w:r w:rsidRPr="00CB1F18">
        <w:rPr>
          <w:lang w:val="fr-FR"/>
        </w:rPr>
        <w:t xml:space="preserve">. Il est nécessaire </w:t>
      </w:r>
      <w:r>
        <w:rPr>
          <w:lang w:val="fr-FR"/>
        </w:rPr>
        <w:t>de l’adapter</w:t>
      </w:r>
      <w:r w:rsidRPr="00CB1F18">
        <w:rPr>
          <w:lang w:val="fr-FR"/>
        </w:rPr>
        <w:t xml:space="preserve"> </w:t>
      </w:r>
      <w:r>
        <w:rPr>
          <w:lang w:val="fr-FR"/>
        </w:rPr>
        <w:t>aux</w:t>
      </w:r>
      <w:r w:rsidRPr="00CB1F18">
        <w:rPr>
          <w:lang w:val="fr-FR"/>
        </w:rPr>
        <w:t xml:space="preserve"> évolutions économiques, technologiques et politiques pour </w:t>
      </w:r>
      <w:r>
        <w:rPr>
          <w:lang w:val="fr-FR"/>
        </w:rPr>
        <w:t>maintenir son attractivité et/ou le rendre plus attrayant afin d’augmenter</w:t>
      </w:r>
      <w:r w:rsidRPr="00CB1F18">
        <w:rPr>
          <w:lang w:val="fr-FR"/>
        </w:rPr>
        <w:t xml:space="preserve"> le nombre de Parties contractantes</w:t>
      </w:r>
      <w:r>
        <w:rPr>
          <w:lang w:val="fr-FR"/>
        </w:rPr>
        <w:t xml:space="preserve"> au niveau mondial et d’</w:t>
      </w:r>
      <w:r w:rsidRPr="00CB1F18">
        <w:rPr>
          <w:lang w:val="fr-FR"/>
        </w:rPr>
        <w:t xml:space="preserve">accroître la </w:t>
      </w:r>
      <w:r>
        <w:rPr>
          <w:lang w:val="fr-FR"/>
        </w:rPr>
        <w:t xml:space="preserve">portée </w:t>
      </w:r>
      <w:r w:rsidRPr="00CB1F18">
        <w:rPr>
          <w:lang w:val="fr-FR"/>
        </w:rPr>
        <w:t>géographique des normes de l</w:t>
      </w:r>
      <w:r>
        <w:rPr>
          <w:lang w:val="fr-FR"/>
        </w:rPr>
        <w:t>’</w:t>
      </w:r>
      <w:r w:rsidRPr="00CB1F18">
        <w:rPr>
          <w:lang w:val="fr-FR"/>
        </w:rPr>
        <w:t xml:space="preserve">ATP. Il </w:t>
      </w:r>
      <w:r>
        <w:rPr>
          <w:lang w:val="fr-FR"/>
        </w:rPr>
        <w:t>importe</w:t>
      </w:r>
      <w:r w:rsidRPr="00CB1F18">
        <w:rPr>
          <w:lang w:val="fr-FR"/>
        </w:rPr>
        <w:t xml:space="preserve"> d</w:t>
      </w:r>
      <w:r>
        <w:rPr>
          <w:lang w:val="fr-FR"/>
        </w:rPr>
        <w:t>’</w:t>
      </w:r>
      <w:r w:rsidRPr="00CB1F18">
        <w:rPr>
          <w:lang w:val="fr-FR"/>
        </w:rPr>
        <w:t>avoir à l</w:t>
      </w:r>
      <w:r>
        <w:rPr>
          <w:lang w:val="fr-FR"/>
        </w:rPr>
        <w:t>’</w:t>
      </w:r>
      <w:r w:rsidRPr="00CB1F18">
        <w:rPr>
          <w:lang w:val="fr-FR"/>
        </w:rPr>
        <w:t>esprit que d</w:t>
      </w:r>
      <w:r>
        <w:rPr>
          <w:lang w:val="fr-FR"/>
        </w:rPr>
        <w:t>’</w:t>
      </w:r>
      <w:r w:rsidRPr="00CB1F18">
        <w:rPr>
          <w:lang w:val="fr-FR"/>
        </w:rPr>
        <w:t xml:space="preserve">autres régions ont </w:t>
      </w:r>
      <w:r>
        <w:rPr>
          <w:lang w:val="fr-FR"/>
        </w:rPr>
        <w:t xml:space="preserve">désormais </w:t>
      </w:r>
      <w:r w:rsidRPr="00CB1F18">
        <w:rPr>
          <w:lang w:val="fr-FR"/>
        </w:rPr>
        <w:t xml:space="preserve">pour ambition </w:t>
      </w:r>
      <w:r>
        <w:rPr>
          <w:lang w:val="fr-FR"/>
        </w:rPr>
        <w:t xml:space="preserve">de jouer un rôle prépondérant dans </w:t>
      </w:r>
      <w:r w:rsidRPr="00CB1F18">
        <w:rPr>
          <w:lang w:val="fr-FR"/>
        </w:rPr>
        <w:t>l</w:t>
      </w:r>
      <w:r>
        <w:rPr>
          <w:lang w:val="fr-FR"/>
        </w:rPr>
        <w:t>’</w:t>
      </w:r>
      <w:r w:rsidRPr="00CB1F18">
        <w:rPr>
          <w:lang w:val="fr-FR"/>
        </w:rPr>
        <w:t>élaboration de</w:t>
      </w:r>
      <w:r>
        <w:rPr>
          <w:lang w:val="fr-FR"/>
        </w:rPr>
        <w:t>s</w:t>
      </w:r>
      <w:r w:rsidRPr="00CB1F18">
        <w:rPr>
          <w:lang w:val="fr-FR"/>
        </w:rPr>
        <w:t xml:space="preserve"> normes. Les Parties contractantes souhaiteront donc certainement </w:t>
      </w:r>
      <w:r>
        <w:rPr>
          <w:lang w:val="fr-FR"/>
        </w:rPr>
        <w:t>continuer de contribuer activement</w:t>
      </w:r>
      <w:r w:rsidRPr="00CB1F18">
        <w:rPr>
          <w:lang w:val="fr-FR"/>
        </w:rPr>
        <w:t xml:space="preserve"> </w:t>
      </w:r>
      <w:r>
        <w:rPr>
          <w:lang w:val="fr-FR"/>
        </w:rPr>
        <w:t xml:space="preserve">à </w:t>
      </w:r>
      <w:r w:rsidRPr="00CB1F18">
        <w:rPr>
          <w:lang w:val="fr-FR"/>
        </w:rPr>
        <w:t>l</w:t>
      </w:r>
      <w:r>
        <w:rPr>
          <w:lang w:val="fr-FR"/>
        </w:rPr>
        <w:t>’</w:t>
      </w:r>
      <w:r w:rsidRPr="00CB1F18">
        <w:rPr>
          <w:lang w:val="fr-FR"/>
        </w:rPr>
        <w:t>amélioration des normes relatives au transp</w:t>
      </w:r>
      <w:r w:rsidR="0055052D">
        <w:rPr>
          <w:lang w:val="fr-FR"/>
        </w:rPr>
        <w:t>ort des denrées périssables ;</w:t>
      </w:r>
    </w:p>
    <w:p w:rsidR="002B38DA" w:rsidRDefault="002B38DA" w:rsidP="002B38DA">
      <w:pPr>
        <w:pStyle w:val="SingleTxtG"/>
        <w:ind w:firstLine="567"/>
        <w:rPr>
          <w:lang w:val="fr-FR"/>
        </w:rPr>
      </w:pPr>
      <w:r w:rsidRPr="00CB1F18">
        <w:rPr>
          <w:lang w:val="fr-FR"/>
        </w:rPr>
        <w:t>j)</w:t>
      </w:r>
      <w:r w:rsidRPr="00CB1F18">
        <w:rPr>
          <w:lang w:val="fr-FR"/>
        </w:rPr>
        <w:tab/>
        <w:t>Convenir de modifier le cycle annuel de réunion</w:t>
      </w:r>
      <w:r>
        <w:rPr>
          <w:lang w:val="fr-FR"/>
        </w:rPr>
        <w:t>s</w:t>
      </w:r>
      <w:r w:rsidRPr="00CB1F18">
        <w:rPr>
          <w:lang w:val="fr-FR"/>
        </w:rPr>
        <w:t xml:space="preserve"> en organisant des réunions plus courtes, par exemple deux fois par an pendant deux ou trois jours, ce qui favorisera</w:t>
      </w:r>
      <w:r>
        <w:rPr>
          <w:lang w:val="fr-FR"/>
        </w:rPr>
        <w:t>it</w:t>
      </w:r>
      <w:r w:rsidRPr="00CB1F18">
        <w:rPr>
          <w:lang w:val="fr-FR"/>
        </w:rPr>
        <w:t xml:space="preserve"> l</w:t>
      </w:r>
      <w:r>
        <w:rPr>
          <w:lang w:val="fr-FR"/>
        </w:rPr>
        <w:t>’</w:t>
      </w:r>
      <w:r w:rsidRPr="00CB1F18">
        <w:rPr>
          <w:lang w:val="fr-FR"/>
        </w:rPr>
        <w:t xml:space="preserve">élaboration de propositions </w:t>
      </w:r>
      <w:r>
        <w:rPr>
          <w:lang w:val="fr-FR"/>
        </w:rPr>
        <w:t>par les participants grâce à des débats</w:t>
      </w:r>
      <w:r w:rsidR="0055052D">
        <w:rPr>
          <w:lang w:val="fr-FR"/>
        </w:rPr>
        <w:t xml:space="preserve"> plus rigoureux et réguliers ;</w:t>
      </w:r>
    </w:p>
    <w:p w:rsidR="002B38DA" w:rsidRDefault="002B38DA" w:rsidP="002B38DA">
      <w:pPr>
        <w:pStyle w:val="SingleTxtG"/>
        <w:ind w:firstLine="567"/>
        <w:rPr>
          <w:lang w:val="fr-FR"/>
        </w:rPr>
      </w:pPr>
      <w:r w:rsidRPr="00CB1F18">
        <w:rPr>
          <w:lang w:val="fr-FR"/>
        </w:rPr>
        <w:t>k)</w:t>
      </w:r>
      <w:r w:rsidRPr="00CB1F18">
        <w:rPr>
          <w:lang w:val="fr-FR"/>
        </w:rPr>
        <w:tab/>
        <w:t xml:space="preserve">Convenir de </w:t>
      </w:r>
      <w:r w:rsidRPr="009C5C5C">
        <w:rPr>
          <w:lang w:val="fr-FR"/>
        </w:rPr>
        <w:t>porter la durée du cycle d</w:t>
      </w:r>
      <w:r>
        <w:rPr>
          <w:lang w:val="fr-FR"/>
        </w:rPr>
        <w:t>’</w:t>
      </w:r>
      <w:r w:rsidRPr="009C5C5C">
        <w:rPr>
          <w:lang w:val="fr-FR"/>
        </w:rPr>
        <w:t>amendements à deux ans</w:t>
      </w:r>
      <w:r w:rsidRPr="00CB1F18">
        <w:rPr>
          <w:lang w:val="fr-FR"/>
        </w:rPr>
        <w:t xml:space="preserve"> pour que tous les amendements approuvés au cours des deux années</w:t>
      </w:r>
      <w:r w:rsidRPr="00377A55">
        <w:rPr>
          <w:lang w:val="fr-FR"/>
        </w:rPr>
        <w:t xml:space="preserve"> </w:t>
      </w:r>
      <w:r>
        <w:rPr>
          <w:lang w:val="fr-FR"/>
        </w:rPr>
        <w:t>précédentes</w:t>
      </w:r>
      <w:r w:rsidRPr="00CB1F18">
        <w:rPr>
          <w:lang w:val="fr-FR"/>
        </w:rPr>
        <w:t xml:space="preserve"> entrent en vigueur simultanément et que les dates des nouvelles versions de l</w:t>
      </w:r>
      <w:r>
        <w:rPr>
          <w:lang w:val="fr-FR"/>
        </w:rPr>
        <w:t>’</w:t>
      </w:r>
      <w:r w:rsidRPr="00CB1F18">
        <w:rPr>
          <w:lang w:val="fr-FR"/>
        </w:rPr>
        <w:t>ATP soient prévisibles (par exemple, le 1</w:t>
      </w:r>
      <w:r w:rsidRPr="004E207E">
        <w:rPr>
          <w:vertAlign w:val="superscript"/>
          <w:lang w:val="fr-FR"/>
        </w:rPr>
        <w:t>er</w:t>
      </w:r>
      <w:r w:rsidRPr="00CB1F18">
        <w:rPr>
          <w:lang w:val="fr-FR"/>
        </w:rPr>
        <w:t xml:space="preserve"> janvier tous les deux ans).</w:t>
      </w:r>
    </w:p>
    <w:p w:rsidR="002B38DA" w:rsidRPr="00CB1F18" w:rsidRDefault="002B38DA" w:rsidP="002B38DA">
      <w:pPr>
        <w:pStyle w:val="SingleTxtG"/>
      </w:pPr>
      <w:r w:rsidRPr="00CB1F18">
        <w:rPr>
          <w:lang w:val="fr-FR"/>
        </w:rPr>
        <w:t>6.</w:t>
      </w:r>
      <w:r w:rsidRPr="00CB1F18">
        <w:rPr>
          <w:lang w:val="fr-FR"/>
        </w:rPr>
        <w:tab/>
        <w:t>Recensement et examen des moyens d</w:t>
      </w:r>
      <w:r>
        <w:rPr>
          <w:lang w:val="fr-FR"/>
        </w:rPr>
        <w:t>’</w:t>
      </w:r>
      <w:r w:rsidRPr="00CB1F18">
        <w:rPr>
          <w:lang w:val="fr-FR"/>
        </w:rPr>
        <w:t>améliorer encore le fonctionnement et l</w:t>
      </w:r>
      <w:r>
        <w:rPr>
          <w:lang w:val="fr-FR"/>
        </w:rPr>
        <w:t>’</w:t>
      </w:r>
      <w:r w:rsidR="00AF13E4">
        <w:rPr>
          <w:lang w:val="fr-FR"/>
        </w:rPr>
        <w:t>efficacité du WP.11 :</w:t>
      </w:r>
    </w:p>
    <w:p w:rsidR="002B38DA" w:rsidRPr="00CB1F18" w:rsidRDefault="002B38DA" w:rsidP="00692345">
      <w:pPr>
        <w:pStyle w:val="SingleTxtG"/>
        <w:ind w:firstLine="567"/>
      </w:pPr>
      <w:r w:rsidRPr="00CB1F18">
        <w:rPr>
          <w:lang w:val="fr-FR"/>
        </w:rPr>
        <w:t>a)</w:t>
      </w:r>
      <w:r w:rsidRPr="00CB1F18">
        <w:rPr>
          <w:lang w:val="fr-FR"/>
        </w:rPr>
        <w:tab/>
        <w:t>Parvenir à un accord sur l</w:t>
      </w:r>
      <w:r>
        <w:rPr>
          <w:lang w:val="fr-FR"/>
        </w:rPr>
        <w:t>’</w:t>
      </w:r>
      <w:r w:rsidRPr="00CB1F18">
        <w:rPr>
          <w:lang w:val="fr-FR"/>
        </w:rPr>
        <w:t xml:space="preserve">augmentation du </w:t>
      </w:r>
      <w:r>
        <w:rPr>
          <w:lang w:val="fr-FR"/>
        </w:rPr>
        <w:t>nombre d’amendements adoptés :</w:t>
      </w:r>
    </w:p>
    <w:p w:rsidR="00043A74" w:rsidRDefault="002B38DA" w:rsidP="00BE5292">
      <w:pPr>
        <w:pStyle w:val="SingleTxtG"/>
        <w:ind w:left="1701"/>
        <w:rPr>
          <w:lang w:val="fr-FR"/>
        </w:rPr>
      </w:pPr>
      <w:r w:rsidRPr="00CB1F18">
        <w:rPr>
          <w:lang w:val="fr-FR"/>
        </w:rPr>
        <w:t>i)</w:t>
      </w:r>
      <w:r w:rsidRPr="00CB1F18">
        <w:rPr>
          <w:lang w:val="fr-FR"/>
        </w:rPr>
        <w:tab/>
      </w:r>
      <w:r>
        <w:rPr>
          <w:lang w:val="fr-FR"/>
        </w:rPr>
        <w:t>En négociant</w:t>
      </w:r>
      <w:r w:rsidRPr="00CB1F18">
        <w:rPr>
          <w:lang w:val="fr-FR"/>
        </w:rPr>
        <w:t xml:space="preserve"> les propositions avec les autres Parties contr</w:t>
      </w:r>
      <w:r>
        <w:rPr>
          <w:lang w:val="fr-FR"/>
        </w:rPr>
        <w:t>actantes avant de les soumettre ;</w:t>
      </w:r>
    </w:p>
    <w:p w:rsidR="00043A74" w:rsidRDefault="002B38DA" w:rsidP="00BE5292">
      <w:pPr>
        <w:pStyle w:val="SingleTxtG"/>
        <w:ind w:left="1701"/>
        <w:rPr>
          <w:lang w:val="fr-FR"/>
        </w:rPr>
      </w:pPr>
      <w:r>
        <w:rPr>
          <w:lang w:val="fr-FR"/>
        </w:rPr>
        <w:t>ii)</w:t>
      </w:r>
      <w:r>
        <w:rPr>
          <w:lang w:val="fr-FR"/>
        </w:rPr>
        <w:tab/>
        <w:t>En é</w:t>
      </w:r>
      <w:r w:rsidRPr="00CB1F18">
        <w:rPr>
          <w:lang w:val="fr-FR"/>
        </w:rPr>
        <w:t>tablissant des groupes de travail informels (</w:t>
      </w:r>
      <w:r w:rsidR="00372811">
        <w:rPr>
          <w:lang w:val="fr-FR"/>
        </w:rPr>
        <w:t>le cas échéant</w:t>
      </w:r>
      <w:r w:rsidRPr="00CB1F18">
        <w:rPr>
          <w:lang w:val="fr-FR"/>
        </w:rPr>
        <w:t>) chargés d</w:t>
      </w:r>
      <w:r>
        <w:rPr>
          <w:lang w:val="fr-FR"/>
        </w:rPr>
        <w:t>’</w:t>
      </w:r>
      <w:r w:rsidRPr="00CB1F18">
        <w:rPr>
          <w:lang w:val="fr-FR"/>
        </w:rPr>
        <w:t>élaborer des p</w:t>
      </w:r>
      <w:r>
        <w:rPr>
          <w:lang w:val="fr-FR"/>
        </w:rPr>
        <w:t>ropositions hautement techniques ;</w:t>
      </w:r>
    </w:p>
    <w:p w:rsidR="002B38DA" w:rsidRPr="00CB1F18" w:rsidRDefault="002B38DA" w:rsidP="00043A74">
      <w:pPr>
        <w:pStyle w:val="SingleTxtG"/>
        <w:ind w:left="2268" w:hanging="567"/>
      </w:pPr>
      <w:r w:rsidRPr="00CB1F18">
        <w:rPr>
          <w:lang w:val="fr-FR"/>
        </w:rPr>
        <w:t>iii)</w:t>
      </w:r>
      <w:r w:rsidRPr="00CB1F18">
        <w:rPr>
          <w:lang w:val="fr-FR"/>
        </w:rPr>
        <w:tab/>
      </w:r>
      <w:r>
        <w:rPr>
          <w:lang w:val="fr-FR"/>
        </w:rPr>
        <w:t>En abrogeant la prise de décision à l’unanimité</w:t>
      </w:r>
      <w:r w:rsidR="00BE5292">
        <w:rPr>
          <w:lang w:val="fr-FR"/>
        </w:rPr>
        <w:t> ;</w:t>
      </w:r>
    </w:p>
    <w:p w:rsidR="002B38DA" w:rsidRPr="00CB1F18" w:rsidRDefault="002B38DA" w:rsidP="00692345">
      <w:pPr>
        <w:pStyle w:val="SingleTxtG"/>
        <w:ind w:firstLine="567"/>
      </w:pPr>
      <w:r w:rsidRPr="00CB1F18">
        <w:rPr>
          <w:lang w:val="fr-FR"/>
        </w:rPr>
        <w:t>b)</w:t>
      </w:r>
      <w:r w:rsidRPr="00CB1F18">
        <w:rPr>
          <w:lang w:val="fr-FR"/>
        </w:rPr>
        <w:tab/>
        <w:t>Parvenir à un accord sur l</w:t>
      </w:r>
      <w:r>
        <w:rPr>
          <w:lang w:val="fr-FR"/>
        </w:rPr>
        <w:t>’</w:t>
      </w:r>
      <w:r w:rsidRPr="00CB1F18">
        <w:rPr>
          <w:lang w:val="fr-FR"/>
        </w:rPr>
        <w:t>utilisation efficace des outils de communication</w:t>
      </w:r>
      <w:r>
        <w:rPr>
          <w:lang w:val="fr-FR"/>
        </w:rPr>
        <w:t> :</w:t>
      </w:r>
    </w:p>
    <w:p w:rsidR="002B38DA" w:rsidRPr="00CB1F18" w:rsidRDefault="002B38DA" w:rsidP="00043A74">
      <w:pPr>
        <w:pStyle w:val="SingleTxtG"/>
        <w:ind w:left="2268" w:hanging="567"/>
      </w:pPr>
      <w:r w:rsidRPr="00CB1F18">
        <w:rPr>
          <w:lang w:val="fr-FR"/>
        </w:rPr>
        <w:t>i)</w:t>
      </w:r>
      <w:r w:rsidRPr="00CB1F18">
        <w:rPr>
          <w:lang w:val="fr-FR"/>
        </w:rPr>
        <w:tab/>
        <w:t>Documents informels</w:t>
      </w:r>
    </w:p>
    <w:p w:rsidR="00043A74" w:rsidRDefault="002B38DA" w:rsidP="00043A74">
      <w:pPr>
        <w:pStyle w:val="SingleTxtG"/>
        <w:ind w:left="1701"/>
        <w:rPr>
          <w:lang w:val="fr-FR"/>
        </w:rPr>
      </w:pPr>
      <w:r w:rsidRPr="00CB1F18">
        <w:rPr>
          <w:lang w:val="fr-FR"/>
        </w:rPr>
        <w:t xml:space="preserve">Les documents informels devraient </w:t>
      </w:r>
      <w:r>
        <w:rPr>
          <w:lang w:val="fr-FR"/>
        </w:rPr>
        <w:t>être utilisés comme moyen de lancer la discussion</w:t>
      </w:r>
      <w:r w:rsidRPr="00CB1F18">
        <w:rPr>
          <w:lang w:val="fr-FR"/>
        </w:rPr>
        <w:t xml:space="preserve"> par écrit avant </w:t>
      </w:r>
      <w:r>
        <w:rPr>
          <w:lang w:val="fr-FR"/>
        </w:rPr>
        <w:t>une</w:t>
      </w:r>
      <w:r w:rsidRPr="00CB1F18">
        <w:rPr>
          <w:lang w:val="fr-FR"/>
        </w:rPr>
        <w:t xml:space="preserve"> réunion.</w:t>
      </w:r>
    </w:p>
    <w:p w:rsidR="002B38DA" w:rsidRPr="00CB1F18" w:rsidRDefault="002B38DA" w:rsidP="00043A74">
      <w:pPr>
        <w:pStyle w:val="SingleTxtG"/>
        <w:ind w:left="1701"/>
      </w:pPr>
      <w:r>
        <w:rPr>
          <w:lang w:val="fr-FR"/>
        </w:rPr>
        <w:t>Ces documents :</w:t>
      </w:r>
      <w:r w:rsidRPr="00CB1F18">
        <w:rPr>
          <w:lang w:val="fr-FR"/>
        </w:rPr>
        <w:t xml:space="preserve"> </w:t>
      </w:r>
    </w:p>
    <w:p w:rsidR="002B38DA" w:rsidRPr="00CB59F5" w:rsidRDefault="00043A74" w:rsidP="00043A74">
      <w:pPr>
        <w:pStyle w:val="Bullet1G"/>
        <w:rPr>
          <w:rFonts w:eastAsia="SimSun"/>
        </w:rPr>
      </w:pPr>
      <w:r w:rsidRPr="00CB1F18">
        <w:rPr>
          <w:lang w:val="fr-FR"/>
        </w:rPr>
        <w:t xml:space="preserve">Sont </w:t>
      </w:r>
      <w:r w:rsidR="002B38DA" w:rsidRPr="00CB1F18">
        <w:rPr>
          <w:lang w:val="fr-FR"/>
        </w:rPr>
        <w:t xml:space="preserve">soumis à titre informatif et contiennent des observations, des suggestions ou des informations supplémentaires spécifiques </w:t>
      </w:r>
      <w:r w:rsidR="002B38DA">
        <w:rPr>
          <w:lang w:val="fr-FR"/>
        </w:rPr>
        <w:t xml:space="preserve">concernant </w:t>
      </w:r>
      <w:r w:rsidR="002B38DA" w:rsidRPr="00CB1F18">
        <w:rPr>
          <w:lang w:val="fr-FR"/>
        </w:rPr>
        <w:t xml:space="preserve">un document officiel </w:t>
      </w:r>
      <w:r w:rsidR="002B38DA" w:rsidRPr="00CB1F18">
        <w:rPr>
          <w:lang w:val="fr-FR"/>
        </w:rPr>
        <w:lastRenderedPageBreak/>
        <w:t>figurant à l</w:t>
      </w:r>
      <w:r w:rsidR="002B38DA">
        <w:rPr>
          <w:lang w:val="fr-FR"/>
        </w:rPr>
        <w:t>’</w:t>
      </w:r>
      <w:r w:rsidR="002B38DA" w:rsidRPr="00CB1F18">
        <w:rPr>
          <w:lang w:val="fr-FR"/>
        </w:rPr>
        <w:t>ordre du jour</w:t>
      </w:r>
      <w:r w:rsidR="002B38DA">
        <w:rPr>
          <w:lang w:val="fr-FR"/>
        </w:rPr>
        <w:t>,</w:t>
      </w:r>
      <w:r w:rsidR="002B38DA" w:rsidRPr="00CB1F18">
        <w:rPr>
          <w:lang w:val="fr-FR"/>
        </w:rPr>
        <w:t xml:space="preserve"> et permettent de préparer les débats et de connaître </w:t>
      </w:r>
      <w:r w:rsidR="002B38DA">
        <w:rPr>
          <w:lang w:val="fr-FR"/>
        </w:rPr>
        <w:t>à l’avance, du moins en partie, </w:t>
      </w:r>
      <w:r w:rsidR="002B38DA" w:rsidRPr="00CB1F18">
        <w:rPr>
          <w:lang w:val="fr-FR"/>
        </w:rPr>
        <w:t>le</w:t>
      </w:r>
      <w:r w:rsidR="002B38DA">
        <w:rPr>
          <w:lang w:val="fr-FR"/>
        </w:rPr>
        <w:t>s</w:t>
      </w:r>
      <w:r w:rsidR="002B38DA" w:rsidRPr="00CB1F18">
        <w:rPr>
          <w:lang w:val="fr-FR"/>
        </w:rPr>
        <w:t xml:space="preserve"> </w:t>
      </w:r>
      <w:r w:rsidR="002B38DA">
        <w:rPr>
          <w:lang w:val="fr-FR"/>
        </w:rPr>
        <w:t>arguments concernant une question particulière ;</w:t>
      </w:r>
    </w:p>
    <w:p w:rsidR="00E8564C" w:rsidRPr="00E8564C" w:rsidRDefault="00043A74" w:rsidP="00876704">
      <w:pPr>
        <w:pStyle w:val="Bullet1G"/>
        <w:rPr>
          <w:rFonts w:eastAsia="SimSun"/>
        </w:rPr>
      </w:pPr>
      <w:r w:rsidRPr="00E8564C">
        <w:rPr>
          <w:lang w:val="fr-FR"/>
        </w:rPr>
        <w:t xml:space="preserve">Ne </w:t>
      </w:r>
      <w:r w:rsidR="002B38DA" w:rsidRPr="00E8564C">
        <w:rPr>
          <w:lang w:val="fr-FR"/>
        </w:rPr>
        <w:t>sont pas traduits et ne sont disponibles que dans la langue officielle dans laquelle ils ont été soumis ;</w:t>
      </w:r>
    </w:p>
    <w:p w:rsidR="002B38DA" w:rsidRPr="00E8564C" w:rsidRDefault="00372811" w:rsidP="00876704">
      <w:pPr>
        <w:pStyle w:val="Bullet1G"/>
        <w:rPr>
          <w:rFonts w:eastAsia="SimSun"/>
        </w:rPr>
      </w:pPr>
      <w:r w:rsidRPr="00E8564C">
        <w:rPr>
          <w:lang w:val="fr-FR"/>
        </w:rPr>
        <w:t xml:space="preserve">Ne </w:t>
      </w:r>
      <w:r w:rsidR="002B38DA" w:rsidRPr="00E8564C">
        <w:rPr>
          <w:lang w:val="fr-FR"/>
        </w:rPr>
        <w:t>doivent pas faire l’objet d’une déc</w:t>
      </w:r>
      <w:r w:rsidR="008730C0">
        <w:rPr>
          <w:lang w:val="fr-FR"/>
        </w:rPr>
        <w:t>ision du Groupe de travail ; et</w:t>
      </w:r>
    </w:p>
    <w:p w:rsidR="002B38DA" w:rsidRPr="00CB1F18" w:rsidRDefault="00372811" w:rsidP="00E8564C">
      <w:pPr>
        <w:pStyle w:val="Bullet2G"/>
        <w:rPr>
          <w:rFonts w:eastAsia="SimSun"/>
        </w:rPr>
      </w:pPr>
      <w:r w:rsidRPr="00CB1F18">
        <w:rPr>
          <w:lang w:val="fr-FR"/>
        </w:rPr>
        <w:t xml:space="preserve">Visent </w:t>
      </w:r>
      <w:r w:rsidR="002B38DA" w:rsidRPr="00CB1F18">
        <w:rPr>
          <w:lang w:val="fr-FR"/>
        </w:rPr>
        <w:t>à corriger des er</w:t>
      </w:r>
      <w:r w:rsidR="002B38DA">
        <w:rPr>
          <w:lang w:val="fr-FR"/>
        </w:rPr>
        <w:t>reurs dans des textes existants ;</w:t>
      </w:r>
    </w:p>
    <w:p w:rsidR="002B38DA" w:rsidRPr="00CB1F18" w:rsidRDefault="00372811" w:rsidP="00E8564C">
      <w:pPr>
        <w:pStyle w:val="Bullet2G"/>
        <w:rPr>
          <w:rFonts w:eastAsia="SimSun"/>
        </w:rPr>
      </w:pPr>
      <w:r w:rsidRPr="00CB1F18">
        <w:rPr>
          <w:lang w:val="fr-FR"/>
        </w:rPr>
        <w:t xml:space="preserve">Visent </w:t>
      </w:r>
      <w:r w:rsidR="002B38DA" w:rsidRPr="00CB1F18">
        <w:rPr>
          <w:lang w:val="fr-FR"/>
        </w:rPr>
        <w:t xml:space="preserve">à </w:t>
      </w:r>
      <w:r w:rsidR="002B38DA">
        <w:rPr>
          <w:lang w:val="fr-FR"/>
        </w:rPr>
        <w:t>préciser</w:t>
      </w:r>
      <w:r w:rsidR="002B38DA" w:rsidRPr="00CB1F18">
        <w:rPr>
          <w:lang w:val="fr-FR"/>
        </w:rPr>
        <w:t xml:space="preserve"> l</w:t>
      </w:r>
      <w:r w:rsidR="002B38DA">
        <w:rPr>
          <w:lang w:val="fr-FR"/>
        </w:rPr>
        <w:t>’</w:t>
      </w:r>
      <w:r w:rsidR="002B38DA" w:rsidRPr="00CB1F18">
        <w:rPr>
          <w:lang w:val="fr-FR"/>
        </w:rPr>
        <w:t>interprétation de</w:t>
      </w:r>
      <w:r w:rsidR="002B38DA">
        <w:rPr>
          <w:lang w:val="fr-FR"/>
        </w:rPr>
        <w:t xml:space="preserve"> textes existants ;</w:t>
      </w:r>
      <w:r w:rsidR="008730C0">
        <w:rPr>
          <w:lang w:val="fr-FR"/>
        </w:rPr>
        <w:t xml:space="preserve"> ou</w:t>
      </w:r>
    </w:p>
    <w:p w:rsidR="002B38DA" w:rsidRPr="00CB1F18" w:rsidRDefault="00372811" w:rsidP="00E8564C">
      <w:pPr>
        <w:pStyle w:val="Bullet2G"/>
        <w:rPr>
          <w:rFonts w:eastAsia="SimSun"/>
        </w:rPr>
      </w:pPr>
      <w:r>
        <w:rPr>
          <w:lang w:val="fr-FR"/>
        </w:rPr>
        <w:t xml:space="preserve">Constituent </w:t>
      </w:r>
      <w:r w:rsidR="002B38DA">
        <w:rPr>
          <w:lang w:val="fr-FR"/>
        </w:rPr>
        <w:t>parfois</w:t>
      </w:r>
      <w:r w:rsidR="002B38DA" w:rsidRPr="00CB1F18">
        <w:rPr>
          <w:lang w:val="fr-FR"/>
        </w:rPr>
        <w:t xml:space="preserve"> le rapport d</w:t>
      </w:r>
      <w:r w:rsidR="002B38DA">
        <w:rPr>
          <w:lang w:val="fr-FR"/>
        </w:rPr>
        <w:t>’</w:t>
      </w:r>
      <w:r w:rsidR="008730C0">
        <w:rPr>
          <w:lang w:val="fr-FR"/>
        </w:rPr>
        <w:t>un groupe de travail informel.</w:t>
      </w:r>
    </w:p>
    <w:p w:rsidR="002B38DA" w:rsidRPr="00AA28DE" w:rsidRDefault="002B38DA" w:rsidP="002B38DA">
      <w:pPr>
        <w:pStyle w:val="SingleTxtG"/>
        <w:rPr>
          <w:u w:val="dash"/>
          <w:lang w:val="fr-FR"/>
        </w:rPr>
      </w:pPr>
      <w:r w:rsidRPr="009C5C5C">
        <w:rPr>
          <w:lang w:val="fr-FR"/>
        </w:rPr>
        <w:t>L</w:t>
      </w:r>
      <w:r>
        <w:rPr>
          <w:lang w:val="fr-FR"/>
        </w:rPr>
        <w:t>’</w:t>
      </w:r>
      <w:r w:rsidRPr="009C5C5C">
        <w:rPr>
          <w:lang w:val="fr-FR"/>
        </w:rPr>
        <w:t>auteur d</w:t>
      </w:r>
      <w:r>
        <w:rPr>
          <w:lang w:val="fr-FR"/>
        </w:rPr>
        <w:t>’</w:t>
      </w:r>
      <w:r w:rsidRPr="009C5C5C">
        <w:rPr>
          <w:lang w:val="fr-FR"/>
        </w:rPr>
        <w:t xml:space="preserve">un document informel doit indiquer clairement le titre de sa communication, le document officiel auquel elle </w:t>
      </w:r>
      <w:r>
        <w:rPr>
          <w:lang w:val="fr-FR"/>
        </w:rPr>
        <w:t>se réfère</w:t>
      </w:r>
      <w:r w:rsidRPr="009C5C5C">
        <w:rPr>
          <w:lang w:val="fr-FR"/>
        </w:rPr>
        <w:t xml:space="preserve">, le cas échéant, </w:t>
      </w:r>
      <w:r>
        <w:rPr>
          <w:lang w:val="fr-FR"/>
        </w:rPr>
        <w:t xml:space="preserve">ainsi que </w:t>
      </w:r>
      <w:r w:rsidRPr="009C5C5C">
        <w:rPr>
          <w:lang w:val="fr-FR"/>
        </w:rPr>
        <w:t>le point de l</w:t>
      </w:r>
      <w:r>
        <w:rPr>
          <w:lang w:val="fr-FR"/>
        </w:rPr>
        <w:t>’</w:t>
      </w:r>
      <w:r w:rsidRPr="009C5C5C">
        <w:rPr>
          <w:lang w:val="fr-FR"/>
        </w:rPr>
        <w:t>ordre du jour au titre duquel elle devrait être examinée</w:t>
      </w:r>
      <w:r w:rsidRPr="00372811">
        <w:rPr>
          <w:lang w:val="fr-FR"/>
        </w:rPr>
        <w:t>.</w:t>
      </w:r>
    </w:p>
    <w:p w:rsidR="002B38DA" w:rsidRPr="00CB1F18" w:rsidRDefault="002B38DA" w:rsidP="00210983">
      <w:pPr>
        <w:pStyle w:val="SingleTxtG"/>
        <w:keepNext/>
        <w:ind w:left="2268" w:hanging="567"/>
      </w:pPr>
      <w:r w:rsidRPr="00CB1F18">
        <w:rPr>
          <w:lang w:val="fr-FR"/>
        </w:rPr>
        <w:t>ii)</w:t>
      </w:r>
      <w:r w:rsidRPr="00CB1F18">
        <w:rPr>
          <w:lang w:val="fr-FR"/>
        </w:rPr>
        <w:tab/>
        <w:t>Documents officiels</w:t>
      </w:r>
    </w:p>
    <w:p w:rsidR="002B38DA" w:rsidRPr="00CB1F18" w:rsidRDefault="002B38DA" w:rsidP="00E8564C">
      <w:pPr>
        <w:pStyle w:val="Bullet1G"/>
        <w:rPr>
          <w:rFonts w:eastAsia="SimSun"/>
        </w:rPr>
      </w:pPr>
      <w:r w:rsidRPr="00CB1F18">
        <w:rPr>
          <w:lang w:val="fr-FR"/>
        </w:rPr>
        <w:t xml:space="preserve">Ils traitent des questions </w:t>
      </w:r>
      <w:r>
        <w:rPr>
          <w:lang w:val="fr-FR"/>
        </w:rPr>
        <w:t>qui doivent faire l’objet d’</w:t>
      </w:r>
      <w:r w:rsidRPr="00CB1F18">
        <w:rPr>
          <w:lang w:val="fr-FR"/>
        </w:rPr>
        <w:t>une décision officielle par vote ou par consensus</w:t>
      </w:r>
      <w:r w:rsidR="00E84CC9">
        <w:rPr>
          <w:lang w:val="fr-FR"/>
        </w:rPr>
        <w:t> ;</w:t>
      </w:r>
    </w:p>
    <w:p w:rsidR="002B38DA" w:rsidRPr="00CB1F18" w:rsidRDefault="002B38DA" w:rsidP="00E8564C">
      <w:pPr>
        <w:pStyle w:val="Bullet1G"/>
        <w:rPr>
          <w:rFonts w:eastAsia="SimSun"/>
        </w:rPr>
      </w:pPr>
      <w:bookmarkStart w:id="2" w:name="_Hlk520212824"/>
      <w:r w:rsidRPr="00CB1F18">
        <w:rPr>
          <w:lang w:val="fr-FR"/>
        </w:rPr>
        <w:t>Ils doivent porter sur une question essentielle</w:t>
      </w:r>
      <w:r>
        <w:rPr>
          <w:lang w:val="fr-FR"/>
        </w:rPr>
        <w:t xml:space="preserve"> susceptible d’entraîner une modification du texte</w:t>
      </w:r>
      <w:r w:rsidRPr="00CB1F18">
        <w:rPr>
          <w:lang w:val="fr-FR"/>
        </w:rPr>
        <w:t xml:space="preserve">. </w:t>
      </w:r>
      <w:r>
        <w:rPr>
          <w:lang w:val="fr-FR"/>
        </w:rPr>
        <w:t xml:space="preserve">Il peut s’agir de </w:t>
      </w:r>
      <w:r w:rsidRPr="00930A2A">
        <w:rPr>
          <w:lang w:val="fr-FR"/>
        </w:rPr>
        <w:t>modifications d</w:t>
      </w:r>
      <w:r>
        <w:rPr>
          <w:lang w:val="fr-FR"/>
        </w:rPr>
        <w:t>’</w:t>
      </w:r>
      <w:r w:rsidRPr="00930A2A">
        <w:rPr>
          <w:lang w:val="fr-FR"/>
        </w:rPr>
        <w:t xml:space="preserve">ordre rédactionnel </w:t>
      </w:r>
      <w:r w:rsidRPr="00CB1F18">
        <w:rPr>
          <w:lang w:val="fr-FR"/>
        </w:rPr>
        <w:t>ou</w:t>
      </w:r>
      <w:r>
        <w:rPr>
          <w:lang w:val="fr-FR"/>
        </w:rPr>
        <w:t xml:space="preserve"> de changements que la délégation qui présente la proposition juge nécessaires</w:t>
      </w:r>
      <w:r w:rsidRPr="00CB1F18">
        <w:rPr>
          <w:lang w:val="fr-FR"/>
        </w:rPr>
        <w:t xml:space="preserve"> en raison</w:t>
      </w:r>
      <w:r w:rsidR="00E8564C">
        <w:rPr>
          <w:lang w:val="fr-FR"/>
        </w:rPr>
        <w:t xml:space="preserve"> </w:t>
      </w:r>
      <w:r>
        <w:rPr>
          <w:lang w:val="fr-FR"/>
        </w:rPr>
        <w:t>d’</w:t>
      </w:r>
      <w:r w:rsidRPr="00CB1F18">
        <w:rPr>
          <w:lang w:val="fr-FR"/>
        </w:rPr>
        <w:t>évolutions techniques</w:t>
      </w:r>
      <w:r>
        <w:rPr>
          <w:lang w:val="fr-FR"/>
        </w:rPr>
        <w:t xml:space="preserve"> ou pour toute </w:t>
      </w:r>
      <w:r w:rsidRPr="004929FA">
        <w:rPr>
          <w:lang w:val="fr-FR"/>
        </w:rPr>
        <w:t>autre</w:t>
      </w:r>
      <w:r>
        <w:rPr>
          <w:lang w:val="fr-FR"/>
        </w:rPr>
        <w:t xml:space="preserve"> raison</w:t>
      </w:r>
      <w:r w:rsidR="00E84CC9">
        <w:rPr>
          <w:lang w:val="fr-FR"/>
        </w:rPr>
        <w:t> ;</w:t>
      </w:r>
      <w:r w:rsidRPr="00CB1F18">
        <w:rPr>
          <w:lang w:val="fr-FR"/>
        </w:rPr>
        <w:t xml:space="preserve"> </w:t>
      </w:r>
    </w:p>
    <w:bookmarkEnd w:id="2"/>
    <w:p w:rsidR="002B38DA" w:rsidRPr="00CB1F18" w:rsidRDefault="002B38DA" w:rsidP="00E8564C">
      <w:pPr>
        <w:pStyle w:val="Bullet1G"/>
        <w:rPr>
          <w:rFonts w:eastAsia="SimSun"/>
        </w:rPr>
      </w:pPr>
      <w:r w:rsidRPr="00CB1F18">
        <w:rPr>
          <w:lang w:val="fr-FR"/>
        </w:rPr>
        <w:t>Ils sont traduits dans toutes les langues officielles</w:t>
      </w:r>
      <w:r w:rsidR="00E84CC9">
        <w:rPr>
          <w:lang w:val="fr-FR"/>
        </w:rPr>
        <w:t> ;</w:t>
      </w:r>
    </w:p>
    <w:p w:rsidR="002B38DA" w:rsidRPr="00CB1F18" w:rsidRDefault="002B38DA" w:rsidP="00E8564C">
      <w:pPr>
        <w:pStyle w:val="Bullet1G"/>
        <w:rPr>
          <w:rFonts w:eastAsia="SimSun"/>
        </w:rPr>
      </w:pPr>
      <w:r w:rsidRPr="00CB1F18">
        <w:rPr>
          <w:lang w:val="fr-FR"/>
        </w:rPr>
        <w:t xml:space="preserve">Ils </w:t>
      </w:r>
      <w:r>
        <w:rPr>
          <w:lang w:val="fr-FR"/>
        </w:rPr>
        <w:t xml:space="preserve">sont soumis à un calendrier et </w:t>
      </w:r>
      <w:r w:rsidRPr="00CB1F18">
        <w:rPr>
          <w:lang w:val="fr-FR"/>
        </w:rPr>
        <w:t xml:space="preserve">doivent être </w:t>
      </w:r>
      <w:r>
        <w:rPr>
          <w:lang w:val="fr-FR"/>
        </w:rPr>
        <w:t>présentés</w:t>
      </w:r>
      <w:r w:rsidRPr="00CB1F18">
        <w:rPr>
          <w:lang w:val="fr-FR"/>
        </w:rPr>
        <w:t xml:space="preserve"> trois mois à l</w:t>
      </w:r>
      <w:r>
        <w:rPr>
          <w:lang w:val="fr-FR"/>
        </w:rPr>
        <w:t>’</w:t>
      </w:r>
      <w:r w:rsidRPr="00CB1F18">
        <w:rPr>
          <w:lang w:val="fr-FR"/>
        </w:rPr>
        <w:t>avance</w:t>
      </w:r>
      <w:r w:rsidR="00E84CC9">
        <w:rPr>
          <w:lang w:val="fr-FR"/>
        </w:rPr>
        <w:t> ;</w:t>
      </w:r>
    </w:p>
    <w:p w:rsidR="002B38DA" w:rsidRPr="00CB1F18" w:rsidRDefault="002B38DA" w:rsidP="00E8564C">
      <w:pPr>
        <w:pStyle w:val="Bullet1G"/>
        <w:rPr>
          <w:rFonts w:eastAsia="SimSun"/>
        </w:rPr>
      </w:pPr>
      <w:r w:rsidRPr="00CB1F18">
        <w:rPr>
          <w:lang w:val="fr-FR"/>
        </w:rPr>
        <w:t>Le contenu doit être rédigé de manière simple. Il est nécessaire de mentionner le contexte historique lorsque</w:t>
      </w:r>
      <w:r>
        <w:rPr>
          <w:lang w:val="fr-FR"/>
        </w:rPr>
        <w:t xml:space="preserve"> c’</w:t>
      </w:r>
      <w:r w:rsidR="00E84CC9">
        <w:rPr>
          <w:lang w:val="fr-FR"/>
        </w:rPr>
        <w:t>est possible ;</w:t>
      </w:r>
    </w:p>
    <w:p w:rsidR="002B38DA" w:rsidRPr="006D1993" w:rsidRDefault="002B38DA" w:rsidP="00E8564C">
      <w:pPr>
        <w:pStyle w:val="Bullet1G"/>
        <w:rPr>
          <w:rFonts w:eastAsia="SimSun"/>
        </w:rPr>
      </w:pPr>
      <w:r w:rsidRPr="00CB1F18">
        <w:rPr>
          <w:lang w:val="fr-FR"/>
        </w:rPr>
        <w:t xml:space="preserve">Les auteurs devraient </w:t>
      </w:r>
      <w:r>
        <w:rPr>
          <w:lang w:val="fr-FR"/>
        </w:rPr>
        <w:t>tenir compte de</w:t>
      </w:r>
      <w:r w:rsidRPr="00CB1F18">
        <w:rPr>
          <w:lang w:val="fr-FR"/>
        </w:rPr>
        <w:t xml:space="preserve"> tous les points en lien avec le sujet qui on</w:t>
      </w:r>
      <w:r>
        <w:rPr>
          <w:lang w:val="fr-FR"/>
        </w:rPr>
        <w:t>t</w:t>
      </w:r>
      <w:r w:rsidRPr="00CB1F18">
        <w:rPr>
          <w:lang w:val="fr-FR"/>
        </w:rPr>
        <w:t xml:space="preserve"> été soulevés lors des débats précédents et avoir une idée claire des points sur lesquels un consensus est possible</w:t>
      </w:r>
      <w:r>
        <w:rPr>
          <w:lang w:val="fr-FR"/>
        </w:rPr>
        <w:t xml:space="preserve"> et de </w:t>
      </w:r>
      <w:r w:rsidRPr="00CB1F18">
        <w:rPr>
          <w:lang w:val="fr-FR"/>
        </w:rPr>
        <w:t xml:space="preserve">ceux </w:t>
      </w:r>
      <w:r>
        <w:rPr>
          <w:lang w:val="fr-FR"/>
        </w:rPr>
        <w:t>qui devront faire l’objet de discussions</w:t>
      </w:r>
      <w:r w:rsidRPr="00CB1F18">
        <w:rPr>
          <w:lang w:val="fr-FR"/>
        </w:rPr>
        <w:t xml:space="preserve"> supplémentaire</w:t>
      </w:r>
      <w:r>
        <w:rPr>
          <w:lang w:val="fr-FR"/>
        </w:rPr>
        <w:t>s</w:t>
      </w:r>
      <w:r w:rsidRPr="00CB1F18">
        <w:rPr>
          <w:lang w:val="fr-FR"/>
        </w:rPr>
        <w:t xml:space="preserve"> </w:t>
      </w:r>
      <w:r>
        <w:rPr>
          <w:lang w:val="fr-FR"/>
        </w:rPr>
        <w:t>avant de parvenir à un accord</w:t>
      </w:r>
      <w:r w:rsidRPr="00CB1F18">
        <w:rPr>
          <w:lang w:val="fr-FR"/>
        </w:rPr>
        <w:t>. Cette information devrait c</w:t>
      </w:r>
      <w:r w:rsidR="00E84CC9">
        <w:rPr>
          <w:lang w:val="fr-FR"/>
        </w:rPr>
        <w:t>lairement ressortir du document ;</w:t>
      </w:r>
    </w:p>
    <w:p w:rsidR="002B38DA" w:rsidRPr="00CB1F18" w:rsidRDefault="002B38DA" w:rsidP="00E8564C">
      <w:pPr>
        <w:pStyle w:val="Bullet1G"/>
        <w:rPr>
          <w:rFonts w:eastAsia="SimSun"/>
        </w:rPr>
      </w:pPr>
      <w:r w:rsidRPr="00CB1F18">
        <w:rPr>
          <w:lang w:val="fr-FR"/>
        </w:rPr>
        <w:t>Il est n</w:t>
      </w:r>
      <w:r>
        <w:rPr>
          <w:lang w:val="fr-FR"/>
        </w:rPr>
        <w:t xml:space="preserve">écessaire de garder à l’esprit </w:t>
      </w:r>
      <w:r w:rsidRPr="00CB1F18">
        <w:rPr>
          <w:lang w:val="fr-FR"/>
        </w:rPr>
        <w:t>la</w:t>
      </w:r>
      <w:r>
        <w:rPr>
          <w:lang w:val="fr-FR"/>
        </w:rPr>
        <w:t xml:space="preserve"> synthèse des débats précédents</w:t>
      </w:r>
      <w:r w:rsidR="00E84CC9">
        <w:rPr>
          <w:lang w:val="fr-FR"/>
        </w:rPr>
        <w:t> ;</w:t>
      </w:r>
    </w:p>
    <w:p w:rsidR="002B38DA" w:rsidRPr="006D1993" w:rsidRDefault="002B38DA" w:rsidP="00E8564C">
      <w:pPr>
        <w:pStyle w:val="Bullet1G"/>
        <w:rPr>
          <w:rFonts w:eastAsia="SimSun"/>
        </w:rPr>
      </w:pPr>
      <w:r w:rsidRPr="00CB1F18">
        <w:rPr>
          <w:lang w:val="fr-FR"/>
        </w:rPr>
        <w:t>Les documents peuvent être acceptés de manière générale par le Groupe de travail, même si certains points peuvent être modifiés par la voie d</w:t>
      </w:r>
      <w:r>
        <w:rPr>
          <w:lang w:val="fr-FR"/>
        </w:rPr>
        <w:t>’</w:t>
      </w:r>
      <w:r w:rsidRPr="00CB1F18">
        <w:rPr>
          <w:lang w:val="fr-FR"/>
        </w:rPr>
        <w:t>un document informel présenté par un groupe de travail s</w:t>
      </w:r>
      <w:r>
        <w:rPr>
          <w:lang w:val="fr-FR"/>
        </w:rPr>
        <w:t>’</w:t>
      </w:r>
      <w:r w:rsidRPr="00CB1F18">
        <w:rPr>
          <w:lang w:val="fr-FR"/>
        </w:rPr>
        <w:t>étant réuni à la pause déjeuner.</w:t>
      </w:r>
    </w:p>
    <w:p w:rsidR="002B38DA" w:rsidRDefault="002B38DA" w:rsidP="002B38DA">
      <w:pPr>
        <w:pStyle w:val="SingleTxtG"/>
        <w:rPr>
          <w:lang w:val="fr-FR"/>
        </w:rPr>
      </w:pPr>
      <w:r w:rsidRPr="00CB1F18">
        <w:rPr>
          <w:lang w:val="fr-FR"/>
        </w:rPr>
        <w:t xml:space="preserve">Si les documents ne sont pas acceptés, la raison </w:t>
      </w:r>
      <w:r>
        <w:rPr>
          <w:lang w:val="fr-FR"/>
        </w:rPr>
        <w:t xml:space="preserve">en </w:t>
      </w:r>
      <w:r w:rsidRPr="00CB1F18">
        <w:rPr>
          <w:lang w:val="fr-FR"/>
        </w:rPr>
        <w:t xml:space="preserve">sera communiquée </w:t>
      </w:r>
      <w:r>
        <w:rPr>
          <w:lang w:val="fr-FR"/>
        </w:rPr>
        <w:t xml:space="preserve">dans le rapport transmis </w:t>
      </w:r>
      <w:r w:rsidRPr="00CB1F18">
        <w:rPr>
          <w:lang w:val="fr-FR"/>
        </w:rPr>
        <w:t xml:space="preserve">à la Partie contractante </w:t>
      </w:r>
      <w:r>
        <w:rPr>
          <w:lang w:val="fr-FR"/>
        </w:rPr>
        <w:t xml:space="preserve">qui </w:t>
      </w:r>
      <w:r w:rsidRPr="00CB1F18">
        <w:rPr>
          <w:lang w:val="fr-FR"/>
        </w:rPr>
        <w:t xml:space="preserve">les </w:t>
      </w:r>
      <w:r>
        <w:rPr>
          <w:lang w:val="fr-FR"/>
        </w:rPr>
        <w:t xml:space="preserve">a </w:t>
      </w:r>
      <w:r w:rsidRPr="00CB1F18">
        <w:rPr>
          <w:lang w:val="fr-FR"/>
        </w:rPr>
        <w:t>soumis</w:t>
      </w:r>
      <w:r>
        <w:rPr>
          <w:lang w:val="fr-FR"/>
        </w:rPr>
        <w:t>.</w:t>
      </w:r>
      <w:r w:rsidRPr="00CB1F18">
        <w:rPr>
          <w:lang w:val="fr-FR"/>
        </w:rPr>
        <w:t xml:space="preserve"> </w:t>
      </w:r>
      <w:r>
        <w:rPr>
          <w:lang w:val="fr-FR"/>
        </w:rPr>
        <w:t>E</w:t>
      </w:r>
      <w:r w:rsidRPr="00CB1F18">
        <w:rPr>
          <w:lang w:val="fr-FR"/>
        </w:rPr>
        <w:t>n général</w:t>
      </w:r>
      <w:r>
        <w:rPr>
          <w:lang w:val="fr-FR"/>
        </w:rPr>
        <w:t>,</w:t>
      </w:r>
      <w:r w:rsidRPr="00CB1F18">
        <w:rPr>
          <w:lang w:val="fr-FR"/>
        </w:rPr>
        <w:t xml:space="preserve"> </w:t>
      </w:r>
      <w:r>
        <w:rPr>
          <w:lang w:val="fr-FR"/>
        </w:rPr>
        <w:t>elle sera invitée</w:t>
      </w:r>
      <w:r w:rsidRPr="00CB1F18">
        <w:rPr>
          <w:lang w:val="fr-FR"/>
        </w:rPr>
        <w:t xml:space="preserve"> à modifier le document en tenant compte des observations formulées lors de la session et à le soumettre à nouveau. Cela permet de maintenir </w:t>
      </w:r>
      <w:r>
        <w:rPr>
          <w:lang w:val="fr-FR"/>
        </w:rPr>
        <w:t>le</w:t>
      </w:r>
      <w:r w:rsidRPr="00CB1F18">
        <w:rPr>
          <w:lang w:val="fr-FR"/>
        </w:rPr>
        <w:t xml:space="preserve"> débat ouvert et</w:t>
      </w:r>
      <w:r>
        <w:rPr>
          <w:lang w:val="fr-FR"/>
        </w:rPr>
        <w:t xml:space="preserve"> de faire avancer </w:t>
      </w:r>
      <w:r w:rsidRPr="00CB1F18">
        <w:rPr>
          <w:lang w:val="fr-FR"/>
        </w:rPr>
        <w:t>la question</w:t>
      </w:r>
      <w:r>
        <w:rPr>
          <w:lang w:val="fr-FR"/>
        </w:rPr>
        <w:t>.</w:t>
      </w:r>
    </w:p>
    <w:p w:rsidR="002B38DA" w:rsidRPr="00CB1F18" w:rsidRDefault="002B38DA" w:rsidP="00210983">
      <w:pPr>
        <w:pStyle w:val="SingleTxtG"/>
        <w:keepNext/>
        <w:ind w:left="2268" w:hanging="567"/>
      </w:pPr>
      <w:r>
        <w:rPr>
          <w:lang w:val="fr-FR"/>
        </w:rPr>
        <w:t>iii)</w:t>
      </w:r>
      <w:r>
        <w:rPr>
          <w:lang w:val="fr-FR"/>
        </w:rPr>
        <w:tab/>
        <w:t xml:space="preserve">Débats </w:t>
      </w:r>
      <w:r w:rsidRPr="00CB1F18">
        <w:rPr>
          <w:lang w:val="fr-FR"/>
        </w:rPr>
        <w:t>lors de</w:t>
      </w:r>
      <w:r>
        <w:rPr>
          <w:lang w:val="fr-FR"/>
        </w:rPr>
        <w:t>s réunions</w:t>
      </w:r>
    </w:p>
    <w:p w:rsidR="002B38DA" w:rsidRPr="00CB1F18" w:rsidRDefault="002B38DA" w:rsidP="00E8564C">
      <w:pPr>
        <w:pStyle w:val="Bullet1G"/>
        <w:rPr>
          <w:rFonts w:eastAsia="SimSun"/>
        </w:rPr>
      </w:pPr>
      <w:r w:rsidRPr="00CB1F18">
        <w:rPr>
          <w:lang w:val="fr-FR"/>
        </w:rPr>
        <w:t>Il est nécessaire de garder à l</w:t>
      </w:r>
      <w:r>
        <w:rPr>
          <w:lang w:val="fr-FR"/>
        </w:rPr>
        <w:t>’</w:t>
      </w:r>
      <w:r w:rsidRPr="00CB1F18">
        <w:rPr>
          <w:lang w:val="fr-FR"/>
        </w:rPr>
        <w:t>esprit le fond</w:t>
      </w:r>
      <w:r>
        <w:rPr>
          <w:lang w:val="fr-FR"/>
        </w:rPr>
        <w:t xml:space="preserve"> d’un débat axé sur la recherche de</w:t>
      </w:r>
      <w:r w:rsidRPr="00CB1F18">
        <w:rPr>
          <w:lang w:val="fr-FR"/>
        </w:rPr>
        <w:t xml:space="preserve"> so</w:t>
      </w:r>
      <w:r w:rsidR="003A1B72">
        <w:rPr>
          <w:lang w:val="fr-FR"/>
        </w:rPr>
        <w:t>lutions ;</w:t>
      </w:r>
    </w:p>
    <w:p w:rsidR="002B38DA" w:rsidRPr="00CB1F18" w:rsidRDefault="002B38DA" w:rsidP="00E8564C">
      <w:pPr>
        <w:pStyle w:val="Bullet1G"/>
        <w:rPr>
          <w:rFonts w:eastAsia="SimSun"/>
        </w:rPr>
      </w:pPr>
      <w:r w:rsidRPr="00CB1F18">
        <w:rPr>
          <w:lang w:val="fr-FR"/>
        </w:rPr>
        <w:t>Les participants devraient connaître et étudier à l</w:t>
      </w:r>
      <w:r>
        <w:rPr>
          <w:lang w:val="fr-FR"/>
        </w:rPr>
        <w:t>’</w:t>
      </w:r>
      <w:r w:rsidRPr="00CB1F18">
        <w:rPr>
          <w:lang w:val="fr-FR"/>
        </w:rPr>
        <w:t xml:space="preserve">avance les différents points et </w:t>
      </w:r>
      <w:r>
        <w:rPr>
          <w:lang w:val="fr-FR"/>
        </w:rPr>
        <w:t>arguments</w:t>
      </w:r>
      <w:r w:rsidR="003A1B72">
        <w:rPr>
          <w:lang w:val="fr-FR"/>
        </w:rPr>
        <w:t> ;</w:t>
      </w:r>
    </w:p>
    <w:p w:rsidR="002B38DA" w:rsidRPr="00CB1F18" w:rsidRDefault="002B38DA" w:rsidP="00E8564C">
      <w:pPr>
        <w:pStyle w:val="Bullet1G"/>
        <w:rPr>
          <w:rFonts w:eastAsia="SimSun"/>
        </w:rPr>
      </w:pPr>
      <w:r w:rsidRPr="00CB1F18">
        <w:rPr>
          <w:lang w:val="fr-FR"/>
        </w:rPr>
        <w:t xml:space="preserve">Les participants </w:t>
      </w:r>
      <w:r w:rsidRPr="001E4805">
        <w:rPr>
          <w:lang w:val="fr-FR"/>
        </w:rPr>
        <w:t xml:space="preserve">devraient </w:t>
      </w:r>
      <w:r w:rsidRPr="00CB1F18">
        <w:rPr>
          <w:lang w:val="fr-FR"/>
        </w:rPr>
        <w:t xml:space="preserve">être disposés à atteindre un consensus </w:t>
      </w:r>
      <w:r>
        <w:rPr>
          <w:lang w:val="fr-FR"/>
        </w:rPr>
        <w:t>sur la base d’</w:t>
      </w:r>
      <w:r w:rsidR="003A1B72">
        <w:rPr>
          <w:lang w:val="fr-FR"/>
        </w:rPr>
        <w:t>un compromis ;</w:t>
      </w:r>
    </w:p>
    <w:p w:rsidR="002B38DA" w:rsidRPr="00CB1F18" w:rsidRDefault="002B38DA" w:rsidP="00E8564C">
      <w:pPr>
        <w:pStyle w:val="Bullet1G"/>
        <w:rPr>
          <w:rFonts w:eastAsia="SimSun"/>
        </w:rPr>
      </w:pPr>
      <w:r w:rsidRPr="00CB1F18">
        <w:rPr>
          <w:lang w:val="fr-FR"/>
        </w:rPr>
        <w:t xml:space="preserve">Il est nécessaire </w:t>
      </w:r>
      <w:r>
        <w:rPr>
          <w:lang w:val="fr-FR"/>
        </w:rPr>
        <w:t>de mettre en commun</w:t>
      </w:r>
      <w:r w:rsidRPr="00CB1F18">
        <w:rPr>
          <w:lang w:val="fr-FR"/>
        </w:rPr>
        <w:t xml:space="preserve"> les différents objectifs </w:t>
      </w:r>
      <w:r>
        <w:rPr>
          <w:lang w:val="fr-FR"/>
        </w:rPr>
        <w:t>sur des bases légales uniformes</w:t>
      </w:r>
      <w:r w:rsidR="003A1B72">
        <w:rPr>
          <w:lang w:val="fr-FR"/>
        </w:rPr>
        <w:t> ;</w:t>
      </w:r>
    </w:p>
    <w:p w:rsidR="002B38DA" w:rsidRPr="001E4805" w:rsidRDefault="002B38DA" w:rsidP="00E8564C">
      <w:pPr>
        <w:pStyle w:val="Bullet1G"/>
        <w:rPr>
          <w:rFonts w:eastAsia="SimSun"/>
        </w:rPr>
      </w:pPr>
      <w:r w:rsidRPr="00CB1F18">
        <w:rPr>
          <w:lang w:val="fr-FR"/>
        </w:rPr>
        <w:t xml:space="preserve">Les participants </w:t>
      </w:r>
      <w:r w:rsidRPr="00B87BAF">
        <w:rPr>
          <w:lang w:val="fr-FR"/>
        </w:rPr>
        <w:t>devraient</w:t>
      </w:r>
      <w:r w:rsidRPr="00CB1F18">
        <w:rPr>
          <w:lang w:val="fr-FR"/>
        </w:rPr>
        <w:t xml:space="preserve"> </w:t>
      </w:r>
      <w:r w:rsidRPr="009C5C5C">
        <w:rPr>
          <w:lang w:val="fr-FR"/>
        </w:rPr>
        <w:t xml:space="preserve">trouver de nouveaux moyens de négocier avec les autres Parties contractantes et </w:t>
      </w:r>
      <w:r>
        <w:rPr>
          <w:lang w:val="fr-FR"/>
        </w:rPr>
        <w:t xml:space="preserve">pour </w:t>
      </w:r>
      <w:r w:rsidRPr="009C5C5C">
        <w:rPr>
          <w:lang w:val="fr-FR"/>
        </w:rPr>
        <w:t>parvenir à des compromis afin d</w:t>
      </w:r>
      <w:r>
        <w:rPr>
          <w:lang w:val="fr-FR"/>
        </w:rPr>
        <w:t>’</w:t>
      </w:r>
      <w:r w:rsidRPr="009C5C5C">
        <w:rPr>
          <w:lang w:val="fr-FR"/>
        </w:rPr>
        <w:t>accroître le nombre de propositions d</w:t>
      </w:r>
      <w:r>
        <w:rPr>
          <w:lang w:val="fr-FR"/>
        </w:rPr>
        <w:t>’</w:t>
      </w:r>
      <w:r w:rsidRPr="009C5C5C">
        <w:rPr>
          <w:lang w:val="fr-FR"/>
        </w:rPr>
        <w:t>amendement</w:t>
      </w:r>
      <w:r>
        <w:rPr>
          <w:lang w:val="fr-FR"/>
        </w:rPr>
        <w:t>s</w:t>
      </w:r>
      <w:r w:rsidRPr="009C5C5C">
        <w:rPr>
          <w:lang w:val="fr-FR"/>
        </w:rPr>
        <w:t xml:space="preserve"> adoptées à chaque session</w:t>
      </w:r>
      <w:r w:rsidRPr="001E4805">
        <w:rPr>
          <w:lang w:val="fr-FR"/>
        </w:rPr>
        <w:t>.</w:t>
      </w:r>
    </w:p>
    <w:p w:rsidR="002B38DA" w:rsidRPr="00CB1F18" w:rsidRDefault="002B38DA" w:rsidP="003A1B72">
      <w:pPr>
        <w:pStyle w:val="SingleTxtG"/>
        <w:keepNext/>
        <w:ind w:left="2268" w:hanging="567"/>
      </w:pPr>
      <w:r w:rsidRPr="00CB1F18">
        <w:rPr>
          <w:lang w:val="fr-FR"/>
        </w:rPr>
        <w:lastRenderedPageBreak/>
        <w:t>iv)</w:t>
      </w:r>
      <w:r w:rsidRPr="00CB1F18">
        <w:rPr>
          <w:lang w:val="fr-FR"/>
        </w:rPr>
        <w:tab/>
        <w:t>Acco</w:t>
      </w:r>
      <w:r w:rsidR="003A1B72">
        <w:rPr>
          <w:lang w:val="fr-FR"/>
        </w:rPr>
        <w:t>rds multilatéraux et bilatéraux</w:t>
      </w:r>
    </w:p>
    <w:p w:rsidR="002B38DA" w:rsidRPr="008D6843" w:rsidRDefault="002B38DA" w:rsidP="00E8564C">
      <w:pPr>
        <w:pStyle w:val="Bullet1G"/>
        <w:rPr>
          <w:rFonts w:eastAsia="SimSun"/>
        </w:rPr>
      </w:pPr>
      <w:r w:rsidRPr="00CB1F18">
        <w:rPr>
          <w:lang w:val="fr-FR"/>
        </w:rPr>
        <w:t>Il est nécessaire d</w:t>
      </w:r>
      <w:r>
        <w:rPr>
          <w:lang w:val="fr-FR"/>
        </w:rPr>
        <w:t>’</w:t>
      </w:r>
      <w:r w:rsidRPr="00CB1F18">
        <w:rPr>
          <w:lang w:val="fr-FR"/>
        </w:rPr>
        <w:t xml:space="preserve">élaborer un instrument commun </w:t>
      </w:r>
      <w:r>
        <w:rPr>
          <w:lang w:val="fr-FR"/>
        </w:rPr>
        <w:t xml:space="preserve">qui tienne </w:t>
      </w:r>
      <w:r w:rsidRPr="00CB1F18">
        <w:rPr>
          <w:lang w:val="fr-FR"/>
        </w:rPr>
        <w:t>compte des différences de climat entre les Parties contractantes. La proposition peut par exemple prévoir plusieurs options concernant les températures extérieures</w:t>
      </w:r>
      <w:r>
        <w:rPr>
          <w:lang w:val="fr-FR"/>
        </w:rPr>
        <w:t>,</w:t>
      </w:r>
      <w:r w:rsidRPr="00CB1F18">
        <w:rPr>
          <w:lang w:val="fr-FR"/>
        </w:rPr>
        <w:t xml:space="preserve"> </w:t>
      </w:r>
      <w:r>
        <w:rPr>
          <w:lang w:val="fr-FR"/>
        </w:rPr>
        <w:t>définir dans l’attestation ATP la fourchette de température extérieure</w:t>
      </w:r>
      <w:r w:rsidRPr="00CB1F18">
        <w:rPr>
          <w:lang w:val="fr-FR"/>
        </w:rPr>
        <w:t xml:space="preserve"> pour laquelle </w:t>
      </w:r>
      <w:r w:rsidRPr="009C5C5C">
        <w:rPr>
          <w:lang w:val="fr-FR"/>
        </w:rPr>
        <w:t>l</w:t>
      </w:r>
      <w:r>
        <w:rPr>
          <w:lang w:val="fr-FR"/>
        </w:rPr>
        <w:t>’</w:t>
      </w:r>
      <w:r w:rsidRPr="009C5C5C">
        <w:rPr>
          <w:lang w:val="fr-FR"/>
        </w:rPr>
        <w:t>engin de transport spécial</w:t>
      </w:r>
      <w:r w:rsidRPr="00CB1F18">
        <w:rPr>
          <w:lang w:val="fr-FR"/>
        </w:rPr>
        <w:t xml:space="preserve"> est certifié, etc.</w:t>
      </w:r>
      <w:r w:rsidR="003A1B72">
        <w:rPr>
          <w:lang w:val="fr-FR"/>
        </w:rPr>
        <w:t> ;</w:t>
      </w:r>
    </w:p>
    <w:p w:rsidR="002B38DA" w:rsidRPr="00CB1F18" w:rsidRDefault="002B38DA" w:rsidP="00E8564C">
      <w:pPr>
        <w:pStyle w:val="Bullet1G"/>
        <w:rPr>
          <w:rFonts w:eastAsia="SimSun"/>
        </w:rPr>
      </w:pPr>
      <w:r w:rsidRPr="00CB1F18">
        <w:rPr>
          <w:lang w:val="fr-FR"/>
        </w:rPr>
        <w:t xml:space="preserve">Il </w:t>
      </w:r>
      <w:r>
        <w:rPr>
          <w:lang w:val="fr-FR"/>
        </w:rPr>
        <w:t xml:space="preserve">faut avoir davantage </w:t>
      </w:r>
      <w:r w:rsidRPr="00CB1F18">
        <w:rPr>
          <w:lang w:val="fr-FR"/>
        </w:rPr>
        <w:t>rec</w:t>
      </w:r>
      <w:r w:rsidR="003A1B72">
        <w:rPr>
          <w:lang w:val="fr-FR"/>
        </w:rPr>
        <w:t>ours aux accords multilatéraux ;</w:t>
      </w:r>
    </w:p>
    <w:p w:rsidR="002B38DA" w:rsidRPr="00046E65" w:rsidRDefault="002B38DA" w:rsidP="00E8564C">
      <w:pPr>
        <w:pStyle w:val="Bullet1G"/>
        <w:rPr>
          <w:rFonts w:eastAsia="SimSun"/>
        </w:rPr>
      </w:pPr>
      <w:r w:rsidRPr="00CB1F18">
        <w:rPr>
          <w:lang w:val="fr-FR"/>
        </w:rPr>
        <w:t>Les participant</w:t>
      </w:r>
      <w:r>
        <w:rPr>
          <w:lang w:val="fr-FR"/>
        </w:rPr>
        <w:t>s</w:t>
      </w:r>
      <w:r w:rsidRPr="00CB1F18">
        <w:rPr>
          <w:lang w:val="fr-FR"/>
        </w:rPr>
        <w:t xml:space="preserve"> devraient </w:t>
      </w:r>
      <w:r>
        <w:rPr>
          <w:lang w:val="fr-FR"/>
        </w:rPr>
        <w:t xml:space="preserve">également </w:t>
      </w:r>
      <w:r w:rsidRPr="00CB1F18">
        <w:rPr>
          <w:lang w:val="fr-FR"/>
        </w:rPr>
        <w:t>envisager de modifier l</w:t>
      </w:r>
      <w:r>
        <w:rPr>
          <w:lang w:val="fr-FR"/>
        </w:rPr>
        <w:t>’</w:t>
      </w:r>
      <w:r w:rsidRPr="00CB1F18">
        <w:rPr>
          <w:lang w:val="fr-FR"/>
        </w:rPr>
        <w:t>article 7</w:t>
      </w:r>
      <w:r>
        <w:rPr>
          <w:lang w:val="fr-FR"/>
        </w:rPr>
        <w:t xml:space="preserve"> de l’Accord pour le rendre plus flexible</w:t>
      </w:r>
      <w:r w:rsidRPr="00CB1F18">
        <w:rPr>
          <w:lang w:val="fr-FR"/>
        </w:rPr>
        <w:t xml:space="preserve"> afin de mieux tirer parti des accords multilatéraux, en tenant compte par exemple des principales prescriptions relatives à la température. </w:t>
      </w:r>
    </w:p>
    <w:p w:rsidR="002B38DA" w:rsidRPr="00CB1F18" w:rsidRDefault="002B38DA" w:rsidP="00E8564C">
      <w:pPr>
        <w:pStyle w:val="SingleTxtG"/>
        <w:ind w:left="1701"/>
      </w:pPr>
      <w:r w:rsidRPr="00464AD4">
        <w:t>« </w:t>
      </w:r>
      <w:r w:rsidRPr="009C5C5C">
        <w:rPr>
          <w:lang w:val="fr-FR"/>
        </w:rPr>
        <w:t>Les Parties contractantes conservent le droit de convenir par accords bilatéraux ou multilatéraux, que des dispositions applicables aux engins spéciaux pourraient</w:t>
      </w:r>
      <w:r>
        <w:rPr>
          <w:lang w:val="fr-FR"/>
        </w:rPr>
        <w:t xml:space="preserve">, </w:t>
      </w:r>
      <w:r w:rsidRPr="009C5C5C">
        <w:rPr>
          <w:strike/>
          <w:lang w:val="fr-FR"/>
        </w:rPr>
        <w:t>plus sévères que celles prévues au présent Accord</w:t>
      </w:r>
      <w:r w:rsidRPr="009C5C5C">
        <w:rPr>
          <w:lang w:val="fr-FR"/>
        </w:rPr>
        <w:t xml:space="preserve"> notamment, </w:t>
      </w:r>
      <w:r>
        <w:rPr>
          <w:lang w:val="fr-FR"/>
        </w:rPr>
        <w:t xml:space="preserve">en raison </w:t>
      </w:r>
      <w:r w:rsidRPr="009C5C5C">
        <w:rPr>
          <w:lang w:val="fr-FR"/>
        </w:rPr>
        <w:t>de conditions climatiques particulières</w:t>
      </w:r>
      <w:r>
        <w:t>,</w:t>
      </w:r>
      <w:r w:rsidRPr="00CB1F18">
        <w:rPr>
          <w:lang w:val="fr-FR"/>
        </w:rPr>
        <w:t xml:space="preserve"> </w:t>
      </w:r>
      <w:r w:rsidRPr="00C63D48">
        <w:rPr>
          <w:b/>
          <w:lang w:val="fr-FR"/>
        </w:rPr>
        <w:t xml:space="preserve">être </w:t>
      </w:r>
      <w:r w:rsidRPr="00C63D48">
        <w:rPr>
          <w:b/>
          <w:bCs/>
          <w:lang w:val="fr-FR"/>
        </w:rPr>
        <w:t>différentes de celles qui sont prévues au présent Accord, pour autant que soient respectées les prescriptions applicables aux températures auxquelles certaines denrées doivent être transportées</w:t>
      </w:r>
      <w:r w:rsidRPr="00CB1F18">
        <w:rPr>
          <w:lang w:val="fr-FR"/>
        </w:rPr>
        <w:t xml:space="preserve">. </w:t>
      </w:r>
      <w:r w:rsidRPr="009C5C5C">
        <w:rPr>
          <w:lang w:val="fr-FR"/>
        </w:rPr>
        <w:t>Ces dispositions ne seront applicables qu</w:t>
      </w:r>
      <w:r>
        <w:rPr>
          <w:lang w:val="fr-FR"/>
        </w:rPr>
        <w:t>’</w:t>
      </w:r>
      <w:r w:rsidRPr="009C5C5C">
        <w:rPr>
          <w:lang w:val="fr-FR"/>
        </w:rPr>
        <w:t>aux transports internationaux effectués entre les Parties contractantes qui auront conclu les accords bilatéraux ou multilatéraux visés au présent article. Ces accords seront communiqués au Secrétaire général de l</w:t>
      </w:r>
      <w:r>
        <w:rPr>
          <w:lang w:val="fr-FR"/>
        </w:rPr>
        <w:t>’</w:t>
      </w:r>
      <w:r w:rsidRPr="009C5C5C">
        <w:rPr>
          <w:lang w:val="fr-FR"/>
        </w:rPr>
        <w:t>Organisation des Nations Unies qui les communiquera aux Parties contractantes au présent Accord non signataires de ces accords</w:t>
      </w:r>
      <w:r w:rsidRPr="00496EC5">
        <w:rPr>
          <w:lang w:val="fr-FR"/>
        </w:rPr>
        <w:t> </w:t>
      </w:r>
      <w:r>
        <w:rPr>
          <w:lang w:val="fr-FR"/>
        </w:rPr>
        <w:t>».</w:t>
      </w:r>
      <w:r w:rsidRPr="00CB1F18">
        <w:rPr>
          <w:lang w:val="fr-FR"/>
        </w:rPr>
        <w:t xml:space="preserve"> La durée des accords multilatéraux prévoyant des conditions moins strictes que celles </w:t>
      </w:r>
      <w:r>
        <w:rPr>
          <w:lang w:val="fr-FR"/>
        </w:rPr>
        <w:t>qui sont prévues au</w:t>
      </w:r>
      <w:r w:rsidRPr="00CB1F18">
        <w:rPr>
          <w:lang w:val="fr-FR"/>
        </w:rPr>
        <w:t xml:space="preserve"> présent Accord ne peut </w:t>
      </w:r>
      <w:r w:rsidRPr="0073545C">
        <w:rPr>
          <w:lang w:val="fr-FR"/>
        </w:rPr>
        <w:t>pas dépasser</w:t>
      </w:r>
      <w:r w:rsidRPr="00CB1F18">
        <w:rPr>
          <w:lang w:val="fr-FR"/>
        </w:rPr>
        <w:t xml:space="preserve"> cinq ans </w:t>
      </w:r>
      <w:r>
        <w:rPr>
          <w:lang w:val="fr-FR"/>
        </w:rPr>
        <w:t xml:space="preserve">ni </w:t>
      </w:r>
      <w:r w:rsidRPr="00CB1F18">
        <w:rPr>
          <w:lang w:val="fr-FR"/>
        </w:rPr>
        <w:t>être prolongée.</w:t>
      </w:r>
    </w:p>
    <w:p w:rsidR="002B38DA" w:rsidRPr="00CB1F18" w:rsidRDefault="002B38DA" w:rsidP="00692345">
      <w:pPr>
        <w:pStyle w:val="SingleTxtG"/>
        <w:ind w:firstLine="567"/>
      </w:pPr>
      <w:r w:rsidRPr="00CB1F18">
        <w:rPr>
          <w:lang w:val="fr-FR"/>
        </w:rPr>
        <w:t>c)</w:t>
      </w:r>
      <w:r w:rsidRPr="00CB1F18">
        <w:rPr>
          <w:lang w:val="fr-FR"/>
        </w:rPr>
        <w:tab/>
        <w:t>Réexaminer la procédure de prise de décisions concernant le texte de l</w:t>
      </w:r>
      <w:r>
        <w:rPr>
          <w:lang w:val="fr-FR"/>
        </w:rPr>
        <w:t>’</w:t>
      </w:r>
      <w:r w:rsidRPr="00CB1F18">
        <w:rPr>
          <w:lang w:val="fr-FR"/>
        </w:rPr>
        <w:t>ATP</w:t>
      </w:r>
    </w:p>
    <w:p w:rsidR="002B38DA" w:rsidRDefault="002B38DA" w:rsidP="003714EC">
      <w:pPr>
        <w:pStyle w:val="SingleTxtG"/>
        <w:ind w:firstLine="567"/>
        <w:rPr>
          <w:lang w:val="fr-FR"/>
        </w:rPr>
      </w:pPr>
      <w:r w:rsidRPr="00CB1F18">
        <w:rPr>
          <w:lang w:val="fr-FR"/>
        </w:rPr>
        <w:t>À l</w:t>
      </w:r>
      <w:r>
        <w:rPr>
          <w:lang w:val="fr-FR"/>
        </w:rPr>
        <w:t>’</w:t>
      </w:r>
      <w:r w:rsidRPr="00CB1F18">
        <w:rPr>
          <w:lang w:val="fr-FR"/>
        </w:rPr>
        <w:t>instar d</w:t>
      </w:r>
      <w:r>
        <w:rPr>
          <w:lang w:val="fr-FR"/>
        </w:rPr>
        <w:t>’un grand nombre de délégations par le passé</w:t>
      </w:r>
      <w:r w:rsidRPr="00CB1F18">
        <w:rPr>
          <w:lang w:val="fr-FR"/>
        </w:rPr>
        <w:t>, le groupe de travail informe</w:t>
      </w:r>
      <w:r>
        <w:rPr>
          <w:lang w:val="fr-FR"/>
        </w:rPr>
        <w:t xml:space="preserve">l considère qu’il serait utile </w:t>
      </w:r>
      <w:r w:rsidRPr="00CB1F18">
        <w:rPr>
          <w:lang w:val="fr-FR"/>
        </w:rPr>
        <w:t>d</w:t>
      </w:r>
      <w:r>
        <w:rPr>
          <w:lang w:val="fr-FR"/>
        </w:rPr>
        <w:t>’</w:t>
      </w:r>
      <w:r w:rsidRPr="00CB1F18">
        <w:rPr>
          <w:lang w:val="fr-FR"/>
        </w:rPr>
        <w:t>envisager encore une fois de m</w:t>
      </w:r>
      <w:r>
        <w:rPr>
          <w:lang w:val="fr-FR"/>
        </w:rPr>
        <w:t>odifier la règle de l’unanimité</w:t>
      </w:r>
      <w:r w:rsidRPr="00CB1F18">
        <w:rPr>
          <w:lang w:val="fr-FR"/>
        </w:rPr>
        <w:t xml:space="preserve"> prévue par l</w:t>
      </w:r>
      <w:r>
        <w:rPr>
          <w:lang w:val="fr-FR"/>
        </w:rPr>
        <w:t>’</w:t>
      </w:r>
      <w:r w:rsidRPr="00CB1F18">
        <w:rPr>
          <w:lang w:val="fr-FR"/>
        </w:rPr>
        <w:t xml:space="preserve">ATP. Le Groupe de travail </w:t>
      </w:r>
      <w:r>
        <w:rPr>
          <w:lang w:val="fr-FR"/>
        </w:rPr>
        <w:t xml:space="preserve">s’est déjà prononcé </w:t>
      </w:r>
      <w:r w:rsidRPr="00CB1F18">
        <w:rPr>
          <w:lang w:val="fr-FR"/>
        </w:rPr>
        <w:t>en faveur de la modification de cette rè</w:t>
      </w:r>
      <w:r>
        <w:rPr>
          <w:lang w:val="fr-FR"/>
        </w:rPr>
        <w:t xml:space="preserve">gle dans le </w:t>
      </w:r>
      <w:r w:rsidRPr="003714EC">
        <w:t>règlement</w:t>
      </w:r>
      <w:r>
        <w:rPr>
          <w:lang w:val="fr-FR"/>
        </w:rPr>
        <w:t xml:space="preserve"> intérieur ;</w:t>
      </w:r>
      <w:r w:rsidRPr="00CB1F18">
        <w:rPr>
          <w:lang w:val="fr-FR"/>
        </w:rPr>
        <w:t xml:space="preserve"> il paraît dès lors logique et nécessaire de modifier également les paragraphes 4, 5 et 8 de l</w:t>
      </w:r>
      <w:r>
        <w:rPr>
          <w:lang w:val="fr-FR"/>
        </w:rPr>
        <w:t>’</w:t>
      </w:r>
      <w:r w:rsidRPr="00CB1F18">
        <w:rPr>
          <w:lang w:val="fr-FR"/>
        </w:rPr>
        <w:t>article 18 de l</w:t>
      </w:r>
      <w:r>
        <w:rPr>
          <w:lang w:val="fr-FR"/>
        </w:rPr>
        <w:t>’</w:t>
      </w:r>
      <w:r w:rsidRPr="00CB1F18">
        <w:rPr>
          <w:lang w:val="fr-FR"/>
        </w:rPr>
        <w:t>Accord. À cet égard, deux variante</w:t>
      </w:r>
      <w:r>
        <w:rPr>
          <w:lang w:val="fr-FR"/>
        </w:rPr>
        <w:t>s</w:t>
      </w:r>
      <w:r w:rsidRPr="00CB1F18">
        <w:rPr>
          <w:lang w:val="fr-FR"/>
        </w:rPr>
        <w:t xml:space="preserve"> sont proposées</w:t>
      </w:r>
      <w:r>
        <w:rPr>
          <w:lang w:val="fr-FR"/>
        </w:rPr>
        <w:t> :</w:t>
      </w:r>
    </w:p>
    <w:p w:rsidR="002B38DA" w:rsidRPr="0062345B" w:rsidRDefault="002B38DA" w:rsidP="003714EC">
      <w:pPr>
        <w:pStyle w:val="SingleTxtG"/>
        <w:keepNext/>
        <w:rPr>
          <w:u w:val="single"/>
        </w:rPr>
      </w:pPr>
      <w:r w:rsidRPr="0062345B">
        <w:rPr>
          <w:u w:val="single"/>
          <w:lang w:val="fr-FR"/>
        </w:rPr>
        <w:t>Variante A</w:t>
      </w:r>
    </w:p>
    <w:p w:rsidR="002B38DA" w:rsidRPr="00CB1F18" w:rsidRDefault="002B38DA" w:rsidP="002B38DA">
      <w:pPr>
        <w:pStyle w:val="SingleTxtG"/>
      </w:pPr>
      <w:r>
        <w:rPr>
          <w:lang w:val="fr-FR"/>
        </w:rPr>
        <w:t>Reprenant</w:t>
      </w:r>
      <w:r w:rsidRPr="00CB1F18">
        <w:rPr>
          <w:lang w:val="fr-FR"/>
        </w:rPr>
        <w:t xml:space="preserve"> la dernière proposition présentée par la</w:t>
      </w:r>
      <w:r>
        <w:rPr>
          <w:lang w:val="fr-FR"/>
        </w:rPr>
        <w:t xml:space="preserve"> délégation belge</w:t>
      </w:r>
      <w:r w:rsidRPr="00CB1F18">
        <w:rPr>
          <w:lang w:val="fr-FR"/>
        </w:rPr>
        <w:t>, le Groupe de trava</w:t>
      </w:r>
      <w:r>
        <w:rPr>
          <w:lang w:val="fr-FR"/>
        </w:rPr>
        <w:t>il peut convenir de ce qui suit :</w:t>
      </w:r>
    </w:p>
    <w:p w:rsidR="002B38DA" w:rsidRPr="00496EC5" w:rsidRDefault="002B38DA" w:rsidP="00A7402B">
      <w:pPr>
        <w:pStyle w:val="SingleTxtG"/>
        <w:ind w:left="1701"/>
      </w:pPr>
      <w:r w:rsidRPr="00496EC5">
        <w:rPr>
          <w:lang w:val="fr-FR"/>
        </w:rPr>
        <w:t>« 4.</w:t>
      </w:r>
      <w:r w:rsidRPr="00496EC5">
        <w:rPr>
          <w:lang w:val="fr-FR"/>
        </w:rPr>
        <w:tab/>
        <w:t xml:space="preserve"> </w:t>
      </w:r>
      <w:r w:rsidRPr="00496EC5">
        <w:rPr>
          <w:i/>
          <w:iCs/>
          <w:lang w:val="fr-FR"/>
        </w:rPr>
        <w:t>Si une objection est formulée au projet d</w:t>
      </w:r>
      <w:r>
        <w:rPr>
          <w:i/>
          <w:iCs/>
          <w:lang w:val="fr-FR"/>
        </w:rPr>
        <w:t>’</w:t>
      </w:r>
      <w:r w:rsidRPr="00496EC5">
        <w:rPr>
          <w:i/>
          <w:iCs/>
          <w:lang w:val="fr-FR"/>
        </w:rPr>
        <w:t xml:space="preserve">amendement </w:t>
      </w:r>
      <w:r w:rsidRPr="00F54A0B">
        <w:rPr>
          <w:b/>
          <w:bCs/>
          <w:i/>
          <w:iCs/>
          <w:u w:val="single"/>
          <w:lang w:val="fr-FR"/>
        </w:rPr>
        <w:t>des articles du présent Accord ou si trois objections au moins sont formulées au projet d’amendement des annexes au présent Accord</w:t>
      </w:r>
      <w:r w:rsidRPr="00496EC5">
        <w:rPr>
          <w:i/>
          <w:iCs/>
          <w:lang w:val="fr-FR"/>
        </w:rPr>
        <w:t xml:space="preserve"> </w:t>
      </w:r>
      <w:r w:rsidRPr="009C5C5C">
        <w:rPr>
          <w:i/>
          <w:iCs/>
          <w:lang w:val="fr-FR"/>
        </w:rPr>
        <w:t>dans les conditions prévues aux paragraphes 2 et 3 du présent article, l</w:t>
      </w:r>
      <w:r>
        <w:rPr>
          <w:i/>
          <w:iCs/>
          <w:lang w:val="fr-FR"/>
        </w:rPr>
        <w:t>’</w:t>
      </w:r>
      <w:r w:rsidRPr="009C5C5C">
        <w:rPr>
          <w:i/>
          <w:iCs/>
          <w:lang w:val="fr-FR"/>
        </w:rPr>
        <w:t>amendement sera considéré comme n</w:t>
      </w:r>
      <w:r>
        <w:rPr>
          <w:i/>
          <w:iCs/>
          <w:lang w:val="fr-FR"/>
        </w:rPr>
        <w:t>’</w:t>
      </w:r>
      <w:r w:rsidRPr="009C5C5C">
        <w:rPr>
          <w:i/>
          <w:iCs/>
          <w:lang w:val="fr-FR"/>
        </w:rPr>
        <w:t>ayant pas été accepté et sera sans effet</w:t>
      </w:r>
      <w:r w:rsidRPr="00496EC5">
        <w:rPr>
          <w:i/>
          <w:iCs/>
          <w:lang w:val="fr-FR"/>
        </w:rPr>
        <w:t>.</w:t>
      </w:r>
    </w:p>
    <w:p w:rsidR="002B38DA" w:rsidRPr="00496EC5" w:rsidRDefault="00A7402B" w:rsidP="00A7402B">
      <w:pPr>
        <w:pStyle w:val="SingleTxtG"/>
        <w:ind w:left="1701"/>
      </w:pPr>
      <w:r>
        <w:rPr>
          <w:lang w:val="fr-FR"/>
        </w:rPr>
        <w:t>5.</w:t>
      </w:r>
      <w:r>
        <w:rPr>
          <w:lang w:val="fr-FR"/>
        </w:rPr>
        <w:tab/>
      </w:r>
      <w:r w:rsidR="002B38DA" w:rsidRPr="00496EC5">
        <w:rPr>
          <w:i/>
          <w:iCs/>
          <w:lang w:val="fr-FR"/>
        </w:rPr>
        <w:t>Si aucune objection n</w:t>
      </w:r>
      <w:r w:rsidR="002B38DA">
        <w:rPr>
          <w:i/>
          <w:iCs/>
          <w:lang w:val="fr-FR"/>
        </w:rPr>
        <w:t>’</w:t>
      </w:r>
      <w:r w:rsidR="002B38DA" w:rsidRPr="00496EC5">
        <w:rPr>
          <w:i/>
          <w:iCs/>
          <w:lang w:val="fr-FR"/>
        </w:rPr>
        <w:t>a été formulée au projet d</w:t>
      </w:r>
      <w:r w:rsidR="002B38DA">
        <w:rPr>
          <w:i/>
          <w:iCs/>
          <w:lang w:val="fr-FR"/>
        </w:rPr>
        <w:t>’</w:t>
      </w:r>
      <w:r w:rsidR="002B38DA" w:rsidRPr="00496EC5">
        <w:rPr>
          <w:i/>
          <w:iCs/>
          <w:lang w:val="fr-FR"/>
        </w:rPr>
        <w:t xml:space="preserve">amendement </w:t>
      </w:r>
      <w:r w:rsidR="002B38DA" w:rsidRPr="00F54A0B">
        <w:rPr>
          <w:b/>
          <w:bCs/>
          <w:i/>
          <w:iCs/>
          <w:u w:val="single"/>
          <w:lang w:val="fr-FR"/>
        </w:rPr>
        <w:t>des articles du présent Accord ou si moins de trois objections ont été formulées au projet d’amendement des annexes au présent Accord et que la majorité des voix sont en faveur</w:t>
      </w:r>
      <w:r w:rsidR="002B38DA" w:rsidRPr="00496EC5">
        <w:rPr>
          <w:i/>
          <w:iCs/>
          <w:lang w:val="fr-FR"/>
        </w:rPr>
        <w:t xml:space="preserve">, </w:t>
      </w:r>
      <w:r w:rsidR="002B38DA" w:rsidRPr="009C5C5C">
        <w:rPr>
          <w:i/>
          <w:iCs/>
          <w:lang w:val="fr-FR"/>
        </w:rPr>
        <w:t>dans les conditions prévues aux paragraphes 2 et 3 du présent article, l</w:t>
      </w:r>
      <w:r w:rsidR="002B38DA">
        <w:rPr>
          <w:i/>
          <w:iCs/>
          <w:lang w:val="fr-FR"/>
        </w:rPr>
        <w:t>’</w:t>
      </w:r>
      <w:r w:rsidR="002B38DA" w:rsidRPr="009C5C5C">
        <w:rPr>
          <w:i/>
          <w:iCs/>
          <w:lang w:val="fr-FR"/>
        </w:rPr>
        <w:t xml:space="preserve">amendement sera réputé accepté à la date suivante </w:t>
      </w:r>
      <w:r w:rsidR="002B38DA" w:rsidRPr="00F04AD8">
        <w:rPr>
          <w:i/>
          <w:iCs/>
          <w:lang w:val="fr-FR"/>
        </w:rPr>
        <w:t>:</w:t>
      </w:r>
      <w:r w:rsidR="002B38DA" w:rsidRPr="00F04AD8">
        <w:rPr>
          <w:i/>
          <w:lang w:val="fr-FR"/>
        </w:rPr>
        <w:t xml:space="preserve"> </w:t>
      </w:r>
      <w:r w:rsidR="00D76834">
        <w:rPr>
          <w:i/>
          <w:lang w:val="fr-FR"/>
        </w:rPr>
        <w:t>[</w:t>
      </w:r>
      <w:r w:rsidR="00F04AD8" w:rsidRPr="00F04AD8">
        <w:rPr>
          <w:i/>
          <w:lang w:val="fr-FR"/>
        </w:rPr>
        <w:t>…</w:t>
      </w:r>
      <w:r w:rsidR="00D76834">
        <w:rPr>
          <w:i/>
          <w:lang w:val="fr-FR"/>
        </w:rPr>
        <w:t>]</w:t>
      </w:r>
    </w:p>
    <w:p w:rsidR="002B38DA" w:rsidRPr="00D76834" w:rsidRDefault="002B38DA" w:rsidP="00A7402B">
      <w:pPr>
        <w:pStyle w:val="SingleTxtG"/>
        <w:ind w:left="1701"/>
        <w:rPr>
          <w:i/>
        </w:rPr>
      </w:pPr>
      <w:r w:rsidRPr="00D76834">
        <w:rPr>
          <w:i/>
          <w:lang w:val="fr-FR"/>
        </w:rPr>
        <w:t>[...]</w:t>
      </w:r>
    </w:p>
    <w:p w:rsidR="002B38DA" w:rsidRPr="009C5C5C" w:rsidRDefault="00F54A0B" w:rsidP="00A7402B">
      <w:pPr>
        <w:pStyle w:val="SingleTxtG"/>
        <w:ind w:left="1701"/>
      </w:pPr>
      <w:r>
        <w:rPr>
          <w:lang w:val="fr-FR"/>
        </w:rPr>
        <w:t>8.</w:t>
      </w:r>
      <w:r w:rsidR="002B38DA" w:rsidRPr="009C5C5C">
        <w:rPr>
          <w:lang w:val="fr-FR"/>
        </w:rPr>
        <w:tab/>
      </w:r>
      <w:r w:rsidR="002B38DA" w:rsidRPr="009C5C5C">
        <w:rPr>
          <w:i/>
          <w:iCs/>
          <w:lang w:val="fr-FR"/>
        </w:rPr>
        <w:t>Indépendamment de la procédure d</w:t>
      </w:r>
      <w:r w:rsidR="002B38DA">
        <w:rPr>
          <w:i/>
          <w:iCs/>
          <w:lang w:val="fr-FR"/>
        </w:rPr>
        <w:t>’</w:t>
      </w:r>
      <w:r w:rsidR="002B38DA" w:rsidRPr="009C5C5C">
        <w:rPr>
          <w:i/>
          <w:iCs/>
          <w:lang w:val="fr-FR"/>
        </w:rPr>
        <w:t>amendement prévue aux paragraphes 1 à</w:t>
      </w:r>
      <w:r w:rsidR="00CB1407">
        <w:rPr>
          <w:i/>
          <w:iCs/>
          <w:lang w:val="fr-FR"/>
        </w:rPr>
        <w:t> </w:t>
      </w:r>
      <w:r w:rsidR="002B38DA" w:rsidRPr="009C5C5C">
        <w:rPr>
          <w:i/>
          <w:iCs/>
          <w:lang w:val="fr-FR"/>
        </w:rPr>
        <w:t xml:space="preserve">6 du présent article, les annexes et appendices au présent Accord pourront être modifiés </w:t>
      </w:r>
      <w:r w:rsidR="002B38DA">
        <w:rPr>
          <w:i/>
          <w:iCs/>
          <w:lang w:val="fr-FR"/>
        </w:rPr>
        <w:t xml:space="preserve">d’un commun </w:t>
      </w:r>
      <w:r w:rsidR="002B38DA" w:rsidRPr="009C5C5C">
        <w:rPr>
          <w:i/>
          <w:iCs/>
          <w:lang w:val="fr-FR"/>
        </w:rPr>
        <w:t xml:space="preserve">accord entre les administrations compétentes de toutes les Parties contractantes </w:t>
      </w:r>
      <w:r w:rsidR="002B38DA" w:rsidRPr="00F54A0B">
        <w:rPr>
          <w:b/>
          <w:bCs/>
          <w:i/>
          <w:iCs/>
          <w:u w:val="single"/>
          <w:lang w:val="fr-FR"/>
        </w:rPr>
        <w:t>ou si moins de trois objections ont été formulées concernant le projet d’amendement</w:t>
      </w:r>
      <w:r w:rsidR="002B38DA" w:rsidRPr="00496EC5">
        <w:rPr>
          <w:lang w:val="fr-FR"/>
        </w:rPr>
        <w:t>.</w:t>
      </w:r>
      <w:r w:rsidR="002B38DA" w:rsidRPr="009C5C5C">
        <w:rPr>
          <w:lang w:val="fr-FR"/>
        </w:rPr>
        <w:t xml:space="preserve"> </w:t>
      </w:r>
      <w:r w:rsidR="002B38DA" w:rsidRPr="009C5C5C">
        <w:rPr>
          <w:i/>
          <w:iCs/>
          <w:lang w:val="fr-FR"/>
        </w:rPr>
        <w:t>Si l</w:t>
      </w:r>
      <w:r w:rsidR="002B38DA">
        <w:rPr>
          <w:i/>
          <w:iCs/>
          <w:lang w:val="fr-FR"/>
        </w:rPr>
        <w:t>’</w:t>
      </w:r>
      <w:r w:rsidR="002B38DA" w:rsidRPr="009C5C5C">
        <w:rPr>
          <w:i/>
          <w:iCs/>
          <w:lang w:val="fr-FR"/>
        </w:rPr>
        <w:t>administration d</w:t>
      </w:r>
      <w:r w:rsidR="002B38DA">
        <w:rPr>
          <w:i/>
          <w:iCs/>
          <w:lang w:val="fr-FR"/>
        </w:rPr>
        <w:t>’</w:t>
      </w:r>
      <w:r w:rsidR="002B38DA" w:rsidRPr="009C5C5C">
        <w:rPr>
          <w:i/>
          <w:iCs/>
          <w:lang w:val="fr-FR"/>
        </w:rPr>
        <w:t>une Partie contractante a déclaré que son droit national l</w:t>
      </w:r>
      <w:r w:rsidR="002B38DA">
        <w:rPr>
          <w:i/>
          <w:iCs/>
          <w:lang w:val="fr-FR"/>
        </w:rPr>
        <w:t>’</w:t>
      </w:r>
      <w:r w:rsidR="002B38DA" w:rsidRPr="009C5C5C">
        <w:rPr>
          <w:i/>
          <w:iCs/>
          <w:lang w:val="fr-FR"/>
        </w:rPr>
        <w:t>oblige à subordonner son accord à l</w:t>
      </w:r>
      <w:r w:rsidR="002B38DA">
        <w:rPr>
          <w:i/>
          <w:iCs/>
          <w:lang w:val="fr-FR"/>
        </w:rPr>
        <w:t>’</w:t>
      </w:r>
      <w:r w:rsidR="002B38DA" w:rsidRPr="009C5C5C">
        <w:rPr>
          <w:i/>
          <w:iCs/>
          <w:lang w:val="fr-FR"/>
        </w:rPr>
        <w:t>obtention d</w:t>
      </w:r>
      <w:r w:rsidR="002B38DA">
        <w:rPr>
          <w:i/>
          <w:iCs/>
          <w:lang w:val="fr-FR"/>
        </w:rPr>
        <w:t>’</w:t>
      </w:r>
      <w:r w:rsidR="002B38DA" w:rsidRPr="009C5C5C">
        <w:rPr>
          <w:i/>
          <w:iCs/>
          <w:lang w:val="fr-FR"/>
        </w:rPr>
        <w:t>une autorisation spéciale à cet effet ou à l</w:t>
      </w:r>
      <w:r w:rsidR="002B38DA">
        <w:rPr>
          <w:i/>
          <w:iCs/>
          <w:lang w:val="fr-FR"/>
        </w:rPr>
        <w:t>’</w:t>
      </w:r>
      <w:r w:rsidR="002B38DA" w:rsidRPr="009C5C5C">
        <w:rPr>
          <w:i/>
          <w:iCs/>
          <w:lang w:val="fr-FR"/>
        </w:rPr>
        <w:t>approbation d</w:t>
      </w:r>
      <w:r w:rsidR="002B38DA">
        <w:rPr>
          <w:i/>
          <w:iCs/>
          <w:lang w:val="fr-FR"/>
        </w:rPr>
        <w:t>’</w:t>
      </w:r>
      <w:r w:rsidR="002B38DA" w:rsidRPr="009C5C5C">
        <w:rPr>
          <w:i/>
          <w:iCs/>
          <w:lang w:val="fr-FR"/>
        </w:rPr>
        <w:t xml:space="preserve">un organe législatif, le consentement de la Partie contractante </w:t>
      </w:r>
      <w:r w:rsidR="002B38DA">
        <w:rPr>
          <w:i/>
          <w:iCs/>
          <w:lang w:val="fr-FR"/>
        </w:rPr>
        <w:t xml:space="preserve">concernée </w:t>
      </w:r>
      <w:r w:rsidR="002B38DA" w:rsidRPr="009C5C5C">
        <w:rPr>
          <w:i/>
          <w:iCs/>
          <w:lang w:val="fr-FR"/>
        </w:rPr>
        <w:t>à la modification de l</w:t>
      </w:r>
      <w:r w:rsidR="002B38DA">
        <w:rPr>
          <w:i/>
          <w:iCs/>
          <w:lang w:val="fr-FR"/>
        </w:rPr>
        <w:t>’</w:t>
      </w:r>
      <w:r w:rsidR="002B38DA" w:rsidRPr="009C5C5C">
        <w:rPr>
          <w:i/>
          <w:iCs/>
          <w:lang w:val="fr-FR"/>
        </w:rPr>
        <w:t>annexe ne sera considéré comme donné qu</w:t>
      </w:r>
      <w:r w:rsidR="002B38DA">
        <w:rPr>
          <w:i/>
          <w:iCs/>
          <w:lang w:val="fr-FR"/>
        </w:rPr>
        <w:t>’</w:t>
      </w:r>
      <w:r w:rsidR="002B38DA" w:rsidRPr="009C5C5C">
        <w:rPr>
          <w:i/>
          <w:iCs/>
          <w:lang w:val="fr-FR"/>
        </w:rPr>
        <w:t xml:space="preserve">au moment où cette Partie contractante aura </w:t>
      </w:r>
      <w:r w:rsidR="002B38DA" w:rsidRPr="009C5C5C">
        <w:rPr>
          <w:i/>
          <w:iCs/>
          <w:lang w:val="fr-FR"/>
        </w:rPr>
        <w:lastRenderedPageBreak/>
        <w:t>déclaré au Secrétaire général que les autorisations ou les approbations requises ont été obtenues.</w:t>
      </w:r>
      <w:r w:rsidR="002B38DA" w:rsidRPr="009C5C5C">
        <w:rPr>
          <w:lang w:val="fr-FR"/>
        </w:rPr>
        <w:t xml:space="preserve"> </w:t>
      </w:r>
      <w:r w:rsidR="002B38DA" w:rsidRPr="009C5C5C">
        <w:rPr>
          <w:i/>
          <w:iCs/>
          <w:lang w:val="fr-FR"/>
        </w:rPr>
        <w:t>L</w:t>
      </w:r>
      <w:r w:rsidR="002B38DA">
        <w:rPr>
          <w:i/>
          <w:iCs/>
          <w:lang w:val="fr-FR"/>
        </w:rPr>
        <w:t>’</w:t>
      </w:r>
      <w:r w:rsidR="002B38DA" w:rsidRPr="009C5C5C">
        <w:rPr>
          <w:i/>
          <w:iCs/>
          <w:lang w:val="fr-FR"/>
        </w:rPr>
        <w:t>accord entre les administrations compétentes pourra prévoir que, pendant une période transitoire, les anciennes annexes resteront en vigueur, en tout ou en partie, simultanément avec les nouvelles annexes.</w:t>
      </w:r>
      <w:r w:rsidR="002B38DA" w:rsidRPr="009C5C5C">
        <w:rPr>
          <w:lang w:val="fr-FR"/>
        </w:rPr>
        <w:t xml:space="preserve"> </w:t>
      </w:r>
      <w:r w:rsidR="002B38DA" w:rsidRPr="009C5C5C">
        <w:rPr>
          <w:i/>
          <w:iCs/>
          <w:lang w:val="fr-FR"/>
        </w:rPr>
        <w:t>Le Secrétaire général fixera la date d</w:t>
      </w:r>
      <w:r w:rsidR="002B38DA">
        <w:rPr>
          <w:i/>
          <w:iCs/>
          <w:lang w:val="fr-FR"/>
        </w:rPr>
        <w:t>’</w:t>
      </w:r>
      <w:r w:rsidR="002B38DA" w:rsidRPr="009C5C5C">
        <w:rPr>
          <w:i/>
          <w:iCs/>
          <w:lang w:val="fr-FR"/>
        </w:rPr>
        <w:t>entrée en vigueur des nouveaux textes résultant de telles modifications.</w:t>
      </w:r>
      <w:r w:rsidR="00545200">
        <w:rPr>
          <w:i/>
          <w:iCs/>
          <w:lang w:val="fr-FR"/>
        </w:rPr>
        <w:t> </w:t>
      </w:r>
      <w:r w:rsidR="00545200" w:rsidRPr="00545200">
        <w:rPr>
          <w:iCs/>
          <w:lang w:val="fr-FR"/>
        </w:rPr>
        <w:t>».</w:t>
      </w:r>
    </w:p>
    <w:p w:rsidR="002B38DA" w:rsidRPr="00EA580E" w:rsidRDefault="002B38DA" w:rsidP="003714EC">
      <w:pPr>
        <w:pStyle w:val="SingleTxtG"/>
        <w:keepNext/>
        <w:rPr>
          <w:u w:val="single"/>
        </w:rPr>
      </w:pPr>
      <w:r w:rsidRPr="00EA580E">
        <w:rPr>
          <w:u w:val="single"/>
          <w:lang w:val="fr-FR"/>
        </w:rPr>
        <w:t>Variante B</w:t>
      </w:r>
    </w:p>
    <w:p w:rsidR="002B38DA" w:rsidRPr="00CB1F18" w:rsidRDefault="002B38DA" w:rsidP="002B38DA">
      <w:pPr>
        <w:pStyle w:val="SingleTxtG"/>
      </w:pPr>
      <w:r>
        <w:rPr>
          <w:lang w:val="fr-FR"/>
        </w:rPr>
        <w:t>P</w:t>
      </w:r>
      <w:r w:rsidRPr="00CB1F18">
        <w:rPr>
          <w:lang w:val="fr-FR"/>
        </w:rPr>
        <w:t>révoir dans l</w:t>
      </w:r>
      <w:r>
        <w:rPr>
          <w:lang w:val="fr-FR"/>
        </w:rPr>
        <w:t>’</w:t>
      </w:r>
      <w:r w:rsidRPr="00CB1F18">
        <w:rPr>
          <w:lang w:val="fr-FR"/>
        </w:rPr>
        <w:t xml:space="preserve">ATP les mêmes restrictions que celles </w:t>
      </w:r>
      <w:r>
        <w:rPr>
          <w:lang w:val="fr-FR"/>
        </w:rPr>
        <w:t xml:space="preserve">qui </w:t>
      </w:r>
      <w:r w:rsidRPr="00CB1F18">
        <w:rPr>
          <w:lang w:val="fr-FR"/>
        </w:rPr>
        <w:t>s</w:t>
      </w:r>
      <w:r>
        <w:rPr>
          <w:lang w:val="fr-FR"/>
        </w:rPr>
        <w:t>’</w:t>
      </w:r>
      <w:r w:rsidRPr="00CB1F18">
        <w:rPr>
          <w:lang w:val="fr-FR"/>
        </w:rPr>
        <w:t>appliqu</w:t>
      </w:r>
      <w:r>
        <w:rPr>
          <w:lang w:val="fr-FR"/>
        </w:rPr>
        <w:t>e</w:t>
      </w:r>
      <w:r w:rsidRPr="00CB1F18">
        <w:rPr>
          <w:lang w:val="fr-FR"/>
        </w:rPr>
        <w:t xml:space="preserve">nt aux autres accords de </w:t>
      </w:r>
      <w:r>
        <w:rPr>
          <w:lang w:val="fr-FR"/>
        </w:rPr>
        <w:t>l’ONU (voir par exemple l’ADR) :</w:t>
      </w:r>
    </w:p>
    <w:p w:rsidR="002B38DA" w:rsidRPr="003714EC" w:rsidRDefault="002B38DA" w:rsidP="007D41B7">
      <w:pPr>
        <w:pStyle w:val="SingleTxtG"/>
        <w:ind w:left="1701"/>
        <w:rPr>
          <w:i/>
        </w:rPr>
      </w:pPr>
      <w:r w:rsidRPr="003714EC">
        <w:t>« </w:t>
      </w:r>
      <w:r w:rsidRPr="003714EC">
        <w:rPr>
          <w:lang w:val="fr-FR"/>
        </w:rPr>
        <w:t>4.</w:t>
      </w:r>
      <w:r w:rsidRPr="003714EC">
        <w:rPr>
          <w:lang w:val="fr-FR"/>
        </w:rPr>
        <w:tab/>
      </w:r>
      <w:r w:rsidRPr="003714EC">
        <w:rPr>
          <w:i/>
          <w:iCs/>
          <w:lang w:val="fr-FR"/>
        </w:rPr>
        <w:t>Dans les conditions prévues aux paragraphes 2 et 3 du présent article, l’amendement sera considéré comme n’ayant pas été accepté et sera sans effet si :</w:t>
      </w:r>
    </w:p>
    <w:p w:rsidR="002B38DA" w:rsidRPr="00CB1F18" w:rsidRDefault="002B38DA" w:rsidP="007D41B7">
      <w:pPr>
        <w:pStyle w:val="SingleTxtG"/>
        <w:ind w:left="1701"/>
        <w:rPr>
          <w:i/>
        </w:rPr>
      </w:pPr>
      <w:r w:rsidRPr="00CB1F18">
        <w:rPr>
          <w:i/>
          <w:iCs/>
          <w:lang w:val="fr-FR"/>
        </w:rPr>
        <w:t>- une objection au projet d</w:t>
      </w:r>
      <w:r>
        <w:rPr>
          <w:i/>
          <w:iCs/>
          <w:lang w:val="fr-FR"/>
        </w:rPr>
        <w:t>’</w:t>
      </w:r>
      <w:r w:rsidRPr="00CB1F18">
        <w:rPr>
          <w:i/>
          <w:iCs/>
          <w:lang w:val="fr-FR"/>
        </w:rPr>
        <w:t xml:space="preserve">amendement </w:t>
      </w:r>
      <w:r w:rsidRPr="00F54A0B">
        <w:rPr>
          <w:b/>
          <w:bCs/>
          <w:i/>
          <w:iCs/>
          <w:u w:val="single"/>
          <w:lang w:val="fr-FR"/>
        </w:rPr>
        <w:t>des articles du présent Accord</w:t>
      </w:r>
      <w:r w:rsidRPr="00CB1F18">
        <w:rPr>
          <w:i/>
          <w:iCs/>
          <w:lang w:val="fr-FR"/>
        </w:rPr>
        <w:t xml:space="preserve"> est formulée</w:t>
      </w:r>
      <w:r>
        <w:rPr>
          <w:i/>
          <w:iCs/>
          <w:lang w:val="fr-FR"/>
        </w:rPr>
        <w:t> </w:t>
      </w:r>
      <w:r>
        <w:rPr>
          <w:lang w:val="fr-FR"/>
        </w:rPr>
        <w:t>;</w:t>
      </w:r>
    </w:p>
    <w:p w:rsidR="002B38DA" w:rsidRPr="00417046" w:rsidRDefault="002B38DA" w:rsidP="007D41B7">
      <w:pPr>
        <w:pStyle w:val="SingleTxtG"/>
        <w:ind w:left="1701"/>
        <w:rPr>
          <w:i/>
        </w:rPr>
      </w:pPr>
      <w:r w:rsidRPr="0018137E">
        <w:rPr>
          <w:i/>
          <w:lang w:val="fr-FR"/>
        </w:rPr>
        <w:t xml:space="preserve">- </w:t>
      </w:r>
      <w:r w:rsidRPr="00F54A0B">
        <w:rPr>
          <w:b/>
          <w:i/>
          <w:u w:val="single"/>
          <w:lang w:val="fr-FR"/>
        </w:rPr>
        <w:t>le tiers au moins des Parties contractantes, ou cinq d’entre elles si le tiers est supérieur à ce chiffre, s’oppose au projet d’amendement des annexes au présent Accord</w:t>
      </w:r>
      <w:r w:rsidRPr="009C5C5C">
        <w:rPr>
          <w:i/>
          <w:lang w:val="fr-FR"/>
        </w:rPr>
        <w:t>.</w:t>
      </w:r>
    </w:p>
    <w:p w:rsidR="002B38DA" w:rsidRPr="00417046" w:rsidRDefault="00AA376A" w:rsidP="007D41B7">
      <w:pPr>
        <w:pStyle w:val="SingleTxtG"/>
        <w:ind w:left="1701"/>
        <w:rPr>
          <w:i/>
        </w:rPr>
      </w:pPr>
      <w:r>
        <w:rPr>
          <w:lang w:val="fr-FR"/>
        </w:rPr>
        <w:t>5.</w:t>
      </w:r>
      <w:r>
        <w:rPr>
          <w:lang w:val="fr-FR"/>
        </w:rPr>
        <w:tab/>
      </w:r>
      <w:r w:rsidR="002B38DA" w:rsidRPr="009C5C5C">
        <w:rPr>
          <w:i/>
          <w:iCs/>
          <w:lang w:val="fr-FR"/>
        </w:rPr>
        <w:t>Dans les conditions prévues aux paragraphes 2 et 3 du présent article, l</w:t>
      </w:r>
      <w:r w:rsidR="002B38DA">
        <w:rPr>
          <w:i/>
          <w:iCs/>
          <w:lang w:val="fr-FR"/>
        </w:rPr>
        <w:t>’</w:t>
      </w:r>
      <w:r w:rsidR="002B38DA" w:rsidRPr="009C5C5C">
        <w:rPr>
          <w:i/>
          <w:iCs/>
          <w:lang w:val="fr-FR"/>
        </w:rPr>
        <w:t>amendement sera réputé accepté si</w:t>
      </w:r>
      <w:r w:rsidR="002B38DA" w:rsidRPr="00417046">
        <w:rPr>
          <w:i/>
          <w:iCs/>
          <w:lang w:val="fr-FR"/>
        </w:rPr>
        <w:t> :</w:t>
      </w:r>
    </w:p>
    <w:p w:rsidR="002B38DA" w:rsidRPr="00CB1F18" w:rsidRDefault="002B38DA" w:rsidP="007D41B7">
      <w:pPr>
        <w:pStyle w:val="SingleTxtG"/>
        <w:ind w:left="1701"/>
        <w:rPr>
          <w:i/>
        </w:rPr>
      </w:pPr>
      <w:r w:rsidRPr="00CB1F18">
        <w:rPr>
          <w:lang w:val="fr-FR"/>
        </w:rPr>
        <w:t xml:space="preserve">- </w:t>
      </w:r>
      <w:r w:rsidRPr="00CB1F18">
        <w:rPr>
          <w:i/>
          <w:iCs/>
          <w:lang w:val="fr-FR"/>
        </w:rPr>
        <w:t>aucune une objection n</w:t>
      </w:r>
      <w:r>
        <w:rPr>
          <w:i/>
          <w:iCs/>
          <w:lang w:val="fr-FR"/>
        </w:rPr>
        <w:t>’</w:t>
      </w:r>
      <w:r w:rsidRPr="00CB1F18">
        <w:rPr>
          <w:i/>
          <w:iCs/>
          <w:lang w:val="fr-FR"/>
        </w:rPr>
        <w:t>a été formulée</w:t>
      </w:r>
      <w:r w:rsidRPr="00CB1F18">
        <w:rPr>
          <w:lang w:val="fr-FR"/>
        </w:rPr>
        <w:t xml:space="preserve"> </w:t>
      </w:r>
      <w:r w:rsidRPr="00CB1F18">
        <w:rPr>
          <w:i/>
          <w:iCs/>
          <w:lang w:val="fr-FR"/>
        </w:rPr>
        <w:t>au projet d</w:t>
      </w:r>
      <w:r>
        <w:rPr>
          <w:i/>
          <w:iCs/>
          <w:lang w:val="fr-FR"/>
        </w:rPr>
        <w:t>’</w:t>
      </w:r>
      <w:r w:rsidRPr="00CB1F18">
        <w:rPr>
          <w:i/>
          <w:iCs/>
          <w:lang w:val="fr-FR"/>
        </w:rPr>
        <w:t xml:space="preserve">amendement </w:t>
      </w:r>
      <w:r w:rsidRPr="00F54A0B">
        <w:rPr>
          <w:b/>
          <w:bCs/>
          <w:i/>
          <w:iCs/>
          <w:u w:val="single"/>
          <w:lang w:val="fr-FR"/>
        </w:rPr>
        <w:t xml:space="preserve">des articles du présent </w:t>
      </w:r>
      <w:r w:rsidRPr="008730C0">
        <w:rPr>
          <w:b/>
          <w:bCs/>
          <w:i/>
          <w:iCs/>
          <w:u w:val="single"/>
          <w:lang w:val="fr-FR"/>
        </w:rPr>
        <w:t>Accord ;</w:t>
      </w:r>
      <w:r w:rsidRPr="00CB1F18">
        <w:rPr>
          <w:i/>
          <w:iCs/>
          <w:lang w:val="fr-FR"/>
        </w:rPr>
        <w:t xml:space="preserve"> </w:t>
      </w:r>
    </w:p>
    <w:p w:rsidR="002B38DA" w:rsidRPr="00CB1F18" w:rsidRDefault="002B38DA" w:rsidP="007D41B7">
      <w:pPr>
        <w:pStyle w:val="SingleTxtG"/>
        <w:ind w:left="1701"/>
        <w:rPr>
          <w:i/>
        </w:rPr>
      </w:pPr>
      <w:r w:rsidRPr="00CB1F18">
        <w:rPr>
          <w:lang w:val="fr-FR"/>
        </w:rPr>
        <w:t xml:space="preserve">- </w:t>
      </w:r>
      <w:r w:rsidRPr="00F54A0B">
        <w:rPr>
          <w:b/>
          <w:bCs/>
          <w:i/>
          <w:iCs/>
          <w:u w:val="single"/>
          <w:lang w:val="fr-FR"/>
        </w:rPr>
        <w:t>moins du tiers des Parties contractantes, ou de cinq d’entre elles si le tiers est supérieur à ce chiffre, s’oppose au projet d’amendement des annexes au présent Accord et la majorité des votes sont en faveur</w:t>
      </w:r>
      <w:r w:rsidR="008730C0">
        <w:rPr>
          <w:b/>
          <w:bCs/>
          <w:i/>
          <w:iCs/>
          <w:u w:val="single"/>
          <w:lang w:val="fr-FR"/>
        </w:rPr>
        <w:t> ;</w:t>
      </w:r>
      <w:r w:rsidRPr="00F54A0B">
        <w:rPr>
          <w:bCs/>
          <w:iCs/>
          <w:lang w:val="fr-FR"/>
        </w:rPr>
        <w:t xml:space="preserve"> </w:t>
      </w:r>
      <w:r w:rsidRPr="00CB1407">
        <w:rPr>
          <w:bCs/>
          <w:i/>
          <w:iCs/>
          <w:lang w:val="fr-FR"/>
        </w:rPr>
        <w:t>[</w:t>
      </w:r>
      <w:r w:rsidRPr="00CB1407">
        <w:rPr>
          <w:i/>
          <w:lang w:val="fr-FR"/>
        </w:rPr>
        <w:t>...]</w:t>
      </w:r>
    </w:p>
    <w:p w:rsidR="002B38DA" w:rsidRPr="00CB1F18" w:rsidRDefault="002B38DA" w:rsidP="007D41B7">
      <w:pPr>
        <w:pStyle w:val="SingleTxtG"/>
        <w:ind w:left="1701"/>
      </w:pPr>
      <w:r w:rsidRPr="00CB1F18">
        <w:rPr>
          <w:i/>
          <w:iCs/>
          <w:lang w:val="fr-FR"/>
        </w:rPr>
        <w:t>à la date suivante</w:t>
      </w:r>
      <w:r>
        <w:rPr>
          <w:i/>
          <w:iCs/>
          <w:lang w:val="fr-FR"/>
        </w:rPr>
        <w:t> :</w:t>
      </w:r>
    </w:p>
    <w:p w:rsidR="002B38DA" w:rsidRPr="00CB1407" w:rsidRDefault="002B38DA" w:rsidP="007D41B7">
      <w:pPr>
        <w:pStyle w:val="SingleTxtG"/>
        <w:ind w:left="1701"/>
        <w:rPr>
          <w:i/>
        </w:rPr>
      </w:pPr>
      <w:r w:rsidRPr="00CB1407">
        <w:rPr>
          <w:i/>
          <w:lang w:val="fr-FR"/>
        </w:rPr>
        <w:t>[...]</w:t>
      </w:r>
    </w:p>
    <w:p w:rsidR="002B38DA" w:rsidRPr="00CB1F18" w:rsidRDefault="00AA376A" w:rsidP="007D41B7">
      <w:pPr>
        <w:pStyle w:val="SingleTxtG"/>
        <w:ind w:left="1701"/>
      </w:pPr>
      <w:r>
        <w:rPr>
          <w:lang w:val="fr-FR"/>
        </w:rPr>
        <w:t>8.</w:t>
      </w:r>
      <w:r w:rsidR="002B38DA" w:rsidRPr="00CB1F18">
        <w:rPr>
          <w:lang w:val="fr-FR"/>
        </w:rPr>
        <w:tab/>
      </w:r>
      <w:r w:rsidR="002B38DA" w:rsidRPr="00CB1F18">
        <w:rPr>
          <w:i/>
          <w:iCs/>
          <w:lang w:val="fr-FR"/>
        </w:rPr>
        <w:t>Indépendamment de la procédure d</w:t>
      </w:r>
      <w:r w:rsidR="002B38DA">
        <w:rPr>
          <w:i/>
          <w:iCs/>
          <w:lang w:val="fr-FR"/>
        </w:rPr>
        <w:t>’</w:t>
      </w:r>
      <w:r w:rsidR="002B38DA" w:rsidRPr="00CB1F18">
        <w:rPr>
          <w:i/>
          <w:iCs/>
          <w:lang w:val="fr-FR"/>
        </w:rPr>
        <w:t>amendement prévue aux paragraphes 1 à 6 du présent article, les annexes et app</w:t>
      </w:r>
      <w:r w:rsidR="002B38DA">
        <w:rPr>
          <w:i/>
          <w:iCs/>
          <w:lang w:val="fr-FR"/>
        </w:rPr>
        <w:t>endices au présent Accord</w:t>
      </w:r>
      <w:r w:rsidR="002B38DA" w:rsidRPr="00CB1F18">
        <w:rPr>
          <w:i/>
          <w:iCs/>
          <w:lang w:val="fr-FR"/>
        </w:rPr>
        <w:t xml:space="preserve"> </w:t>
      </w:r>
      <w:r w:rsidR="002B38DA">
        <w:rPr>
          <w:i/>
          <w:iCs/>
          <w:lang w:val="fr-FR"/>
        </w:rPr>
        <w:t xml:space="preserve">peuvent </w:t>
      </w:r>
      <w:r w:rsidR="002B38DA" w:rsidRPr="00CB1F18">
        <w:rPr>
          <w:i/>
          <w:iCs/>
          <w:lang w:val="fr-FR"/>
        </w:rPr>
        <w:t>être modifié</w:t>
      </w:r>
      <w:r w:rsidR="002B38DA">
        <w:rPr>
          <w:i/>
          <w:iCs/>
          <w:lang w:val="fr-FR"/>
        </w:rPr>
        <w:t>s</w:t>
      </w:r>
      <w:r w:rsidR="002B38DA" w:rsidRPr="00CB1F18">
        <w:rPr>
          <w:i/>
          <w:iCs/>
          <w:lang w:val="fr-FR"/>
        </w:rPr>
        <w:t xml:space="preserve"> </w:t>
      </w:r>
      <w:r w:rsidR="002B38DA">
        <w:rPr>
          <w:i/>
          <w:iCs/>
          <w:lang w:val="fr-FR"/>
        </w:rPr>
        <w:t>d’un commun</w:t>
      </w:r>
      <w:r w:rsidR="002B38DA" w:rsidRPr="00CB1F18">
        <w:rPr>
          <w:i/>
          <w:iCs/>
          <w:lang w:val="fr-FR"/>
        </w:rPr>
        <w:t xml:space="preserve"> accord entre les administrations compétentes de toutes les Parties contractantes</w:t>
      </w:r>
      <w:r w:rsidR="002B38DA" w:rsidRPr="00CB1F18">
        <w:rPr>
          <w:bCs/>
          <w:i/>
          <w:iCs/>
          <w:u w:val="single"/>
          <w:lang w:val="fr-FR"/>
        </w:rPr>
        <w:t xml:space="preserve"> </w:t>
      </w:r>
      <w:r w:rsidR="002B38DA" w:rsidRPr="00AA376A">
        <w:rPr>
          <w:b/>
          <w:bCs/>
          <w:i/>
          <w:iCs/>
          <w:u w:val="single"/>
          <w:lang w:val="fr-FR"/>
        </w:rPr>
        <w:t>ou si moins d’un tiers des Parties contractantes, ou de cinq d’entre elles si le tiers est supérieur à ce chiffre, s’oppose au projet d’amendement</w:t>
      </w:r>
      <w:r w:rsidR="002B38DA" w:rsidRPr="00CB1F18">
        <w:rPr>
          <w:i/>
          <w:iCs/>
          <w:lang w:val="fr-FR"/>
        </w:rPr>
        <w:t>.</w:t>
      </w:r>
      <w:r w:rsidR="002B38DA" w:rsidRPr="00CB1F18">
        <w:rPr>
          <w:lang w:val="fr-FR"/>
        </w:rPr>
        <w:t xml:space="preserve"> </w:t>
      </w:r>
      <w:r w:rsidR="002B38DA" w:rsidRPr="00CB1F18">
        <w:rPr>
          <w:i/>
          <w:iCs/>
          <w:lang w:val="fr-FR"/>
        </w:rPr>
        <w:t>Si l</w:t>
      </w:r>
      <w:r w:rsidR="002B38DA">
        <w:rPr>
          <w:i/>
          <w:iCs/>
          <w:lang w:val="fr-FR"/>
        </w:rPr>
        <w:t>’</w:t>
      </w:r>
      <w:r w:rsidR="002B38DA" w:rsidRPr="00CB1F18">
        <w:rPr>
          <w:i/>
          <w:iCs/>
          <w:lang w:val="fr-FR"/>
        </w:rPr>
        <w:t>administration d</w:t>
      </w:r>
      <w:r w:rsidR="002B38DA">
        <w:rPr>
          <w:i/>
          <w:iCs/>
          <w:lang w:val="fr-FR"/>
        </w:rPr>
        <w:t>’</w:t>
      </w:r>
      <w:r w:rsidR="002B38DA" w:rsidRPr="00CB1F18">
        <w:rPr>
          <w:i/>
          <w:iCs/>
          <w:lang w:val="fr-FR"/>
        </w:rPr>
        <w:t>une Partie contractante a déclaré que son droit national l</w:t>
      </w:r>
      <w:r w:rsidR="002B38DA">
        <w:rPr>
          <w:i/>
          <w:iCs/>
          <w:lang w:val="fr-FR"/>
        </w:rPr>
        <w:t>’</w:t>
      </w:r>
      <w:r w:rsidR="002B38DA" w:rsidRPr="00CB1F18">
        <w:rPr>
          <w:i/>
          <w:iCs/>
          <w:lang w:val="fr-FR"/>
        </w:rPr>
        <w:t>oblige à subordonner son accord à l</w:t>
      </w:r>
      <w:r w:rsidR="002B38DA">
        <w:rPr>
          <w:i/>
          <w:iCs/>
          <w:lang w:val="fr-FR"/>
        </w:rPr>
        <w:t>’</w:t>
      </w:r>
      <w:r w:rsidR="002B38DA" w:rsidRPr="00CB1F18">
        <w:rPr>
          <w:i/>
          <w:iCs/>
          <w:lang w:val="fr-FR"/>
        </w:rPr>
        <w:t>obtention d</w:t>
      </w:r>
      <w:r w:rsidR="002B38DA">
        <w:rPr>
          <w:i/>
          <w:iCs/>
          <w:lang w:val="fr-FR"/>
        </w:rPr>
        <w:t>’</w:t>
      </w:r>
      <w:r w:rsidR="002B38DA" w:rsidRPr="00CB1F18">
        <w:rPr>
          <w:i/>
          <w:iCs/>
          <w:lang w:val="fr-FR"/>
        </w:rPr>
        <w:t>une autorisation spéciale à cet effet ou à l</w:t>
      </w:r>
      <w:r w:rsidR="002B38DA">
        <w:rPr>
          <w:i/>
          <w:iCs/>
          <w:lang w:val="fr-FR"/>
        </w:rPr>
        <w:t>’</w:t>
      </w:r>
      <w:r w:rsidR="002B38DA" w:rsidRPr="00CB1F18">
        <w:rPr>
          <w:i/>
          <w:iCs/>
          <w:lang w:val="fr-FR"/>
        </w:rPr>
        <w:t>approbation d</w:t>
      </w:r>
      <w:r w:rsidR="002B38DA">
        <w:rPr>
          <w:i/>
          <w:iCs/>
          <w:lang w:val="fr-FR"/>
        </w:rPr>
        <w:t>’</w:t>
      </w:r>
      <w:r w:rsidR="002B38DA" w:rsidRPr="00CB1F18">
        <w:rPr>
          <w:i/>
          <w:iCs/>
          <w:lang w:val="fr-FR"/>
        </w:rPr>
        <w:t>un organe législatif, le consentement de la Partie contractante en cause à la modification de l</w:t>
      </w:r>
      <w:r w:rsidR="002B38DA">
        <w:rPr>
          <w:i/>
          <w:iCs/>
          <w:lang w:val="fr-FR"/>
        </w:rPr>
        <w:t>’</w:t>
      </w:r>
      <w:r w:rsidR="002B38DA" w:rsidRPr="00CB1F18">
        <w:rPr>
          <w:i/>
          <w:iCs/>
          <w:lang w:val="fr-FR"/>
        </w:rPr>
        <w:t>annexe ne sera considéré comme donné qu</w:t>
      </w:r>
      <w:r w:rsidR="002B38DA">
        <w:rPr>
          <w:i/>
          <w:iCs/>
          <w:lang w:val="fr-FR"/>
        </w:rPr>
        <w:t>’</w:t>
      </w:r>
      <w:r w:rsidR="002B38DA" w:rsidRPr="00CB1F18">
        <w:rPr>
          <w:i/>
          <w:iCs/>
          <w:lang w:val="fr-FR"/>
        </w:rPr>
        <w:t>au moment où cette Partie contractante aura déclaré au Secrétaire général que les autorisations ou les approbations requises ont été obtenues.</w:t>
      </w:r>
      <w:r w:rsidR="002B38DA" w:rsidRPr="00CB1F18">
        <w:rPr>
          <w:lang w:val="fr-FR"/>
        </w:rPr>
        <w:t xml:space="preserve"> </w:t>
      </w:r>
      <w:r w:rsidR="002B38DA" w:rsidRPr="00CB1F18">
        <w:rPr>
          <w:i/>
          <w:iCs/>
          <w:lang w:val="fr-FR"/>
        </w:rPr>
        <w:t>L</w:t>
      </w:r>
      <w:r w:rsidR="002B38DA">
        <w:rPr>
          <w:i/>
          <w:iCs/>
          <w:lang w:val="fr-FR"/>
        </w:rPr>
        <w:t>’</w:t>
      </w:r>
      <w:r w:rsidR="002B38DA" w:rsidRPr="00CB1F18">
        <w:rPr>
          <w:i/>
          <w:iCs/>
          <w:lang w:val="fr-FR"/>
        </w:rPr>
        <w:t>accord entre les administrations compétentes pourra prévoir que, pendant une période transitoire, les anciennes annexes resteront en vigueur, en tout ou en partie, simultanément avec les nouvelles annexes.</w:t>
      </w:r>
      <w:r w:rsidR="002B38DA" w:rsidRPr="00CB1F18">
        <w:rPr>
          <w:lang w:val="fr-FR"/>
        </w:rPr>
        <w:t xml:space="preserve"> </w:t>
      </w:r>
      <w:r w:rsidR="002B38DA" w:rsidRPr="00CB1F18">
        <w:rPr>
          <w:i/>
          <w:iCs/>
          <w:lang w:val="fr-FR"/>
        </w:rPr>
        <w:t>Le Secrétaire général fixera la date d</w:t>
      </w:r>
      <w:r w:rsidR="002B38DA">
        <w:rPr>
          <w:i/>
          <w:iCs/>
          <w:lang w:val="fr-FR"/>
        </w:rPr>
        <w:t>’</w:t>
      </w:r>
      <w:r w:rsidR="002B38DA" w:rsidRPr="00CB1F18">
        <w:rPr>
          <w:i/>
          <w:iCs/>
          <w:lang w:val="fr-FR"/>
        </w:rPr>
        <w:t>entrée en vigueur des nouveaux textes résultant de telles modifications</w:t>
      </w:r>
      <w:r w:rsidR="007A41B5">
        <w:rPr>
          <w:i/>
          <w:iCs/>
          <w:lang w:val="fr-FR"/>
        </w:rPr>
        <w:t>.</w:t>
      </w:r>
      <w:r w:rsidR="002B38DA">
        <w:rPr>
          <w:i/>
          <w:iCs/>
          <w:lang w:val="fr-FR"/>
        </w:rPr>
        <w:t> </w:t>
      </w:r>
      <w:r w:rsidR="002B38DA" w:rsidRPr="007A41B5">
        <w:rPr>
          <w:iCs/>
          <w:lang w:val="fr-FR"/>
        </w:rPr>
        <w:t>».</w:t>
      </w:r>
    </w:p>
    <w:p w:rsidR="002B38DA" w:rsidRPr="00CB1F18" w:rsidRDefault="002B38DA" w:rsidP="00AA376A">
      <w:pPr>
        <w:pStyle w:val="HChG"/>
        <w:rPr>
          <w:rFonts w:eastAsia="SimSun"/>
        </w:rPr>
      </w:pPr>
      <w:r w:rsidRPr="00CB1F18">
        <w:rPr>
          <w:lang w:val="fr-FR"/>
        </w:rPr>
        <w:tab/>
      </w:r>
      <w:r w:rsidRPr="00CB1F18">
        <w:rPr>
          <w:lang w:val="fr-FR"/>
        </w:rPr>
        <w:tab/>
        <w:t>Justification</w:t>
      </w:r>
    </w:p>
    <w:p w:rsidR="00C1642F" w:rsidRDefault="002B38DA" w:rsidP="00AA376A">
      <w:pPr>
        <w:pStyle w:val="SingleTxtG"/>
        <w:ind w:firstLine="567"/>
      </w:pPr>
      <w:r w:rsidRPr="00CB1F18">
        <w:rPr>
          <w:lang w:val="fr-FR"/>
        </w:rPr>
        <w:t xml:space="preserve">Les propositions pour examen sont nécessaires et utiles </w:t>
      </w:r>
      <w:r>
        <w:rPr>
          <w:lang w:val="fr-FR"/>
        </w:rPr>
        <w:t>pour atteindre l’objectif d’</w:t>
      </w:r>
      <w:r w:rsidRPr="00CB1F18">
        <w:rPr>
          <w:lang w:val="fr-FR"/>
        </w:rPr>
        <w:t>améliorer les méthodes de travail du Groupe de travail en vue d</w:t>
      </w:r>
      <w:r>
        <w:rPr>
          <w:lang w:val="fr-FR"/>
        </w:rPr>
        <w:t>’</w:t>
      </w:r>
      <w:r w:rsidRPr="00CB1F18">
        <w:rPr>
          <w:lang w:val="fr-FR"/>
        </w:rPr>
        <w:t>a</w:t>
      </w:r>
      <w:r>
        <w:rPr>
          <w:lang w:val="fr-FR"/>
        </w:rPr>
        <w:t>dapter</w:t>
      </w:r>
      <w:r w:rsidRPr="00CB1F18">
        <w:rPr>
          <w:lang w:val="fr-FR"/>
        </w:rPr>
        <w:t xml:space="preserve"> l</w:t>
      </w:r>
      <w:r>
        <w:rPr>
          <w:lang w:val="fr-FR"/>
        </w:rPr>
        <w:t>’</w:t>
      </w:r>
      <w:r w:rsidRPr="00CB1F18">
        <w:rPr>
          <w:lang w:val="fr-FR"/>
        </w:rPr>
        <w:t xml:space="preserve">ATP </w:t>
      </w:r>
      <w:r>
        <w:rPr>
          <w:lang w:val="fr-FR"/>
        </w:rPr>
        <w:t>aux</w:t>
      </w:r>
      <w:r w:rsidRPr="00CB1F18">
        <w:rPr>
          <w:lang w:val="fr-FR"/>
        </w:rPr>
        <w:t xml:space="preserve"> évolutions technologiques, politiques et économiques, et </w:t>
      </w:r>
      <w:r>
        <w:rPr>
          <w:lang w:val="fr-FR"/>
        </w:rPr>
        <w:t>de main</w:t>
      </w:r>
      <w:r w:rsidRPr="00CB1F18">
        <w:rPr>
          <w:lang w:val="fr-FR"/>
        </w:rPr>
        <w:t xml:space="preserve">tenir à jour cet instrument, </w:t>
      </w:r>
      <w:r>
        <w:rPr>
          <w:lang w:val="fr-FR"/>
        </w:rPr>
        <w:t>qui garantit la</w:t>
      </w:r>
      <w:r w:rsidRPr="00CB1F18">
        <w:rPr>
          <w:lang w:val="fr-FR"/>
        </w:rPr>
        <w:t xml:space="preserve"> haute qualité des produits et la protection de la santé partout dans le monde.</w:t>
      </w:r>
    </w:p>
    <w:p w:rsidR="00C1642F" w:rsidRPr="00AA376A" w:rsidRDefault="00AA376A" w:rsidP="00AA376A">
      <w:pPr>
        <w:pStyle w:val="SingleTxtG"/>
        <w:spacing w:before="240" w:after="0"/>
        <w:jc w:val="center"/>
        <w:rPr>
          <w:u w:val="single"/>
        </w:rPr>
      </w:pPr>
      <w:r>
        <w:rPr>
          <w:u w:val="single"/>
        </w:rPr>
        <w:tab/>
      </w:r>
      <w:r>
        <w:rPr>
          <w:u w:val="single"/>
        </w:rPr>
        <w:tab/>
      </w:r>
      <w:r>
        <w:rPr>
          <w:u w:val="single"/>
        </w:rPr>
        <w:tab/>
      </w:r>
    </w:p>
    <w:sectPr w:rsidR="00C1642F" w:rsidRPr="00AA376A" w:rsidSect="00C1642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01F" w:rsidRDefault="001E201F" w:rsidP="00F95C08">
      <w:pPr>
        <w:spacing w:line="240" w:lineRule="auto"/>
      </w:pPr>
    </w:p>
  </w:endnote>
  <w:endnote w:type="continuationSeparator" w:id="0">
    <w:p w:rsidR="001E201F" w:rsidRPr="00AC3823" w:rsidRDefault="001E201F" w:rsidP="00AC3823">
      <w:pPr>
        <w:pStyle w:val="Footer"/>
      </w:pPr>
    </w:p>
  </w:endnote>
  <w:endnote w:type="continuationNotice" w:id="1">
    <w:p w:rsidR="001E201F" w:rsidRDefault="001E2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2F" w:rsidRPr="00C1642F" w:rsidRDefault="00C1642F" w:rsidP="00C1642F">
    <w:pPr>
      <w:pStyle w:val="Footer"/>
      <w:tabs>
        <w:tab w:val="right" w:pos="9638"/>
      </w:tabs>
    </w:pPr>
    <w:r w:rsidRPr="00C1642F">
      <w:rPr>
        <w:b/>
        <w:sz w:val="18"/>
      </w:rPr>
      <w:fldChar w:fldCharType="begin"/>
    </w:r>
    <w:r w:rsidRPr="00C1642F">
      <w:rPr>
        <w:b/>
        <w:sz w:val="18"/>
      </w:rPr>
      <w:instrText xml:space="preserve"> PAGE  \* MERGEFORMAT </w:instrText>
    </w:r>
    <w:r w:rsidRPr="00C1642F">
      <w:rPr>
        <w:b/>
        <w:sz w:val="18"/>
      </w:rPr>
      <w:fldChar w:fldCharType="separate"/>
    </w:r>
    <w:r w:rsidR="00F45572">
      <w:rPr>
        <w:b/>
        <w:noProof/>
        <w:sz w:val="18"/>
      </w:rPr>
      <w:t>6</w:t>
    </w:r>
    <w:r w:rsidRPr="00C1642F">
      <w:rPr>
        <w:b/>
        <w:sz w:val="18"/>
      </w:rPr>
      <w:fldChar w:fldCharType="end"/>
    </w:r>
    <w:r>
      <w:rPr>
        <w:b/>
        <w:sz w:val="18"/>
      </w:rPr>
      <w:tab/>
    </w:r>
    <w:r>
      <w:t>GE.18-12322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2F" w:rsidRPr="00C1642F" w:rsidRDefault="00C1642F" w:rsidP="00C1642F">
    <w:pPr>
      <w:pStyle w:val="Footer"/>
      <w:tabs>
        <w:tab w:val="right" w:pos="9638"/>
      </w:tabs>
      <w:rPr>
        <w:b/>
        <w:sz w:val="18"/>
      </w:rPr>
    </w:pPr>
    <w:r>
      <w:t>GE.18-12322</w:t>
    </w:r>
    <w:r>
      <w:tab/>
    </w:r>
    <w:r w:rsidRPr="00C1642F">
      <w:rPr>
        <w:b/>
        <w:sz w:val="18"/>
      </w:rPr>
      <w:fldChar w:fldCharType="begin"/>
    </w:r>
    <w:r w:rsidRPr="00C1642F">
      <w:rPr>
        <w:b/>
        <w:sz w:val="18"/>
      </w:rPr>
      <w:instrText xml:space="preserve"> PAGE  \* MERGEFORMAT </w:instrText>
    </w:r>
    <w:r w:rsidRPr="00C1642F">
      <w:rPr>
        <w:b/>
        <w:sz w:val="18"/>
      </w:rPr>
      <w:fldChar w:fldCharType="separate"/>
    </w:r>
    <w:r w:rsidR="00F45572">
      <w:rPr>
        <w:b/>
        <w:noProof/>
        <w:sz w:val="18"/>
      </w:rPr>
      <w:t>5</w:t>
    </w:r>
    <w:r w:rsidRPr="00C164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1642F" w:rsidRDefault="00C1642F" w:rsidP="00C1642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18-12322  (F)    200818    2</w:t>
    </w:r>
    <w:r w:rsidR="00490B54">
      <w:rPr>
        <w:sz w:val="20"/>
      </w:rPr>
      <w:t>3</w:t>
    </w:r>
    <w:r>
      <w:rPr>
        <w:sz w:val="20"/>
      </w:rPr>
      <w:t>0818</w:t>
    </w:r>
    <w:r>
      <w:rPr>
        <w:sz w:val="20"/>
      </w:rPr>
      <w:br/>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sidRPr="00C1642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01F" w:rsidRPr="00AC3823" w:rsidRDefault="001E201F" w:rsidP="00AC3823">
      <w:pPr>
        <w:pStyle w:val="Footer"/>
        <w:tabs>
          <w:tab w:val="right" w:pos="2155"/>
        </w:tabs>
        <w:spacing w:after="80" w:line="240" w:lineRule="atLeast"/>
        <w:ind w:left="680"/>
        <w:rPr>
          <w:u w:val="single"/>
        </w:rPr>
      </w:pPr>
      <w:r>
        <w:rPr>
          <w:u w:val="single"/>
        </w:rPr>
        <w:tab/>
      </w:r>
    </w:p>
  </w:footnote>
  <w:footnote w:type="continuationSeparator" w:id="0">
    <w:p w:rsidR="001E201F" w:rsidRPr="00AC3823" w:rsidRDefault="001E201F" w:rsidP="00AC3823">
      <w:pPr>
        <w:pStyle w:val="Footer"/>
        <w:tabs>
          <w:tab w:val="right" w:pos="2155"/>
        </w:tabs>
        <w:spacing w:after="80" w:line="240" w:lineRule="atLeast"/>
        <w:ind w:left="680"/>
        <w:rPr>
          <w:u w:val="single"/>
        </w:rPr>
      </w:pPr>
      <w:r>
        <w:rPr>
          <w:u w:val="single"/>
        </w:rPr>
        <w:tab/>
      </w:r>
    </w:p>
  </w:footnote>
  <w:footnote w:type="continuationNotice" w:id="1">
    <w:p w:rsidR="001E201F" w:rsidRPr="00AC3823" w:rsidRDefault="001E201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2F" w:rsidRPr="00C1642F" w:rsidRDefault="00F45572">
    <w:pPr>
      <w:pStyle w:val="Header"/>
    </w:pPr>
    <w:fldSimple w:instr=" TITLE  \* MERGEFORMAT ">
      <w:r>
        <w:t>ECE/TRANS/WP.11/2018/17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2F" w:rsidRPr="00C1642F" w:rsidRDefault="00F45572" w:rsidP="00C1642F">
    <w:pPr>
      <w:pStyle w:val="Header"/>
      <w:jc w:val="right"/>
    </w:pPr>
    <w:fldSimple w:instr=" TITLE  \* MERGEFORMAT ">
      <w:r>
        <w:t>ECE/TRANS/WP.11/2018/17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01F"/>
    <w:rsid w:val="00017F94"/>
    <w:rsid w:val="00023842"/>
    <w:rsid w:val="000334F9"/>
    <w:rsid w:val="00043A74"/>
    <w:rsid w:val="00045FEB"/>
    <w:rsid w:val="0007796D"/>
    <w:rsid w:val="000B7790"/>
    <w:rsid w:val="00111F2F"/>
    <w:rsid w:val="0014365E"/>
    <w:rsid w:val="00143C66"/>
    <w:rsid w:val="00174354"/>
    <w:rsid w:val="00176178"/>
    <w:rsid w:val="001E201F"/>
    <w:rsid w:val="001F525A"/>
    <w:rsid w:val="00210983"/>
    <w:rsid w:val="00223272"/>
    <w:rsid w:val="0024779E"/>
    <w:rsid w:val="00257168"/>
    <w:rsid w:val="002744B8"/>
    <w:rsid w:val="002832AC"/>
    <w:rsid w:val="002B38DA"/>
    <w:rsid w:val="002D7C93"/>
    <w:rsid w:val="00305801"/>
    <w:rsid w:val="00315216"/>
    <w:rsid w:val="003714EC"/>
    <w:rsid w:val="00372811"/>
    <w:rsid w:val="00387DCA"/>
    <w:rsid w:val="003916DE"/>
    <w:rsid w:val="003A1B72"/>
    <w:rsid w:val="00421996"/>
    <w:rsid w:val="00441C3B"/>
    <w:rsid w:val="00446FE5"/>
    <w:rsid w:val="00452396"/>
    <w:rsid w:val="004837D8"/>
    <w:rsid w:val="00490B54"/>
    <w:rsid w:val="004E2EED"/>
    <w:rsid w:val="004E468C"/>
    <w:rsid w:val="00545200"/>
    <w:rsid w:val="0055052D"/>
    <w:rsid w:val="005505B7"/>
    <w:rsid w:val="00573BE5"/>
    <w:rsid w:val="00586ED3"/>
    <w:rsid w:val="00596AA9"/>
    <w:rsid w:val="00692345"/>
    <w:rsid w:val="0071601D"/>
    <w:rsid w:val="007671AD"/>
    <w:rsid w:val="007863A2"/>
    <w:rsid w:val="007A41B5"/>
    <w:rsid w:val="007A62E6"/>
    <w:rsid w:val="007D41B7"/>
    <w:rsid w:val="007F20FA"/>
    <w:rsid w:val="0080684C"/>
    <w:rsid w:val="00871C75"/>
    <w:rsid w:val="008730C0"/>
    <w:rsid w:val="008776DC"/>
    <w:rsid w:val="008A1DA1"/>
    <w:rsid w:val="009446C0"/>
    <w:rsid w:val="009705C8"/>
    <w:rsid w:val="009C1CF4"/>
    <w:rsid w:val="009F6B74"/>
    <w:rsid w:val="00A3029F"/>
    <w:rsid w:val="00A30353"/>
    <w:rsid w:val="00A4679E"/>
    <w:rsid w:val="00A7402B"/>
    <w:rsid w:val="00AA376A"/>
    <w:rsid w:val="00AC3823"/>
    <w:rsid w:val="00AC44B2"/>
    <w:rsid w:val="00AE323C"/>
    <w:rsid w:val="00AF0CB5"/>
    <w:rsid w:val="00AF13E4"/>
    <w:rsid w:val="00B00181"/>
    <w:rsid w:val="00B00B0D"/>
    <w:rsid w:val="00B45F2E"/>
    <w:rsid w:val="00B765F7"/>
    <w:rsid w:val="00BA0CA9"/>
    <w:rsid w:val="00BE5292"/>
    <w:rsid w:val="00BE5B4F"/>
    <w:rsid w:val="00C02897"/>
    <w:rsid w:val="00C1642F"/>
    <w:rsid w:val="00C27CFF"/>
    <w:rsid w:val="00C63D48"/>
    <w:rsid w:val="00C97039"/>
    <w:rsid w:val="00CB1407"/>
    <w:rsid w:val="00D3439C"/>
    <w:rsid w:val="00D76834"/>
    <w:rsid w:val="00DA069D"/>
    <w:rsid w:val="00DB1831"/>
    <w:rsid w:val="00DD3BFD"/>
    <w:rsid w:val="00DD7233"/>
    <w:rsid w:val="00DF6678"/>
    <w:rsid w:val="00E0299A"/>
    <w:rsid w:val="00E05EC6"/>
    <w:rsid w:val="00E30F4C"/>
    <w:rsid w:val="00E84CC9"/>
    <w:rsid w:val="00E8564C"/>
    <w:rsid w:val="00E85C74"/>
    <w:rsid w:val="00EA6547"/>
    <w:rsid w:val="00EF2E22"/>
    <w:rsid w:val="00F04AD8"/>
    <w:rsid w:val="00F35BAF"/>
    <w:rsid w:val="00F45572"/>
    <w:rsid w:val="00F54A0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779E6F-D812-4FCF-BB73-B17188B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1642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0695-1F27-4A6C-8C87-47114DF2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15510</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ECE/TRANS/WP.11/2018/17</vt:lpstr>
      <vt:lpstr>ECE/TRANS/WP.11/2018/17</vt:lpstr>
    </vt:vector>
  </TitlesOfParts>
  <Company>DCM</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ECE/TRANS/WP.11/2018/17</dc:title>
  <dc:subject/>
  <dc:creator>Christine DEVOUASSOUX</dc:creator>
  <cp:keywords/>
  <cp:lastModifiedBy>Secretariat</cp:lastModifiedBy>
  <cp:revision>2</cp:revision>
  <cp:lastPrinted>2018-08-23T07:47:00Z</cp:lastPrinted>
  <dcterms:created xsi:type="dcterms:W3CDTF">2018-08-28T08:46:00Z</dcterms:created>
  <dcterms:modified xsi:type="dcterms:W3CDTF">2018-08-28T08:46:00Z</dcterms:modified>
</cp:coreProperties>
</file>