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121065">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121065" w:rsidP="00121065">
            <w:pPr>
              <w:jc w:val="right"/>
            </w:pPr>
            <w:r w:rsidRPr="00121065">
              <w:rPr>
                <w:sz w:val="40"/>
              </w:rPr>
              <w:t>ECE</w:t>
            </w:r>
            <w:r>
              <w:t>/TRANS/WP.11/2017/12</w:t>
            </w:r>
          </w:p>
        </w:tc>
      </w:tr>
      <w:tr w:rsidR="002D5AAC" w:rsidRPr="006A75CF"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GB" w:eastAsia="en-GB"/>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121065" w:rsidP="00387CD4">
            <w:pPr>
              <w:spacing w:before="240"/>
              <w:rPr>
                <w:lang w:val="en-US"/>
              </w:rPr>
            </w:pPr>
            <w:r>
              <w:rPr>
                <w:lang w:val="en-US"/>
              </w:rPr>
              <w:t>Distr.: General</w:t>
            </w:r>
          </w:p>
          <w:p w:rsidR="00121065" w:rsidRDefault="00121065" w:rsidP="00121065">
            <w:pPr>
              <w:spacing w:line="240" w:lineRule="exact"/>
              <w:rPr>
                <w:lang w:val="en-US"/>
              </w:rPr>
            </w:pPr>
            <w:r>
              <w:rPr>
                <w:lang w:val="en-US"/>
              </w:rPr>
              <w:t>25 July 2017</w:t>
            </w:r>
          </w:p>
          <w:p w:rsidR="00121065" w:rsidRDefault="00121065" w:rsidP="00121065">
            <w:pPr>
              <w:spacing w:line="240" w:lineRule="exact"/>
              <w:rPr>
                <w:lang w:val="en-US"/>
              </w:rPr>
            </w:pPr>
            <w:r>
              <w:rPr>
                <w:lang w:val="en-US"/>
              </w:rPr>
              <w:t>Russian</w:t>
            </w:r>
          </w:p>
          <w:p w:rsidR="00121065" w:rsidRPr="008D53B6" w:rsidRDefault="00121065" w:rsidP="00121065">
            <w:pPr>
              <w:spacing w:line="240" w:lineRule="exact"/>
              <w:rPr>
                <w:lang w:val="en-US"/>
              </w:rPr>
            </w:pPr>
            <w:r>
              <w:rPr>
                <w:lang w:val="en-US"/>
              </w:rPr>
              <w:t>Original: English</w:t>
            </w:r>
          </w:p>
        </w:tc>
      </w:tr>
    </w:tbl>
    <w:p w:rsidR="008A37C8" w:rsidRDefault="008A37C8" w:rsidP="00796F4D">
      <w:pPr>
        <w:spacing w:before="120"/>
        <w:rPr>
          <w:b/>
          <w:sz w:val="28"/>
          <w:szCs w:val="28"/>
        </w:rPr>
      </w:pPr>
      <w:r w:rsidRPr="00245892">
        <w:rPr>
          <w:b/>
          <w:sz w:val="28"/>
          <w:szCs w:val="28"/>
        </w:rPr>
        <w:t>Европейская экономическая комиссия</w:t>
      </w:r>
    </w:p>
    <w:p w:rsidR="00796F4D" w:rsidRPr="00796F4D" w:rsidRDefault="00796F4D" w:rsidP="00796F4D">
      <w:pPr>
        <w:pStyle w:val="SingleTxtGR"/>
        <w:spacing w:before="120"/>
        <w:ind w:left="0"/>
        <w:jc w:val="left"/>
        <w:rPr>
          <w:sz w:val="28"/>
          <w:szCs w:val="28"/>
        </w:rPr>
      </w:pPr>
      <w:r w:rsidRPr="00796F4D">
        <w:rPr>
          <w:sz w:val="28"/>
          <w:szCs w:val="28"/>
        </w:rPr>
        <w:t>Комитет по внутреннему транспорту</w:t>
      </w:r>
    </w:p>
    <w:p w:rsidR="00796F4D" w:rsidRPr="00FB59AC" w:rsidRDefault="00796F4D" w:rsidP="00796F4D">
      <w:pPr>
        <w:pStyle w:val="SingleTxtGR"/>
        <w:spacing w:before="120"/>
        <w:ind w:left="0"/>
        <w:jc w:val="left"/>
        <w:rPr>
          <w:b/>
          <w:sz w:val="24"/>
          <w:szCs w:val="24"/>
        </w:rPr>
      </w:pPr>
      <w:r w:rsidRPr="00FB59AC">
        <w:rPr>
          <w:b/>
          <w:sz w:val="24"/>
          <w:szCs w:val="24"/>
        </w:rPr>
        <w:t xml:space="preserve">Рабочая группа по перевозкам </w:t>
      </w:r>
      <w:r w:rsidRPr="00FB59AC">
        <w:rPr>
          <w:b/>
          <w:sz w:val="24"/>
          <w:szCs w:val="24"/>
        </w:rPr>
        <w:br/>
        <w:t>скоропортящихся пищевых продуктов</w:t>
      </w:r>
    </w:p>
    <w:p w:rsidR="00796F4D" w:rsidRPr="00796F4D" w:rsidRDefault="00796F4D" w:rsidP="00796F4D">
      <w:pPr>
        <w:pStyle w:val="SingleTxtGR"/>
        <w:spacing w:after="0"/>
        <w:ind w:left="0"/>
        <w:jc w:val="left"/>
        <w:rPr>
          <w:b/>
        </w:rPr>
      </w:pPr>
      <w:r w:rsidRPr="00796F4D">
        <w:rPr>
          <w:b/>
        </w:rPr>
        <w:t>Семьдесят третья сессия</w:t>
      </w:r>
    </w:p>
    <w:p w:rsidR="00796F4D" w:rsidRPr="00796F4D" w:rsidRDefault="00796F4D" w:rsidP="00796F4D">
      <w:pPr>
        <w:pStyle w:val="SingleTxtGR"/>
        <w:spacing w:after="0"/>
        <w:ind w:left="0"/>
        <w:jc w:val="left"/>
      </w:pPr>
      <w:r w:rsidRPr="00796F4D">
        <w:t>Женева, 10–13 октября 2017 года</w:t>
      </w:r>
    </w:p>
    <w:p w:rsidR="00796F4D" w:rsidRPr="00796F4D" w:rsidRDefault="00796F4D" w:rsidP="00796F4D">
      <w:pPr>
        <w:pStyle w:val="SingleTxtGR"/>
        <w:spacing w:after="0"/>
        <w:ind w:left="0"/>
        <w:jc w:val="left"/>
      </w:pPr>
      <w:r w:rsidRPr="00796F4D">
        <w:t>Пункт 4 е) предварительной повестки дня</w:t>
      </w:r>
    </w:p>
    <w:p w:rsidR="00796F4D" w:rsidRPr="00796F4D" w:rsidRDefault="00796F4D" w:rsidP="00796F4D">
      <w:pPr>
        <w:pStyle w:val="SingleTxtGR"/>
        <w:spacing w:after="0"/>
        <w:ind w:left="0"/>
        <w:jc w:val="left"/>
        <w:rPr>
          <w:b/>
        </w:rPr>
      </w:pPr>
      <w:r w:rsidRPr="00796F4D">
        <w:rPr>
          <w:b/>
        </w:rPr>
        <w:t xml:space="preserve">Статус и осуществление Соглашения о международных </w:t>
      </w:r>
      <w:r w:rsidRPr="00796F4D">
        <w:rPr>
          <w:b/>
        </w:rPr>
        <w:br/>
        <w:t xml:space="preserve">перевозках скоропортящихся пищевых продуктов </w:t>
      </w:r>
      <w:r w:rsidRPr="00796F4D">
        <w:rPr>
          <w:b/>
        </w:rPr>
        <w:br/>
        <w:t xml:space="preserve">и о специальных транспортных средствах, </w:t>
      </w:r>
      <w:r w:rsidRPr="00796F4D">
        <w:rPr>
          <w:b/>
        </w:rPr>
        <w:br/>
        <w:t xml:space="preserve">предназначенных для этих перевозок (СПС): </w:t>
      </w:r>
      <w:r w:rsidRPr="00796F4D">
        <w:rPr>
          <w:b/>
        </w:rPr>
        <w:br/>
        <w:t xml:space="preserve">обмен передовой практикой для более </w:t>
      </w:r>
      <w:r w:rsidRPr="00796F4D">
        <w:rPr>
          <w:b/>
        </w:rPr>
        <w:br/>
        <w:t>эффективного осуществления СПС</w:t>
      </w:r>
    </w:p>
    <w:p w:rsidR="00796F4D" w:rsidRPr="00796F4D" w:rsidRDefault="00796F4D" w:rsidP="00796F4D">
      <w:pPr>
        <w:pStyle w:val="HChGR"/>
      </w:pPr>
      <w:r w:rsidRPr="00796F4D">
        <w:tab/>
      </w:r>
      <w:r w:rsidRPr="00796F4D">
        <w:tab/>
      </w:r>
      <w:r w:rsidR="006A75CF" w:rsidRPr="00796F4D">
        <w:t>Письмо о намерении</w:t>
      </w:r>
      <w:r w:rsidR="006A75CF">
        <w:t xml:space="preserve"> (</w:t>
      </w:r>
      <w:r>
        <w:t>«</w:t>
      </w:r>
      <w:r w:rsidRPr="00796F4D">
        <w:t>Lettre de convocation</w:t>
      </w:r>
      <w:r>
        <w:t>»</w:t>
      </w:r>
      <w:r w:rsidR="006A75CF">
        <w:t>)</w:t>
      </w:r>
    </w:p>
    <w:p w:rsidR="00796F4D" w:rsidRPr="00796F4D" w:rsidRDefault="00796F4D" w:rsidP="00796F4D">
      <w:pPr>
        <w:pStyle w:val="H1GR"/>
      </w:pPr>
      <w:r w:rsidRPr="00796F4D">
        <w:tab/>
      </w:r>
      <w:r w:rsidRPr="00796F4D">
        <w:tab/>
        <w:t xml:space="preserve">Передано федерацией </w:t>
      </w:r>
      <w:r w:rsidR="009A223F">
        <w:t>«</w:t>
      </w:r>
      <w:r w:rsidRPr="00796F4D">
        <w:t>Трансфригорут интернэшнл</w:t>
      </w:r>
      <w:r w:rsidR="009A223F">
        <w:t>»</w:t>
      </w:r>
      <w:r w:rsidRPr="00796F4D">
        <w:t xml:space="preserve"> (ТИ)</w:t>
      </w:r>
    </w:p>
    <w:p w:rsidR="00796F4D" w:rsidRPr="00796F4D" w:rsidRDefault="00796F4D" w:rsidP="00796F4D">
      <w:pPr>
        <w:pStyle w:val="HChGR"/>
      </w:pPr>
      <w:r>
        <w:tab/>
      </w:r>
      <w:r w:rsidRPr="00796F4D">
        <w:t>I.</w:t>
      </w:r>
      <w:r w:rsidRPr="00796F4D">
        <w:tab/>
        <w:t>Контекст</w:t>
      </w:r>
    </w:p>
    <w:p w:rsidR="00796F4D" w:rsidRPr="00796F4D" w:rsidRDefault="00796F4D" w:rsidP="00796F4D">
      <w:pPr>
        <w:pStyle w:val="SingleTxtGR"/>
      </w:pPr>
      <w:r w:rsidRPr="00796F4D">
        <w:t>1.</w:t>
      </w:r>
      <w:r w:rsidRPr="00796F4D">
        <w:tab/>
        <w:t xml:space="preserve">Если изготовитель изотермических кузовов или холодильного оборудования желает представить новый вид продукции или ее прототип на рынке, при этом ему требуется свидетельство об официальном утверждении типа СПС, то могут возникнуть две ситуации. Одобренная испытательная станция СПС может не располагать помещениями для проведения испытаний на официальное утверждение типа или, в случае прототипа оборудования, может не хватать времени для проведения испытания до поступления этого вида продукции на рынок. </w:t>
      </w:r>
    </w:p>
    <w:p w:rsidR="00796F4D" w:rsidRPr="00796F4D" w:rsidRDefault="00796F4D" w:rsidP="00796F4D">
      <w:pPr>
        <w:pStyle w:val="SingleTxtGR"/>
      </w:pPr>
      <w:r w:rsidRPr="00796F4D">
        <w:t>2.</w:t>
      </w:r>
      <w:r w:rsidRPr="00796F4D">
        <w:tab/>
        <w:t xml:space="preserve">Для выхода из обеих этих ситуаций изготовители могут направить </w:t>
      </w:r>
      <w:r w:rsidR="00C54BEF" w:rsidRPr="00796F4D">
        <w:t>письмо о намерении</w:t>
      </w:r>
      <w:r w:rsidR="00C54BEF">
        <w:t xml:space="preserve"> (</w:t>
      </w:r>
      <w:r w:rsidR="009C36B4">
        <w:t>«</w:t>
      </w:r>
      <w:r w:rsidRPr="00796F4D">
        <w:t>lettre</w:t>
      </w:r>
      <w:r w:rsidR="00F732D8">
        <w:t> </w:t>
      </w:r>
      <w:r w:rsidRPr="00796F4D">
        <w:t>de convocation</w:t>
      </w:r>
      <w:r w:rsidR="009C36B4">
        <w:t>»</w:t>
      </w:r>
      <w:r w:rsidR="00C54BEF">
        <w:t>)</w:t>
      </w:r>
      <w:r w:rsidRPr="00796F4D">
        <w:t>, в котором изготовитель обязуется пройти испытание в установленный первоначальный период в шесть месяцев на назначенной официальной испытательной станции СПС. Этот срок может быть продлен еще на шесть месяцев в тех случаях, когда того требуют обстоятельства, и по взаимному согласию соответствующего компетентного органа и изготовителя. Многие компетентные органы принимают такой порядок и выдают временное разрешение на эксплуатацию транспортных средств, однако другие, к сожалению, этого не делают. ТИ обращается с просьбой исправить эту ситуацию, с тем чтобы практика признания такого письм</w:t>
      </w:r>
      <w:r w:rsidR="00460B1C">
        <w:t>а</w:t>
      </w:r>
      <w:r w:rsidRPr="00796F4D">
        <w:t xml:space="preserve"> о намерении была принята всеми компетентными органами и всеми договаривающимися сторонами.</w:t>
      </w:r>
    </w:p>
    <w:p w:rsidR="00796F4D" w:rsidRPr="00796F4D" w:rsidRDefault="00796F4D" w:rsidP="00796F4D">
      <w:pPr>
        <w:pStyle w:val="HChGR"/>
      </w:pPr>
      <w:r>
        <w:lastRenderedPageBreak/>
        <w:tab/>
      </w:r>
      <w:r w:rsidRPr="00796F4D">
        <w:t>II.</w:t>
      </w:r>
      <w:r w:rsidRPr="00796F4D">
        <w:tab/>
        <w:t>Современное положение дел</w:t>
      </w:r>
    </w:p>
    <w:p w:rsidR="00796F4D" w:rsidRPr="00796F4D" w:rsidRDefault="00796F4D" w:rsidP="00796F4D">
      <w:pPr>
        <w:pStyle w:val="SingleTxtGR"/>
      </w:pPr>
      <w:r w:rsidRPr="00796F4D">
        <w:t>3.</w:t>
      </w:r>
      <w:r w:rsidRPr="00796F4D">
        <w:tab/>
        <w:t>В действиях всех договаривающихся сторон отсутствует единообразие.</w:t>
      </w:r>
    </w:p>
    <w:p w:rsidR="00796F4D" w:rsidRPr="00796F4D" w:rsidRDefault="00796F4D" w:rsidP="00796F4D">
      <w:pPr>
        <w:pStyle w:val="HChGR"/>
      </w:pPr>
      <w:r>
        <w:tab/>
      </w:r>
      <w:r w:rsidRPr="00796F4D">
        <w:t>III.</w:t>
      </w:r>
      <w:r w:rsidRPr="00796F4D">
        <w:tab/>
        <w:t>Технические последствия предлагаемой меры</w:t>
      </w:r>
    </w:p>
    <w:p w:rsidR="00796F4D" w:rsidRPr="00796F4D" w:rsidRDefault="00796F4D" w:rsidP="00796F4D">
      <w:pPr>
        <w:pStyle w:val="SingleTxtGR"/>
      </w:pPr>
      <w:r w:rsidRPr="00796F4D">
        <w:t>4.</w:t>
      </w:r>
      <w:r w:rsidRPr="00796F4D">
        <w:tab/>
        <w:t>Отсутствуют.</w:t>
      </w:r>
    </w:p>
    <w:p w:rsidR="00796F4D" w:rsidRPr="00796F4D" w:rsidRDefault="00796F4D" w:rsidP="00796F4D">
      <w:pPr>
        <w:pStyle w:val="HChGR"/>
      </w:pPr>
      <w:r>
        <w:tab/>
      </w:r>
      <w:r w:rsidRPr="00796F4D">
        <w:t>IV.</w:t>
      </w:r>
      <w:r w:rsidRPr="00796F4D">
        <w:tab/>
        <w:t>Экономические последствия предлагаемой меры</w:t>
      </w:r>
    </w:p>
    <w:p w:rsidR="00796F4D" w:rsidRPr="00796F4D" w:rsidRDefault="00796F4D" w:rsidP="00796F4D">
      <w:pPr>
        <w:pStyle w:val="SingleTxtGR"/>
      </w:pPr>
      <w:r w:rsidRPr="00796F4D">
        <w:t>5.</w:t>
      </w:r>
      <w:r w:rsidRPr="00796F4D">
        <w:tab/>
        <w:t>Отсутствуют.</w:t>
      </w:r>
    </w:p>
    <w:p w:rsidR="00796F4D" w:rsidRPr="00796F4D" w:rsidRDefault="00796F4D" w:rsidP="00796F4D">
      <w:pPr>
        <w:pStyle w:val="HChGR"/>
      </w:pPr>
      <w:r>
        <w:tab/>
      </w:r>
      <w:r w:rsidRPr="00796F4D">
        <w:t>V.</w:t>
      </w:r>
      <w:r w:rsidRPr="00796F4D">
        <w:tab/>
        <w:t>Последствия предлагаемой меры для окружающей среды</w:t>
      </w:r>
    </w:p>
    <w:p w:rsidR="00796F4D" w:rsidRPr="00796F4D" w:rsidRDefault="00796F4D" w:rsidP="00796F4D">
      <w:pPr>
        <w:pStyle w:val="SingleTxtGR"/>
      </w:pPr>
      <w:r w:rsidRPr="00796F4D">
        <w:t>6.</w:t>
      </w:r>
      <w:r w:rsidRPr="00796F4D">
        <w:tab/>
        <w:t>Отсутствуют.</w:t>
      </w:r>
    </w:p>
    <w:p w:rsidR="00796F4D" w:rsidRPr="00796F4D" w:rsidRDefault="00796F4D" w:rsidP="00796F4D">
      <w:pPr>
        <w:pStyle w:val="HChGR"/>
      </w:pPr>
      <w:r>
        <w:tab/>
      </w:r>
      <w:r w:rsidRPr="00796F4D">
        <w:t>VI.</w:t>
      </w:r>
      <w:r w:rsidRPr="00796F4D">
        <w:tab/>
        <w:t>Вывод</w:t>
      </w:r>
    </w:p>
    <w:p w:rsidR="00796F4D" w:rsidRPr="00796F4D" w:rsidRDefault="00796F4D" w:rsidP="00796F4D">
      <w:pPr>
        <w:pStyle w:val="SingleTxtGR"/>
      </w:pPr>
      <w:r w:rsidRPr="00796F4D">
        <w:t>7.</w:t>
      </w:r>
      <w:r w:rsidRPr="00796F4D">
        <w:tab/>
        <w:t>ТИ настоятельно призывает принять это предложение.</w:t>
      </w:r>
    </w:p>
    <w:p w:rsidR="00E12C5F" w:rsidRDefault="00796F4D" w:rsidP="00796F4D">
      <w:pPr>
        <w:pStyle w:val="HChGR"/>
      </w:pPr>
      <w:r>
        <w:tab/>
      </w:r>
      <w:r w:rsidRPr="00796F4D">
        <w:t>VII.</w:t>
      </w:r>
      <w:r w:rsidRPr="00796F4D">
        <w:tab/>
        <w:t xml:space="preserve">Предложение по поправкам к СПС </w:t>
      </w:r>
      <w:r>
        <w:br/>
      </w:r>
      <w:r w:rsidRPr="00796F4D">
        <w:t>(если это применимо)</w:t>
      </w:r>
    </w:p>
    <w:p w:rsidR="00796F4D" w:rsidRPr="008D53B6" w:rsidRDefault="00796F4D" w:rsidP="00796F4D">
      <w:pPr>
        <w:pStyle w:val="SingleTxtGR"/>
        <w:spacing w:before="240" w:after="0"/>
        <w:jc w:val="center"/>
      </w:pPr>
      <w:r>
        <w:rPr>
          <w:u w:val="single"/>
          <w:lang w:eastAsia="ru-RU"/>
        </w:rPr>
        <w:tab/>
      </w:r>
      <w:r>
        <w:rPr>
          <w:u w:val="single"/>
          <w:lang w:eastAsia="ru-RU"/>
        </w:rPr>
        <w:tab/>
      </w:r>
      <w:r>
        <w:rPr>
          <w:u w:val="single"/>
          <w:lang w:eastAsia="ru-RU"/>
        </w:rPr>
        <w:tab/>
      </w:r>
    </w:p>
    <w:sectPr w:rsidR="00796F4D" w:rsidRPr="008D53B6" w:rsidSect="0012106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D82" w:rsidRPr="00A312BC" w:rsidRDefault="001F7D82" w:rsidP="00A312BC"/>
  </w:endnote>
  <w:endnote w:type="continuationSeparator" w:id="0">
    <w:p w:rsidR="001F7D82" w:rsidRPr="00A312BC" w:rsidRDefault="001F7D8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065" w:rsidRPr="00121065" w:rsidRDefault="00121065">
    <w:pPr>
      <w:pStyle w:val="Footer"/>
    </w:pPr>
    <w:r w:rsidRPr="00121065">
      <w:rPr>
        <w:b/>
        <w:sz w:val="18"/>
      </w:rPr>
      <w:fldChar w:fldCharType="begin"/>
    </w:r>
    <w:r w:rsidRPr="00121065">
      <w:rPr>
        <w:b/>
        <w:sz w:val="18"/>
      </w:rPr>
      <w:instrText xml:space="preserve"> PAGE  \* MERGEFORMAT </w:instrText>
    </w:r>
    <w:r w:rsidRPr="00121065">
      <w:rPr>
        <w:b/>
        <w:sz w:val="18"/>
      </w:rPr>
      <w:fldChar w:fldCharType="separate"/>
    </w:r>
    <w:r w:rsidR="00680184">
      <w:rPr>
        <w:b/>
        <w:noProof/>
        <w:sz w:val="18"/>
      </w:rPr>
      <w:t>2</w:t>
    </w:r>
    <w:r w:rsidRPr="00121065">
      <w:rPr>
        <w:b/>
        <w:sz w:val="18"/>
      </w:rPr>
      <w:fldChar w:fldCharType="end"/>
    </w:r>
    <w:r>
      <w:rPr>
        <w:b/>
        <w:sz w:val="18"/>
      </w:rPr>
      <w:tab/>
    </w:r>
    <w:r>
      <w:t>GE.17-12432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065" w:rsidRPr="00121065" w:rsidRDefault="00121065" w:rsidP="00121065">
    <w:pPr>
      <w:pStyle w:val="Footer"/>
      <w:tabs>
        <w:tab w:val="clear" w:pos="9639"/>
        <w:tab w:val="right" w:pos="9638"/>
      </w:tabs>
      <w:rPr>
        <w:b/>
        <w:sz w:val="18"/>
      </w:rPr>
    </w:pPr>
    <w:r>
      <w:t>GE.17-12432</w:t>
    </w:r>
    <w:r>
      <w:tab/>
    </w:r>
    <w:r w:rsidRPr="00121065">
      <w:rPr>
        <w:b/>
        <w:sz w:val="18"/>
      </w:rPr>
      <w:fldChar w:fldCharType="begin"/>
    </w:r>
    <w:r w:rsidRPr="00121065">
      <w:rPr>
        <w:b/>
        <w:sz w:val="18"/>
      </w:rPr>
      <w:instrText xml:space="preserve"> PAGE  \* MERGEFORMAT </w:instrText>
    </w:r>
    <w:r w:rsidRPr="00121065">
      <w:rPr>
        <w:b/>
        <w:sz w:val="18"/>
      </w:rPr>
      <w:fldChar w:fldCharType="separate"/>
    </w:r>
    <w:r>
      <w:rPr>
        <w:b/>
        <w:noProof/>
        <w:sz w:val="18"/>
      </w:rPr>
      <w:t>3</w:t>
    </w:r>
    <w:r w:rsidRPr="0012106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121065" w:rsidRDefault="00121065" w:rsidP="00121065">
    <w:pPr>
      <w:spacing w:before="120" w:line="240" w:lineRule="auto"/>
    </w:pPr>
    <w:r>
      <w:t>GE.</w:t>
    </w:r>
    <w:r w:rsidR="00DF71B9">
      <w:rPr>
        <w:b/>
        <w:noProof/>
        <w:lang w:val="en-GB" w:eastAsia="en-GB"/>
      </w:rPr>
      <w:drawing>
        <wp:anchor distT="0" distB="0" distL="114300" distR="114300" simplePos="0" relativeHeight="251658240" behindDoc="0" locked="0" layoutInCell="1" allowOverlap="1" wp14:anchorId="2298174E" wp14:editId="3FC2E09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17-12432  (R)</w:t>
    </w:r>
    <w:r>
      <w:rPr>
        <w:lang w:val="en-US"/>
      </w:rPr>
      <w:t xml:space="preserve">  150817  </w:t>
    </w:r>
    <w:r w:rsidR="00D75277">
      <w:t>21</w:t>
    </w:r>
    <w:r>
      <w:rPr>
        <w:lang w:val="en-US"/>
      </w:rPr>
      <w:t>0817</w:t>
    </w:r>
    <w:r>
      <w:br/>
    </w:r>
    <w:r w:rsidRPr="00121065">
      <w:rPr>
        <w:rFonts w:ascii="C39T30Lfz" w:hAnsi="C39T30Lfz"/>
        <w:spacing w:val="0"/>
        <w:w w:val="100"/>
        <w:sz w:val="56"/>
      </w:rPr>
      <w:t></w:t>
    </w:r>
    <w:r w:rsidRPr="00121065">
      <w:rPr>
        <w:rFonts w:ascii="C39T30Lfz" w:hAnsi="C39T30Lfz"/>
        <w:spacing w:val="0"/>
        <w:w w:val="100"/>
        <w:sz w:val="56"/>
      </w:rPr>
      <w:t></w:t>
    </w:r>
    <w:r w:rsidRPr="00121065">
      <w:rPr>
        <w:rFonts w:ascii="C39T30Lfz" w:hAnsi="C39T30Lfz"/>
        <w:spacing w:val="0"/>
        <w:w w:val="100"/>
        <w:sz w:val="56"/>
      </w:rPr>
      <w:t></w:t>
    </w:r>
    <w:r w:rsidRPr="00121065">
      <w:rPr>
        <w:rFonts w:ascii="C39T30Lfz" w:hAnsi="C39T30Lfz"/>
        <w:spacing w:val="0"/>
        <w:w w:val="100"/>
        <w:sz w:val="56"/>
      </w:rPr>
      <w:t></w:t>
    </w:r>
    <w:r w:rsidRPr="00121065">
      <w:rPr>
        <w:rFonts w:ascii="C39T30Lfz" w:hAnsi="C39T30Lfz"/>
        <w:spacing w:val="0"/>
        <w:w w:val="100"/>
        <w:sz w:val="56"/>
      </w:rPr>
      <w:t></w:t>
    </w:r>
    <w:r w:rsidRPr="00121065">
      <w:rPr>
        <w:rFonts w:ascii="C39T30Lfz" w:hAnsi="C39T30Lfz"/>
        <w:spacing w:val="0"/>
        <w:w w:val="100"/>
        <w:sz w:val="56"/>
      </w:rPr>
      <w:t></w:t>
    </w:r>
    <w:r w:rsidRPr="00121065">
      <w:rPr>
        <w:rFonts w:ascii="C39T30Lfz" w:hAnsi="C39T30Lfz"/>
        <w:spacing w:val="0"/>
        <w:w w:val="100"/>
        <w:sz w:val="56"/>
      </w:rPr>
      <w:t></w:t>
    </w:r>
    <w:r w:rsidRPr="00121065">
      <w:rPr>
        <w:rFonts w:ascii="C39T30Lfz" w:hAnsi="C39T30Lfz"/>
        <w:spacing w:val="0"/>
        <w:w w:val="100"/>
        <w:sz w:val="56"/>
      </w:rPr>
      <w:t></w:t>
    </w:r>
    <w:r w:rsidRPr="00121065">
      <w:rPr>
        <w:rFonts w:ascii="C39T30Lfz" w:hAnsi="C39T30Lfz"/>
        <w:spacing w:val="0"/>
        <w:w w:val="100"/>
        <w:sz w:val="56"/>
      </w:rPr>
      <w:t></w:t>
    </w:r>
    <w:r>
      <w:rPr>
        <w:noProof/>
        <w:w w:val="100"/>
        <w:lang w:val="en-GB" w:eastAsia="en-GB"/>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1/2017/1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17/1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D82" w:rsidRPr="001075E9" w:rsidRDefault="001F7D82" w:rsidP="001075E9">
      <w:pPr>
        <w:tabs>
          <w:tab w:val="right" w:pos="2155"/>
        </w:tabs>
        <w:spacing w:after="80" w:line="240" w:lineRule="auto"/>
        <w:ind w:left="680"/>
        <w:rPr>
          <w:u w:val="single"/>
        </w:rPr>
      </w:pPr>
      <w:r>
        <w:rPr>
          <w:u w:val="single"/>
        </w:rPr>
        <w:tab/>
      </w:r>
    </w:p>
  </w:footnote>
  <w:footnote w:type="continuationSeparator" w:id="0">
    <w:p w:rsidR="001F7D82" w:rsidRDefault="001F7D82"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065" w:rsidRPr="00121065" w:rsidRDefault="001335DC">
    <w:pPr>
      <w:pStyle w:val="Header"/>
    </w:pPr>
    <w:fldSimple w:instr=" TITLE  \* MERGEFORMAT ">
      <w:r w:rsidR="00680184">
        <w:t>ECE/TRANS/WP.11/2017/12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065" w:rsidRPr="00121065" w:rsidRDefault="001335DC" w:rsidP="00121065">
    <w:pPr>
      <w:pStyle w:val="Header"/>
      <w:jc w:val="right"/>
    </w:pPr>
    <w:fldSimple w:instr=" TITLE  \* MERGEFORMAT ">
      <w:r w:rsidR="00680184">
        <w:t>ECE/TRANS/WP.11/2017/12</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065" w:rsidRDefault="00121065" w:rsidP="0012106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D82"/>
    <w:rsid w:val="00033EE1"/>
    <w:rsid w:val="00042B72"/>
    <w:rsid w:val="000558BD"/>
    <w:rsid w:val="000B366C"/>
    <w:rsid w:val="000B57E7"/>
    <w:rsid w:val="000B6373"/>
    <w:rsid w:val="000E4E5B"/>
    <w:rsid w:val="000F09DF"/>
    <w:rsid w:val="000F61B2"/>
    <w:rsid w:val="001075E9"/>
    <w:rsid w:val="00121065"/>
    <w:rsid w:val="001335DC"/>
    <w:rsid w:val="0014152F"/>
    <w:rsid w:val="00180183"/>
    <w:rsid w:val="0018024D"/>
    <w:rsid w:val="0018649F"/>
    <w:rsid w:val="00196389"/>
    <w:rsid w:val="001B3EF6"/>
    <w:rsid w:val="001C7A89"/>
    <w:rsid w:val="001F7D82"/>
    <w:rsid w:val="00255343"/>
    <w:rsid w:val="0027151D"/>
    <w:rsid w:val="002A2EFC"/>
    <w:rsid w:val="002B0106"/>
    <w:rsid w:val="002B74B1"/>
    <w:rsid w:val="002C0E18"/>
    <w:rsid w:val="002D5AAC"/>
    <w:rsid w:val="002E5067"/>
    <w:rsid w:val="002F405F"/>
    <w:rsid w:val="002F582B"/>
    <w:rsid w:val="002F7EEC"/>
    <w:rsid w:val="00301299"/>
    <w:rsid w:val="00305C08"/>
    <w:rsid w:val="00307FB6"/>
    <w:rsid w:val="00317339"/>
    <w:rsid w:val="00322004"/>
    <w:rsid w:val="003402C2"/>
    <w:rsid w:val="00381C24"/>
    <w:rsid w:val="00387CD4"/>
    <w:rsid w:val="003958D0"/>
    <w:rsid w:val="003A0D43"/>
    <w:rsid w:val="003A48CE"/>
    <w:rsid w:val="003B00E5"/>
    <w:rsid w:val="00407B78"/>
    <w:rsid w:val="00424203"/>
    <w:rsid w:val="00452493"/>
    <w:rsid w:val="00453318"/>
    <w:rsid w:val="00454AF2"/>
    <w:rsid w:val="00454E07"/>
    <w:rsid w:val="00460B1C"/>
    <w:rsid w:val="00472C5C"/>
    <w:rsid w:val="004838EB"/>
    <w:rsid w:val="004E05B7"/>
    <w:rsid w:val="0050108D"/>
    <w:rsid w:val="00513081"/>
    <w:rsid w:val="00517901"/>
    <w:rsid w:val="00526683"/>
    <w:rsid w:val="005353F5"/>
    <w:rsid w:val="005639C1"/>
    <w:rsid w:val="005709E0"/>
    <w:rsid w:val="00572E19"/>
    <w:rsid w:val="005961C8"/>
    <w:rsid w:val="005966F1"/>
    <w:rsid w:val="005D7914"/>
    <w:rsid w:val="005E2B41"/>
    <w:rsid w:val="005F0B42"/>
    <w:rsid w:val="006345DB"/>
    <w:rsid w:val="00640F49"/>
    <w:rsid w:val="00680184"/>
    <w:rsid w:val="00680D03"/>
    <w:rsid w:val="00681A10"/>
    <w:rsid w:val="006A1ED8"/>
    <w:rsid w:val="006A75CF"/>
    <w:rsid w:val="006C2031"/>
    <w:rsid w:val="006D461A"/>
    <w:rsid w:val="006F35EE"/>
    <w:rsid w:val="007021FF"/>
    <w:rsid w:val="00712895"/>
    <w:rsid w:val="00734ACB"/>
    <w:rsid w:val="00757357"/>
    <w:rsid w:val="00792497"/>
    <w:rsid w:val="00796F4D"/>
    <w:rsid w:val="007D423C"/>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23F"/>
    <w:rsid w:val="009A24AC"/>
    <w:rsid w:val="009C36B4"/>
    <w:rsid w:val="009C6FE6"/>
    <w:rsid w:val="009D7E7D"/>
    <w:rsid w:val="00A14DA8"/>
    <w:rsid w:val="00A312BC"/>
    <w:rsid w:val="00A84021"/>
    <w:rsid w:val="00A84D35"/>
    <w:rsid w:val="00A875F7"/>
    <w:rsid w:val="00A917B3"/>
    <w:rsid w:val="00AB4B51"/>
    <w:rsid w:val="00B10CC7"/>
    <w:rsid w:val="00B36DF7"/>
    <w:rsid w:val="00B539E7"/>
    <w:rsid w:val="00B62458"/>
    <w:rsid w:val="00BC18B2"/>
    <w:rsid w:val="00BD33EE"/>
    <w:rsid w:val="00BE1CC7"/>
    <w:rsid w:val="00C106D6"/>
    <w:rsid w:val="00C119AE"/>
    <w:rsid w:val="00C54BEF"/>
    <w:rsid w:val="00C60F0C"/>
    <w:rsid w:val="00C805C9"/>
    <w:rsid w:val="00C92939"/>
    <w:rsid w:val="00CA1679"/>
    <w:rsid w:val="00CB151C"/>
    <w:rsid w:val="00CE5A1A"/>
    <w:rsid w:val="00CF55F6"/>
    <w:rsid w:val="00D33D63"/>
    <w:rsid w:val="00D5253A"/>
    <w:rsid w:val="00D75277"/>
    <w:rsid w:val="00D90028"/>
    <w:rsid w:val="00D90138"/>
    <w:rsid w:val="00DD78D1"/>
    <w:rsid w:val="00DE32CD"/>
    <w:rsid w:val="00DE4D7D"/>
    <w:rsid w:val="00DF5767"/>
    <w:rsid w:val="00DF71B9"/>
    <w:rsid w:val="00E12C5F"/>
    <w:rsid w:val="00E26B96"/>
    <w:rsid w:val="00E73F76"/>
    <w:rsid w:val="00EA2C9F"/>
    <w:rsid w:val="00EA420E"/>
    <w:rsid w:val="00ED0BDA"/>
    <w:rsid w:val="00EE142A"/>
    <w:rsid w:val="00EE774B"/>
    <w:rsid w:val="00EF1360"/>
    <w:rsid w:val="00EF3220"/>
    <w:rsid w:val="00F2523A"/>
    <w:rsid w:val="00F43903"/>
    <w:rsid w:val="00F732D8"/>
    <w:rsid w:val="00F94155"/>
    <w:rsid w:val="00F9783F"/>
    <w:rsid w:val="00FB59A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E9B5392-AEA2-4D3B-A3F0-8BBF33D9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customStyle="1" w:styleId="Bullet1G">
    <w:name w:val="_Bullet 1_G"/>
    <w:basedOn w:val="Normal"/>
    <w:rsid w:val="00796F4D"/>
    <w:pPr>
      <w:numPr>
        <w:numId w:val="19"/>
      </w:numPr>
      <w:suppressAutoHyphens/>
      <w:spacing w:after="120"/>
      <w:ind w:right="1134"/>
      <w:jc w:val="both"/>
    </w:pPr>
    <w:rPr>
      <w:rFonts w:eastAsia="Times New Roman" w:cs="Times New Roman"/>
      <w:spacing w:val="0"/>
      <w:w w:val="100"/>
      <w:kern w:val="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2076</Characters>
  <Application>Microsoft Office Word</Application>
  <DocSecurity>0</DocSecurity>
  <Lines>48</Lines>
  <Paragraphs>25</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ECE/TRANS/WP.11/2017/12</vt:lpstr>
      <vt:lpstr>ECE/TRANS/WP.11/2017/12</vt:lpstr>
      <vt:lpstr>A/</vt:lpstr>
    </vt:vector>
  </TitlesOfParts>
  <Company>DCM</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ECE/TRANS/WP.11/2017/12</dc:title>
  <dc:creator>Ovchinnikova Olga</dc:creator>
  <cp:lastModifiedBy>Marie-Claude Collet</cp:lastModifiedBy>
  <cp:revision>3</cp:revision>
  <cp:lastPrinted>2017-08-23T15:24:00Z</cp:lastPrinted>
  <dcterms:created xsi:type="dcterms:W3CDTF">2017-08-23T15:24:00Z</dcterms:created>
  <dcterms:modified xsi:type="dcterms:W3CDTF">2017-08-23T15:25:00Z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