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FF98FBC" w14:textId="77777777" w:rsidTr="00DF5712">
        <w:trPr>
          <w:trHeight w:hRule="exact" w:val="851"/>
        </w:trPr>
        <w:tc>
          <w:tcPr>
            <w:tcW w:w="1276" w:type="dxa"/>
            <w:tcBorders>
              <w:bottom w:val="single" w:sz="4" w:space="0" w:color="auto"/>
            </w:tcBorders>
          </w:tcPr>
          <w:p w14:paraId="4DEF13EA" w14:textId="77777777" w:rsidR="00A14420" w:rsidRPr="00DB58B5" w:rsidRDefault="00A14420" w:rsidP="00E53EAE"/>
        </w:tc>
        <w:tc>
          <w:tcPr>
            <w:tcW w:w="2268" w:type="dxa"/>
            <w:tcBorders>
              <w:bottom w:val="single" w:sz="4" w:space="0" w:color="auto"/>
            </w:tcBorders>
            <w:vAlign w:val="bottom"/>
          </w:tcPr>
          <w:p w14:paraId="67DBCEC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9868CE" w14:textId="35721CB2" w:rsidR="00A14420" w:rsidRPr="00DB58B5" w:rsidRDefault="00E53EAE" w:rsidP="00E53EAE">
            <w:pPr>
              <w:jc w:val="right"/>
            </w:pPr>
            <w:r w:rsidRPr="00E53EAE">
              <w:rPr>
                <w:sz w:val="40"/>
              </w:rPr>
              <w:t>ECE</w:t>
            </w:r>
            <w:r>
              <w:t>/MP.EIA/IC/2024/3</w:t>
            </w:r>
          </w:p>
        </w:tc>
      </w:tr>
      <w:tr w:rsidR="00A14420" w:rsidRPr="00DB58B5" w14:paraId="2635101B" w14:textId="77777777" w:rsidTr="00DF5712">
        <w:trPr>
          <w:trHeight w:hRule="exact" w:val="2835"/>
        </w:trPr>
        <w:tc>
          <w:tcPr>
            <w:tcW w:w="1276" w:type="dxa"/>
            <w:tcBorders>
              <w:top w:val="single" w:sz="4" w:space="0" w:color="auto"/>
              <w:bottom w:val="single" w:sz="12" w:space="0" w:color="auto"/>
            </w:tcBorders>
          </w:tcPr>
          <w:p w14:paraId="340C0487" w14:textId="77777777" w:rsidR="00A14420" w:rsidRPr="00DB58B5" w:rsidRDefault="00A14420" w:rsidP="00DF5712">
            <w:pPr>
              <w:spacing w:before="120"/>
              <w:jc w:val="center"/>
            </w:pPr>
            <w:r>
              <w:rPr>
                <w:noProof/>
                <w:lang w:eastAsia="fr-CH"/>
              </w:rPr>
              <w:drawing>
                <wp:inline distT="0" distB="0" distL="0" distR="0" wp14:anchorId="62EBE424" wp14:editId="0E9C16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1671BB"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A4D94D" w14:textId="77777777" w:rsidR="00A14420" w:rsidRDefault="00E53EAE" w:rsidP="00DF5712">
            <w:pPr>
              <w:spacing w:before="240"/>
            </w:pPr>
            <w:proofErr w:type="spellStart"/>
            <w:r>
              <w:t>Distr</w:t>
            </w:r>
            <w:proofErr w:type="spellEnd"/>
            <w:r>
              <w:t>. générale</w:t>
            </w:r>
          </w:p>
          <w:p w14:paraId="608811CB" w14:textId="77777777" w:rsidR="00E53EAE" w:rsidRDefault="00E53EAE" w:rsidP="00E53EAE">
            <w:pPr>
              <w:spacing w:line="240" w:lineRule="exact"/>
            </w:pPr>
            <w:r>
              <w:t>12 avril 2024</w:t>
            </w:r>
          </w:p>
          <w:p w14:paraId="5DD7ADA7" w14:textId="77777777" w:rsidR="00E53EAE" w:rsidRDefault="00E53EAE" w:rsidP="00E53EAE">
            <w:pPr>
              <w:spacing w:line="240" w:lineRule="exact"/>
            </w:pPr>
            <w:r>
              <w:t>Français</w:t>
            </w:r>
          </w:p>
          <w:p w14:paraId="1415DFBD" w14:textId="167CBC02" w:rsidR="00E53EAE" w:rsidRPr="00DB58B5" w:rsidRDefault="00E53EAE" w:rsidP="00E53EAE">
            <w:pPr>
              <w:spacing w:line="240" w:lineRule="exact"/>
            </w:pPr>
            <w:r>
              <w:t>Original : anglais</w:t>
            </w:r>
          </w:p>
        </w:tc>
      </w:tr>
    </w:tbl>
    <w:p w14:paraId="5CB7A95C" w14:textId="77777777" w:rsidR="00C554CE" w:rsidRDefault="00C554CE" w:rsidP="00C554CE">
      <w:pPr>
        <w:spacing w:before="120"/>
        <w:rPr>
          <w:b/>
          <w:sz w:val="28"/>
          <w:szCs w:val="28"/>
        </w:rPr>
      </w:pPr>
      <w:r w:rsidRPr="000312C0">
        <w:rPr>
          <w:b/>
          <w:sz w:val="28"/>
          <w:szCs w:val="28"/>
        </w:rPr>
        <w:t>Commission économique pour l’Europe</w:t>
      </w:r>
    </w:p>
    <w:p w14:paraId="4EF4B0BD" w14:textId="77777777" w:rsidR="00E53EAE" w:rsidRDefault="00E53EAE"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1C2D20D9" w14:textId="77777777" w:rsidR="00E53EAE" w:rsidRPr="00DC31CF" w:rsidRDefault="00E53EAE"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4370081A" w14:textId="77777777" w:rsidR="00E53EAE" w:rsidRPr="00E835A2" w:rsidRDefault="00E53EAE" w:rsidP="00E53EAE">
      <w:pPr>
        <w:spacing w:before="120"/>
        <w:rPr>
          <w:b/>
          <w:sz w:val="24"/>
          <w:szCs w:val="24"/>
          <w:lang w:val="fr-FR"/>
        </w:rPr>
      </w:pPr>
      <w:r w:rsidRPr="00E835A2">
        <w:rPr>
          <w:b/>
          <w:bCs/>
          <w:sz w:val="24"/>
          <w:szCs w:val="24"/>
          <w:lang w:val="fr-FR"/>
        </w:rPr>
        <w:t>Comité d</w:t>
      </w:r>
      <w:r>
        <w:rPr>
          <w:b/>
          <w:bCs/>
          <w:sz w:val="24"/>
          <w:szCs w:val="24"/>
          <w:lang w:val="fr-FR"/>
        </w:rPr>
        <w:t>’</w:t>
      </w:r>
      <w:r w:rsidRPr="00E835A2">
        <w:rPr>
          <w:b/>
          <w:bCs/>
          <w:sz w:val="24"/>
          <w:szCs w:val="24"/>
          <w:lang w:val="fr-FR"/>
        </w:rPr>
        <w:t>application</w:t>
      </w:r>
    </w:p>
    <w:p w14:paraId="3BF39B4C" w14:textId="77777777" w:rsidR="00E53EAE" w:rsidRPr="003A61FF" w:rsidRDefault="00E53EAE" w:rsidP="00E53EAE">
      <w:pPr>
        <w:rPr>
          <w:b/>
          <w:lang w:val="fr-FR"/>
        </w:rPr>
      </w:pPr>
      <w:r>
        <w:rPr>
          <w:b/>
          <w:bCs/>
          <w:lang w:val="fr-FR"/>
        </w:rPr>
        <w:t>Cinquante-neuvième session</w:t>
      </w:r>
    </w:p>
    <w:p w14:paraId="0B9981E3" w14:textId="77777777" w:rsidR="00E53EAE" w:rsidRPr="003A61FF" w:rsidRDefault="00E53EAE" w:rsidP="00E53EAE">
      <w:pPr>
        <w:rPr>
          <w:lang w:val="fr-FR"/>
        </w:rPr>
      </w:pPr>
      <w:r>
        <w:rPr>
          <w:lang w:val="fr-FR"/>
        </w:rPr>
        <w:t>Genève, 18-21 juin 2024</w:t>
      </w:r>
    </w:p>
    <w:p w14:paraId="1B189BB0" w14:textId="77777777" w:rsidR="00E53EAE" w:rsidRPr="003A61FF" w:rsidRDefault="00E53EAE" w:rsidP="00E53EAE">
      <w:pPr>
        <w:rPr>
          <w:lang w:val="fr-FR"/>
        </w:rPr>
      </w:pPr>
      <w:r>
        <w:rPr>
          <w:lang w:val="fr-FR"/>
        </w:rPr>
        <w:t>Point 1 de l’ordre du jour provisoire</w:t>
      </w:r>
    </w:p>
    <w:p w14:paraId="1A196796" w14:textId="77777777" w:rsidR="00E53EAE" w:rsidRPr="003A61FF" w:rsidRDefault="00E53EAE" w:rsidP="00E53EAE">
      <w:pPr>
        <w:rPr>
          <w:lang w:val="fr-FR"/>
        </w:rPr>
      </w:pPr>
      <w:r>
        <w:rPr>
          <w:b/>
          <w:bCs/>
          <w:lang w:val="fr-FR"/>
        </w:rPr>
        <w:t>Adoption de l’ordre du jour</w:t>
      </w:r>
    </w:p>
    <w:p w14:paraId="5BA7A541" w14:textId="77777777" w:rsidR="00E53EAE" w:rsidRPr="003A61FF" w:rsidRDefault="00E53EAE" w:rsidP="00CB2C51">
      <w:pPr>
        <w:pStyle w:val="HChG"/>
        <w:rPr>
          <w:lang w:val="fr-FR"/>
        </w:rPr>
      </w:pPr>
      <w:r>
        <w:rPr>
          <w:lang w:val="fr-FR"/>
        </w:rPr>
        <w:tab/>
      </w:r>
      <w:r>
        <w:rPr>
          <w:lang w:val="fr-FR"/>
        </w:rPr>
        <w:tab/>
        <w:t>Ordre du jour provisoire annoté de la cinquante-neuvième session</w:t>
      </w:r>
      <w:r w:rsidRPr="00CB2C51">
        <w:rPr>
          <w:b w:val="0"/>
          <w:bCs/>
          <w:sz w:val="20"/>
          <w:lang w:val="fr-FR"/>
        </w:rPr>
        <w:t>*</w:t>
      </w:r>
    </w:p>
    <w:p w14:paraId="497B9E8E" w14:textId="16D930AA" w:rsidR="00E53EAE" w:rsidRPr="003A61FF" w:rsidRDefault="00E53EAE" w:rsidP="00CB2C51">
      <w:pPr>
        <w:pStyle w:val="H1G"/>
        <w:rPr>
          <w:lang w:val="fr-FR"/>
        </w:rPr>
      </w:pPr>
      <w:r>
        <w:rPr>
          <w:lang w:val="fr-FR"/>
        </w:rPr>
        <w:tab/>
      </w:r>
      <w:r>
        <w:rPr>
          <w:lang w:val="fr-FR"/>
        </w:rPr>
        <w:tab/>
        <w:t xml:space="preserve">Qui s’ouvrira au Palais des Nations, à Genève, le mardi 18 juin 2024, </w:t>
      </w:r>
      <w:r w:rsidR="00CB2C51">
        <w:rPr>
          <w:lang w:val="fr-FR"/>
        </w:rPr>
        <w:br/>
      </w:r>
      <w:r>
        <w:rPr>
          <w:lang w:val="fr-FR"/>
        </w:rPr>
        <w:t>à 10 heures</w:t>
      </w:r>
      <w:r w:rsidRPr="00CB2C51">
        <w:rPr>
          <w:b w:val="0"/>
          <w:bCs/>
          <w:sz w:val="20"/>
          <w:lang w:val="fr-FR"/>
        </w:rPr>
        <w:t>**</w:t>
      </w:r>
    </w:p>
    <w:p w14:paraId="267E95AA" w14:textId="77777777" w:rsidR="00E53EAE" w:rsidRPr="003A61FF" w:rsidRDefault="00E53EAE" w:rsidP="00CB2C51">
      <w:pPr>
        <w:pStyle w:val="HChG"/>
        <w:rPr>
          <w:lang w:val="fr-FR"/>
        </w:rPr>
      </w:pPr>
      <w:r>
        <w:rPr>
          <w:lang w:val="fr-FR"/>
        </w:rPr>
        <w:footnoteReference w:customMarkFollows="1" w:id="2"/>
        <w:tab/>
        <w:t>I.</w:t>
      </w:r>
      <w:r>
        <w:rPr>
          <w:lang w:val="fr-FR"/>
        </w:rPr>
        <w:tab/>
        <w:t>Ordre du jour provisoire</w:t>
      </w:r>
    </w:p>
    <w:p w14:paraId="614059B2" w14:textId="77777777" w:rsidR="00E53EAE" w:rsidRPr="003A61FF" w:rsidRDefault="00E53EAE" w:rsidP="00CB2C51">
      <w:pPr>
        <w:pStyle w:val="SingleTxtG"/>
        <w:ind w:left="1701" w:hanging="567"/>
        <w:jc w:val="left"/>
        <w:rPr>
          <w:lang w:val="fr-FR"/>
        </w:rPr>
      </w:pPr>
      <w:r>
        <w:rPr>
          <w:lang w:val="fr-FR"/>
        </w:rPr>
        <w:t>1.</w:t>
      </w:r>
      <w:r>
        <w:rPr>
          <w:lang w:val="fr-FR"/>
        </w:rPr>
        <w:tab/>
        <w:t>Adoption de l’ordre du jour.</w:t>
      </w:r>
    </w:p>
    <w:p w14:paraId="7CBDF1AE" w14:textId="77777777" w:rsidR="00E53EAE" w:rsidRPr="003A61FF" w:rsidRDefault="00E53EAE" w:rsidP="00CB2C51">
      <w:pPr>
        <w:pStyle w:val="SingleTxtG"/>
        <w:ind w:left="1701" w:hanging="567"/>
        <w:jc w:val="left"/>
        <w:rPr>
          <w:lang w:val="fr-FR"/>
        </w:rPr>
      </w:pPr>
      <w:r>
        <w:rPr>
          <w:lang w:val="fr-FR"/>
        </w:rPr>
        <w:t>2.</w:t>
      </w:r>
      <w:r>
        <w:rPr>
          <w:lang w:val="fr-FR"/>
        </w:rPr>
        <w:tab/>
        <w:t>Composition du Comité d’application.</w:t>
      </w:r>
    </w:p>
    <w:p w14:paraId="1DED8F42" w14:textId="165F2E97" w:rsidR="00E53EAE" w:rsidRPr="003A61FF" w:rsidRDefault="00E53EAE" w:rsidP="00CB2C51">
      <w:pPr>
        <w:pStyle w:val="SingleTxtG"/>
        <w:ind w:left="1701" w:hanging="567"/>
        <w:jc w:val="left"/>
        <w:rPr>
          <w:lang w:val="fr-FR"/>
        </w:rPr>
      </w:pPr>
      <w:r>
        <w:rPr>
          <w:lang w:val="fr-FR"/>
        </w:rPr>
        <w:t>3.</w:t>
      </w:r>
      <w:r>
        <w:rPr>
          <w:lang w:val="fr-FR"/>
        </w:rPr>
        <w:tab/>
        <w:t>Suivi des décisions IX/4c</w:t>
      </w:r>
      <w:r w:rsidR="00CB2C51">
        <w:rPr>
          <w:lang w:val="fr-FR"/>
        </w:rPr>
        <w:t>-</w:t>
      </w:r>
      <w:r>
        <w:rPr>
          <w:lang w:val="fr-FR"/>
        </w:rPr>
        <w:t>V/4c et V/4d.</w:t>
      </w:r>
    </w:p>
    <w:p w14:paraId="3D9D91F2" w14:textId="77777777" w:rsidR="00E53EAE" w:rsidRPr="003A61FF" w:rsidRDefault="00E53EAE" w:rsidP="00CB2C51">
      <w:pPr>
        <w:pStyle w:val="SingleTxtG"/>
        <w:ind w:left="1701" w:hanging="567"/>
        <w:jc w:val="left"/>
        <w:rPr>
          <w:lang w:val="fr-FR"/>
        </w:rPr>
      </w:pPr>
      <w:r>
        <w:rPr>
          <w:lang w:val="fr-FR"/>
        </w:rPr>
        <w:t>4.</w:t>
      </w:r>
      <w:r>
        <w:rPr>
          <w:lang w:val="fr-FR"/>
        </w:rPr>
        <w:tab/>
        <w:t>Communications.</w:t>
      </w:r>
    </w:p>
    <w:p w14:paraId="60F4C8E1" w14:textId="77777777" w:rsidR="00E53EAE" w:rsidRPr="003A61FF" w:rsidRDefault="00E53EAE" w:rsidP="00CB2C51">
      <w:pPr>
        <w:pStyle w:val="SingleTxtG"/>
        <w:ind w:left="1701" w:hanging="567"/>
        <w:jc w:val="left"/>
        <w:rPr>
          <w:lang w:val="fr-FR"/>
        </w:rPr>
      </w:pPr>
      <w:r>
        <w:rPr>
          <w:lang w:val="fr-FR"/>
        </w:rPr>
        <w:t>5.</w:t>
      </w:r>
      <w:r>
        <w:rPr>
          <w:lang w:val="fr-FR"/>
        </w:rPr>
        <w:tab/>
        <w:t>Initiative du Comité.</w:t>
      </w:r>
    </w:p>
    <w:p w14:paraId="29CB4305" w14:textId="77777777" w:rsidR="00E53EAE" w:rsidRPr="003A61FF" w:rsidRDefault="00E53EAE" w:rsidP="00CB2C51">
      <w:pPr>
        <w:pStyle w:val="SingleTxtG"/>
        <w:keepNext/>
        <w:ind w:left="1701" w:hanging="567"/>
        <w:jc w:val="left"/>
        <w:rPr>
          <w:lang w:val="fr-FR"/>
        </w:rPr>
      </w:pPr>
      <w:r>
        <w:rPr>
          <w:lang w:val="fr-FR"/>
        </w:rPr>
        <w:lastRenderedPageBreak/>
        <w:t>6.</w:t>
      </w:r>
      <w:r>
        <w:rPr>
          <w:lang w:val="fr-FR"/>
        </w:rPr>
        <w:tab/>
        <w:t xml:space="preserve">Collecte d’informations : </w:t>
      </w:r>
    </w:p>
    <w:p w14:paraId="75D6E424" w14:textId="77777777" w:rsidR="00E53EAE" w:rsidRPr="003A61FF" w:rsidRDefault="00E53EAE" w:rsidP="00CB2C51">
      <w:pPr>
        <w:pStyle w:val="SingleTxtG"/>
        <w:ind w:left="2268" w:hanging="567"/>
        <w:jc w:val="left"/>
        <w:rPr>
          <w:lang w:val="fr-FR"/>
        </w:rPr>
      </w:pPr>
      <w:r>
        <w:rPr>
          <w:lang w:val="fr-FR"/>
        </w:rPr>
        <w:tab/>
        <w:t>Questions relatives à la Convention.</w:t>
      </w:r>
    </w:p>
    <w:p w14:paraId="4FFB244D" w14:textId="77777777" w:rsidR="00E53EAE" w:rsidRPr="003A61FF" w:rsidRDefault="00E53EAE" w:rsidP="00CB2C51">
      <w:pPr>
        <w:pStyle w:val="SingleTxtG"/>
        <w:ind w:left="1701" w:hanging="567"/>
        <w:jc w:val="left"/>
        <w:rPr>
          <w:lang w:val="fr-FR"/>
        </w:rPr>
      </w:pPr>
      <w:r>
        <w:rPr>
          <w:lang w:val="fr-FR"/>
        </w:rPr>
        <w:t>7.</w:t>
      </w:r>
      <w:r>
        <w:rPr>
          <w:lang w:val="fr-FR"/>
        </w:rPr>
        <w:tab/>
        <w:t>Examen de l’application.</w:t>
      </w:r>
    </w:p>
    <w:p w14:paraId="70AC751D" w14:textId="77777777" w:rsidR="00E53EAE" w:rsidRPr="003A61FF" w:rsidRDefault="00E53EAE" w:rsidP="00CB2C51">
      <w:pPr>
        <w:pStyle w:val="SingleTxtG"/>
        <w:ind w:left="1701" w:hanging="567"/>
        <w:jc w:val="left"/>
        <w:rPr>
          <w:lang w:val="fr-FR"/>
        </w:rPr>
      </w:pPr>
      <w:r>
        <w:rPr>
          <w:lang w:val="fr-FR"/>
        </w:rPr>
        <w:t>8.</w:t>
      </w:r>
      <w:r>
        <w:rPr>
          <w:lang w:val="fr-FR"/>
        </w:rPr>
        <w:tab/>
        <w:t>Questions diverses.</w:t>
      </w:r>
    </w:p>
    <w:p w14:paraId="2315BCE4" w14:textId="77777777" w:rsidR="00E53EAE" w:rsidRPr="003A61FF" w:rsidRDefault="00E53EAE" w:rsidP="00CB2C51">
      <w:pPr>
        <w:pStyle w:val="SingleTxtG"/>
        <w:ind w:left="1701" w:hanging="567"/>
        <w:jc w:val="left"/>
        <w:rPr>
          <w:lang w:val="fr-FR"/>
        </w:rPr>
      </w:pPr>
      <w:r>
        <w:rPr>
          <w:lang w:val="fr-FR"/>
        </w:rPr>
        <w:t>9.</w:t>
      </w:r>
      <w:r>
        <w:rPr>
          <w:lang w:val="fr-FR"/>
        </w:rPr>
        <w:tab/>
        <w:t>Présentation des principales décisions prises et clôture de la session.</w:t>
      </w:r>
    </w:p>
    <w:p w14:paraId="13FC4B46" w14:textId="77777777" w:rsidR="00E53EAE" w:rsidRPr="003A61FF" w:rsidRDefault="00E53EAE" w:rsidP="00E53EAE">
      <w:pPr>
        <w:pStyle w:val="HChG"/>
        <w:rPr>
          <w:lang w:val="fr-FR"/>
        </w:rPr>
      </w:pPr>
      <w:r>
        <w:rPr>
          <w:bCs/>
          <w:lang w:val="fr-FR"/>
        </w:rPr>
        <w:tab/>
        <w:t>II.</w:t>
      </w:r>
      <w:r>
        <w:rPr>
          <w:lang w:val="fr-FR"/>
        </w:rPr>
        <w:tab/>
      </w:r>
      <w:r>
        <w:rPr>
          <w:bCs/>
          <w:lang w:val="fr-FR"/>
        </w:rPr>
        <w:t>Annotations</w:t>
      </w:r>
    </w:p>
    <w:p w14:paraId="50E08B1B" w14:textId="77777777" w:rsidR="00E53EAE" w:rsidRPr="003A61FF" w:rsidRDefault="00E53EAE" w:rsidP="00E53EAE">
      <w:pPr>
        <w:pStyle w:val="H1G"/>
        <w:rPr>
          <w:lang w:val="fr-FR"/>
        </w:rPr>
      </w:pPr>
      <w:r>
        <w:rPr>
          <w:bCs/>
          <w:lang w:val="fr-FR"/>
        </w:rPr>
        <w:tab/>
        <w:t>1.</w:t>
      </w:r>
      <w:r>
        <w:rPr>
          <w:lang w:val="fr-FR"/>
        </w:rPr>
        <w:tab/>
      </w:r>
      <w:r>
        <w:rPr>
          <w:bCs/>
          <w:lang w:val="fr-FR"/>
        </w:rPr>
        <w:t>Adoption de l’ordre du jour</w:t>
      </w:r>
    </w:p>
    <w:p w14:paraId="51455A02" w14:textId="1BD4780F" w:rsidR="00E53EAE" w:rsidRPr="003A61FF" w:rsidRDefault="00E53EAE" w:rsidP="00E53EAE">
      <w:pPr>
        <w:pStyle w:val="SingleTxtG"/>
        <w:rPr>
          <w:lang w:val="fr-FR"/>
        </w:rPr>
      </w:pPr>
      <w:r>
        <w:rPr>
          <w:lang w:val="fr-FR"/>
        </w:rPr>
        <w:t>1.</w:t>
      </w:r>
      <w:r>
        <w:rPr>
          <w:lang w:val="fr-FR"/>
        </w:rPr>
        <w:tab/>
        <w:t>Le présent ordre du jour provisoire a été établi par le secrétariat de la Convention sur l’évaluation de l’impact sur l’environnement dans un contexte transfrontière (Convention d’Espoo) et de son Protocole relatif à l’évaluation stratégique environnementale, en accord avec le Président du Comité d’application</w:t>
      </w:r>
      <w:r w:rsidRPr="009F3568">
        <w:rPr>
          <w:rStyle w:val="Appelnotedebasdep"/>
        </w:rPr>
        <w:footnoteReference w:id="3"/>
      </w:r>
      <w:r>
        <w:rPr>
          <w:lang w:val="fr-FR"/>
        </w:rPr>
        <w:t>, conformément à l’article</w:t>
      </w:r>
      <w:r w:rsidR="00CB2C51">
        <w:rPr>
          <w:lang w:val="fr-FR"/>
        </w:rPr>
        <w:t> </w:t>
      </w:r>
      <w:r>
        <w:rPr>
          <w:lang w:val="fr-FR"/>
        </w:rPr>
        <w:t>9 du Règlement intérieur du Comité</w:t>
      </w:r>
      <w:r w:rsidRPr="009F3568">
        <w:rPr>
          <w:rStyle w:val="Appelnotedebasdep"/>
        </w:rPr>
        <w:footnoteReference w:id="4"/>
      </w:r>
      <w:r>
        <w:rPr>
          <w:lang w:val="fr-FR"/>
        </w:rPr>
        <w:t>. Le Comité d’application de la Convention et du Protocole sera invité à l’adopter.</w:t>
      </w:r>
    </w:p>
    <w:p w14:paraId="6C9AD857" w14:textId="77777777" w:rsidR="00E53EAE" w:rsidRPr="003A61FF" w:rsidRDefault="00E53EAE" w:rsidP="00E53EAE">
      <w:pPr>
        <w:pStyle w:val="H1G"/>
        <w:rPr>
          <w:lang w:val="fr-FR"/>
        </w:rPr>
      </w:pPr>
      <w:r>
        <w:rPr>
          <w:bCs/>
          <w:lang w:val="fr-FR"/>
        </w:rPr>
        <w:tab/>
        <w:t>2.</w:t>
      </w:r>
      <w:r>
        <w:rPr>
          <w:lang w:val="fr-FR"/>
        </w:rPr>
        <w:tab/>
      </w:r>
      <w:r>
        <w:rPr>
          <w:bCs/>
          <w:lang w:val="fr-FR"/>
        </w:rPr>
        <w:t>Composition du Comité d’application</w:t>
      </w:r>
    </w:p>
    <w:p w14:paraId="0B6A64BD" w14:textId="6969CFEF" w:rsidR="00E53EAE" w:rsidRPr="003A61FF" w:rsidRDefault="00E53EAE" w:rsidP="00E53EAE">
      <w:pPr>
        <w:pStyle w:val="SingleTxtG"/>
        <w:rPr>
          <w:lang w:val="fr-FR"/>
        </w:rPr>
      </w:pPr>
      <w:r>
        <w:rPr>
          <w:lang w:val="fr-FR"/>
        </w:rPr>
        <w:t>2.</w:t>
      </w:r>
      <w:r>
        <w:rPr>
          <w:lang w:val="fr-FR"/>
        </w:rPr>
        <w:tab/>
        <w:t>Comme suite aux discussions tenues par le Comité à sa cinquante-huitième session (Genève (en ligne), 27 février-1</w:t>
      </w:r>
      <w:r>
        <w:rPr>
          <w:vertAlign w:val="superscript"/>
          <w:lang w:val="fr-FR"/>
        </w:rPr>
        <w:t>er</w:t>
      </w:r>
      <w:r w:rsidR="00CB2C51">
        <w:rPr>
          <w:lang w:val="fr-FR"/>
        </w:rPr>
        <w:t> </w:t>
      </w:r>
      <w:r>
        <w:rPr>
          <w:lang w:val="fr-FR"/>
        </w:rPr>
        <w:t>mars 2024)</w:t>
      </w:r>
      <w:r w:rsidRPr="009F3568">
        <w:rPr>
          <w:rStyle w:val="Appelnotedebasdep"/>
        </w:rPr>
        <w:footnoteReference w:id="5"/>
      </w:r>
      <w:r>
        <w:rPr>
          <w:lang w:val="fr-FR"/>
        </w:rPr>
        <w:t xml:space="preserve"> au sujet de sa composition, les membres du Comité désignés par la République de Moldova et la Slovaquie seront invités à rendre compte au Comité des progrès accomplis dans la désignation de leurs suppléants.</w:t>
      </w:r>
    </w:p>
    <w:p w14:paraId="0BA76621" w14:textId="675CC23C" w:rsidR="00E53EAE" w:rsidRPr="003A61FF" w:rsidRDefault="00E53EAE" w:rsidP="00E53EAE">
      <w:pPr>
        <w:pStyle w:val="H1G"/>
        <w:rPr>
          <w:lang w:val="fr-FR"/>
        </w:rPr>
      </w:pPr>
      <w:r>
        <w:rPr>
          <w:bCs/>
          <w:lang w:val="fr-FR"/>
        </w:rPr>
        <w:tab/>
        <w:t>3.</w:t>
      </w:r>
      <w:r>
        <w:rPr>
          <w:lang w:val="fr-FR"/>
        </w:rPr>
        <w:tab/>
      </w:r>
      <w:r>
        <w:rPr>
          <w:lang w:val="fr-FR"/>
        </w:rPr>
        <w:tab/>
      </w:r>
      <w:r>
        <w:rPr>
          <w:bCs/>
          <w:lang w:val="fr-FR"/>
        </w:rPr>
        <w:t>Suivi des décisions IX/4c</w:t>
      </w:r>
      <w:r w:rsidR="00CB2C51">
        <w:rPr>
          <w:bCs/>
          <w:lang w:val="fr-FR"/>
        </w:rPr>
        <w:t>-</w:t>
      </w:r>
      <w:r>
        <w:rPr>
          <w:bCs/>
          <w:lang w:val="fr-FR"/>
        </w:rPr>
        <w:t>V/4c et V/4d</w:t>
      </w:r>
    </w:p>
    <w:p w14:paraId="3005ADB2" w14:textId="77777777" w:rsidR="00E53EAE" w:rsidRPr="003A61FF" w:rsidRDefault="00E53EAE" w:rsidP="00E53EAE">
      <w:pPr>
        <w:pStyle w:val="SingleTxtG"/>
        <w:rPr>
          <w:lang w:val="fr-FR"/>
        </w:rPr>
      </w:pPr>
      <w:r>
        <w:rPr>
          <w:lang w:val="fr-FR"/>
        </w:rPr>
        <w:t>3.</w:t>
      </w:r>
      <w:r>
        <w:rPr>
          <w:lang w:val="fr-FR"/>
        </w:rPr>
        <w:tab/>
        <w:t>Conformément à l’article 17 du Règlement intérieur, ce point ne sera pas examiné en présence d’observateurs à moins que le Comité n’en décide autrement.</w:t>
      </w:r>
    </w:p>
    <w:p w14:paraId="64E557DC" w14:textId="7AF71D98" w:rsidR="00E53EAE" w:rsidRPr="003A61FF" w:rsidRDefault="00E53EAE" w:rsidP="00CB2C51">
      <w:pPr>
        <w:pStyle w:val="SingleTxtG"/>
        <w:keepNext/>
        <w:rPr>
          <w:lang w:val="fr-FR"/>
        </w:rPr>
      </w:pPr>
      <w:r>
        <w:rPr>
          <w:lang w:val="fr-FR"/>
        </w:rPr>
        <w:t>4.</w:t>
      </w:r>
      <w:r>
        <w:rPr>
          <w:lang w:val="fr-FR"/>
        </w:rPr>
        <w:tab/>
        <w:t>Le Comité devrait examiner la suite donnée à deux décisions de la Réunion des Parties relatives à des pays particuliers</w:t>
      </w:r>
      <w:r w:rsidR="00CB2C51">
        <w:rPr>
          <w:lang w:val="fr-FR"/>
        </w:rPr>
        <w:t> :</w:t>
      </w:r>
    </w:p>
    <w:p w14:paraId="4D6876BA" w14:textId="5D7FABE5" w:rsidR="00E53EAE" w:rsidRPr="003A61FF" w:rsidRDefault="00E53EAE" w:rsidP="00E53EAE">
      <w:pPr>
        <w:pStyle w:val="SingleTxtG"/>
        <w:ind w:firstLine="567"/>
        <w:rPr>
          <w:lang w:val="fr-FR"/>
        </w:rPr>
      </w:pPr>
      <w:r>
        <w:rPr>
          <w:lang w:val="fr-FR"/>
        </w:rPr>
        <w:t>a)</w:t>
      </w:r>
      <w:r>
        <w:rPr>
          <w:lang w:val="fr-FR"/>
        </w:rPr>
        <w:tab/>
        <w:t xml:space="preserve">La décision IX/4c-V/4c concernant le respect par la Bosnie-Herzégovine des obligations qui lui incombent au titre de la Convention et du Protocole pour ce qui est de la construction de la centrale hydroélectrique de </w:t>
      </w:r>
      <w:proofErr w:type="spellStart"/>
      <w:r>
        <w:rPr>
          <w:lang w:val="fr-FR"/>
        </w:rPr>
        <w:t>Buk</w:t>
      </w:r>
      <w:proofErr w:type="spellEnd"/>
      <w:r>
        <w:rPr>
          <w:lang w:val="fr-FR"/>
        </w:rPr>
        <w:t xml:space="preserve"> </w:t>
      </w:r>
      <w:proofErr w:type="spellStart"/>
      <w:r>
        <w:rPr>
          <w:lang w:val="fr-FR"/>
        </w:rPr>
        <w:t>Bijela</w:t>
      </w:r>
      <w:proofErr w:type="spellEnd"/>
      <w:r>
        <w:rPr>
          <w:lang w:val="fr-FR"/>
        </w:rPr>
        <w:t xml:space="preserve"> sur la Drina (ECE/MP.EIA/2023/4</w:t>
      </w:r>
      <w:r w:rsidR="00CB2C51">
        <w:rPr>
          <w:lang w:val="fr-FR"/>
        </w:rPr>
        <w:t>-</w:t>
      </w:r>
      <w:r>
        <w:rPr>
          <w:lang w:val="fr-FR"/>
        </w:rPr>
        <w:t xml:space="preserve"> ECE/MP.EIA/SEA/2023/4)</w:t>
      </w:r>
      <w:r w:rsidR="00CB2C51">
        <w:rPr>
          <w:lang w:val="fr-FR"/>
        </w:rPr>
        <w:t> ;</w:t>
      </w:r>
      <w:bookmarkStart w:id="0" w:name="_Hlk153795113"/>
      <w:bookmarkEnd w:id="0"/>
    </w:p>
    <w:p w14:paraId="3B9F9550" w14:textId="77777777" w:rsidR="00E53EAE" w:rsidRPr="003A61FF" w:rsidRDefault="00E53EAE" w:rsidP="00E53EAE">
      <w:pPr>
        <w:pStyle w:val="SingleTxtG"/>
        <w:ind w:firstLine="567"/>
        <w:rPr>
          <w:lang w:val="fr-FR"/>
        </w:rPr>
      </w:pPr>
      <w:r>
        <w:rPr>
          <w:lang w:val="fr-FR"/>
        </w:rPr>
        <w:t>b)</w:t>
      </w:r>
      <w:r>
        <w:rPr>
          <w:lang w:val="fr-FR"/>
        </w:rPr>
        <w:tab/>
        <w:t>La décision V/4d sur le respect par la Serbie des obligations que lui fait le Protocole, s’agissant de la Stratégie de développement du secteur de l’énergie de la République de Serbie jusqu’en 2025, assortie de prévisions jusqu’à 2030, et du programme de mise en œuvre de la Stratégie pour la période 2017-2023 (ECE/MP.EIA/SEA/2023/7).</w:t>
      </w:r>
    </w:p>
    <w:p w14:paraId="742FEC6F" w14:textId="77777777" w:rsidR="00E53EAE" w:rsidRPr="003A61FF" w:rsidRDefault="00E53EAE" w:rsidP="00E53EAE">
      <w:pPr>
        <w:pStyle w:val="H1G"/>
        <w:rPr>
          <w:lang w:val="fr-FR"/>
        </w:rPr>
      </w:pPr>
      <w:r>
        <w:rPr>
          <w:bCs/>
          <w:lang w:val="fr-FR"/>
        </w:rPr>
        <w:tab/>
        <w:t>4.</w:t>
      </w:r>
      <w:r>
        <w:rPr>
          <w:lang w:val="fr-FR"/>
        </w:rPr>
        <w:tab/>
      </w:r>
      <w:r>
        <w:rPr>
          <w:bCs/>
          <w:lang w:val="fr-FR"/>
        </w:rPr>
        <w:t>Communications</w:t>
      </w:r>
    </w:p>
    <w:p w14:paraId="6D8E5E60" w14:textId="77777777" w:rsidR="00E53EAE" w:rsidRPr="003A61FF" w:rsidRDefault="00E53EAE" w:rsidP="00E53EAE">
      <w:pPr>
        <w:pStyle w:val="SingleTxtG"/>
        <w:rPr>
          <w:lang w:val="fr-FR"/>
        </w:rPr>
      </w:pPr>
      <w:r>
        <w:rPr>
          <w:lang w:val="fr-FR"/>
        </w:rPr>
        <w:t>5.</w:t>
      </w:r>
      <w:r>
        <w:rPr>
          <w:lang w:val="fr-FR"/>
        </w:rPr>
        <w:tab/>
        <w:t>Conformément à l’article 17 (par. 1) du Règlement intérieur, ce point ne sera pas examiné en présence d’observateurs à moins que le Comité n’en décide autrement.</w:t>
      </w:r>
    </w:p>
    <w:p w14:paraId="09C7730D" w14:textId="4579F8CC" w:rsidR="00E53EAE" w:rsidRPr="003A61FF" w:rsidRDefault="00E53EAE" w:rsidP="00E53EAE">
      <w:pPr>
        <w:pStyle w:val="SingleTxtG"/>
        <w:rPr>
          <w:lang w:val="fr-FR"/>
        </w:rPr>
      </w:pPr>
      <w:r>
        <w:rPr>
          <w:lang w:val="fr-FR"/>
        </w:rPr>
        <w:lastRenderedPageBreak/>
        <w:t>6.</w:t>
      </w:r>
      <w:r>
        <w:rPr>
          <w:lang w:val="fr-FR"/>
        </w:rPr>
        <w:tab/>
        <w:t>Le Comité examinera les communications reçues des Parties depuis sa précédente session. Il poursuivra son examen de la communication du Bélarus en date du 12</w:t>
      </w:r>
      <w:r w:rsidR="00853BCA">
        <w:rPr>
          <w:lang w:val="fr-FR"/>
        </w:rPr>
        <w:t> </w:t>
      </w:r>
      <w:r>
        <w:rPr>
          <w:lang w:val="fr-FR"/>
        </w:rPr>
        <w:t xml:space="preserve">avril 2023, dans laquelle celui-ci exprimait ses préoccupations quant au respect par la Pologne des obligations qui lui incombent en vertu de la Convention pour ce qui est de la construction d’une barrière sur le territoire du site transfrontière de la forêt de </w:t>
      </w:r>
      <w:proofErr w:type="spellStart"/>
      <w:r>
        <w:rPr>
          <w:lang w:val="fr-FR"/>
        </w:rPr>
        <w:t>Bialowieza</w:t>
      </w:r>
      <w:proofErr w:type="spellEnd"/>
      <w:r>
        <w:rPr>
          <w:lang w:val="fr-FR"/>
        </w:rPr>
        <w:t>, inscrit au Patrimoine mondial par l’Organisation des Nations Unies pour l’éducation, la science et la culture (UNESCO).</w:t>
      </w:r>
    </w:p>
    <w:p w14:paraId="43957C09" w14:textId="77777777" w:rsidR="00E53EAE" w:rsidRPr="003A61FF" w:rsidRDefault="00E53EAE" w:rsidP="00E53EAE">
      <w:pPr>
        <w:pStyle w:val="H1G"/>
        <w:rPr>
          <w:lang w:val="fr-FR"/>
        </w:rPr>
      </w:pPr>
      <w:r>
        <w:rPr>
          <w:bCs/>
          <w:lang w:val="fr-FR"/>
        </w:rPr>
        <w:tab/>
        <w:t>5.</w:t>
      </w:r>
      <w:r>
        <w:rPr>
          <w:lang w:val="fr-FR"/>
        </w:rPr>
        <w:tab/>
      </w:r>
      <w:r>
        <w:rPr>
          <w:bCs/>
          <w:lang w:val="fr-FR"/>
        </w:rPr>
        <w:t>Initiative du Comité</w:t>
      </w:r>
    </w:p>
    <w:p w14:paraId="58C43597" w14:textId="0B5EC258" w:rsidR="00E53EAE" w:rsidRPr="003A61FF" w:rsidRDefault="00E53EAE" w:rsidP="00E53EAE">
      <w:pPr>
        <w:pStyle w:val="SingleTxtG"/>
        <w:rPr>
          <w:lang w:val="fr-FR"/>
        </w:rPr>
      </w:pPr>
      <w:r>
        <w:rPr>
          <w:lang w:val="fr-FR"/>
        </w:rPr>
        <w:t>7.</w:t>
      </w:r>
      <w:r>
        <w:rPr>
          <w:lang w:val="fr-FR"/>
        </w:rPr>
        <w:tab/>
        <w:t>Conformément à l’article 17 (par.</w:t>
      </w:r>
      <w:r w:rsidR="00853BCA">
        <w:rPr>
          <w:lang w:val="fr-FR"/>
        </w:rPr>
        <w:t> </w:t>
      </w:r>
      <w:r>
        <w:rPr>
          <w:lang w:val="fr-FR"/>
        </w:rPr>
        <w:t xml:space="preserve">1) du Règlement intérieur, ce point ne sera pas examiné en présence d’observateurs à moins que le Comité n’en décide autrement. </w:t>
      </w:r>
    </w:p>
    <w:p w14:paraId="7A48D744" w14:textId="102BC74F" w:rsidR="00E53EAE" w:rsidRPr="003A61FF" w:rsidRDefault="00E53EAE" w:rsidP="00E53EAE">
      <w:pPr>
        <w:pStyle w:val="SingleTxtG"/>
        <w:rPr>
          <w:lang w:val="fr-FR"/>
        </w:rPr>
      </w:pPr>
      <w:r>
        <w:rPr>
          <w:lang w:val="fr-FR"/>
        </w:rPr>
        <w:t xml:space="preserve">8. </w:t>
      </w:r>
      <w:r>
        <w:rPr>
          <w:lang w:val="fr-FR"/>
        </w:rPr>
        <w:tab/>
        <w:t>Le Comité poursuivra l’examen de son initiative concernant la prolongation prévue par la France de la durée de vie de la tranche 1 de la centrale nucléaire du Tricastin, lancée à sa cinquante-septième session (Genève, 29 août-1</w:t>
      </w:r>
      <w:r>
        <w:rPr>
          <w:vertAlign w:val="superscript"/>
          <w:lang w:val="fr-FR"/>
        </w:rPr>
        <w:t>er</w:t>
      </w:r>
      <w:r w:rsidR="00853BCA">
        <w:rPr>
          <w:lang w:val="fr-FR"/>
        </w:rPr>
        <w:t> </w:t>
      </w:r>
      <w:r>
        <w:rPr>
          <w:lang w:val="fr-FR"/>
        </w:rPr>
        <w:t>septembre 2023)</w:t>
      </w:r>
      <w:r w:rsidRPr="009F3568">
        <w:rPr>
          <w:rStyle w:val="Appelnotedebasdep"/>
        </w:rPr>
        <w:footnoteReference w:id="6"/>
      </w:r>
      <w:r>
        <w:rPr>
          <w:lang w:val="fr-FR"/>
        </w:rPr>
        <w:t>. Comme suite aux délibérations que le Comité a tenues à sa cinquante-huitième session</w:t>
      </w:r>
      <w:r w:rsidRPr="009F3568">
        <w:rPr>
          <w:rStyle w:val="Appelnotedebasdep"/>
        </w:rPr>
        <w:footnoteReference w:id="7"/>
      </w:r>
      <w:r>
        <w:rPr>
          <w:lang w:val="fr-FR"/>
        </w:rPr>
        <w:t>, la France et l’Italie ont été invitées à participer à la session le mercredi 19 juin 2024 pour y présenter des informations et leur avis sur la question à l’examen, conformément au paragraphe</w:t>
      </w:r>
      <w:r w:rsidR="00853BCA">
        <w:rPr>
          <w:lang w:val="fr-FR"/>
        </w:rPr>
        <w:t> </w:t>
      </w:r>
      <w:r>
        <w:rPr>
          <w:lang w:val="fr-FR"/>
        </w:rPr>
        <w:t>9 du texte définissant la structure et les fonctions du Comité. Celui-ci examinera ensuite la question en séance privée avant d’établir un projet de conclusions et de recommandations.</w:t>
      </w:r>
    </w:p>
    <w:p w14:paraId="57773DBE" w14:textId="77777777" w:rsidR="00E53EAE" w:rsidRPr="003A61FF" w:rsidRDefault="00E53EAE" w:rsidP="00E53EAE">
      <w:pPr>
        <w:pStyle w:val="H1G"/>
        <w:rPr>
          <w:lang w:val="fr-FR"/>
        </w:rPr>
      </w:pPr>
      <w:r>
        <w:rPr>
          <w:bCs/>
          <w:lang w:val="fr-FR"/>
        </w:rPr>
        <w:tab/>
        <w:t>6.</w:t>
      </w:r>
      <w:r>
        <w:rPr>
          <w:lang w:val="fr-FR"/>
        </w:rPr>
        <w:tab/>
      </w:r>
      <w:r>
        <w:rPr>
          <w:lang w:val="fr-FR"/>
        </w:rPr>
        <w:tab/>
      </w:r>
      <w:r>
        <w:rPr>
          <w:bCs/>
          <w:lang w:val="fr-FR"/>
        </w:rPr>
        <w:t>Collecte d’informations</w:t>
      </w:r>
    </w:p>
    <w:p w14:paraId="14888D8C" w14:textId="05CC2EA0" w:rsidR="00E53EAE" w:rsidRPr="003A61FF" w:rsidRDefault="00E53EAE" w:rsidP="00E53EAE">
      <w:pPr>
        <w:pStyle w:val="SingleTxtG"/>
        <w:rPr>
          <w:lang w:val="fr-FR"/>
        </w:rPr>
      </w:pPr>
      <w:r>
        <w:rPr>
          <w:lang w:val="fr-FR"/>
        </w:rPr>
        <w:t>9.</w:t>
      </w:r>
      <w:r>
        <w:rPr>
          <w:lang w:val="fr-FR"/>
        </w:rPr>
        <w:tab/>
        <w:t>Conformément à l’article 17 (par.</w:t>
      </w:r>
      <w:r w:rsidR="00732AC6">
        <w:rPr>
          <w:lang w:val="fr-FR"/>
        </w:rPr>
        <w:t> </w:t>
      </w:r>
      <w:r>
        <w:rPr>
          <w:lang w:val="fr-FR"/>
        </w:rPr>
        <w:t>1) du Règlement intérieur, ce point ne sera pas examiné en présence d’observateurs à moins que le Comité n’en décide autrement.</w:t>
      </w:r>
    </w:p>
    <w:p w14:paraId="55AB006F" w14:textId="77777777" w:rsidR="00E53EAE" w:rsidRPr="003A61FF" w:rsidRDefault="00E53EAE" w:rsidP="00E53EAE">
      <w:pPr>
        <w:pStyle w:val="H23G"/>
        <w:rPr>
          <w:lang w:val="fr-FR"/>
        </w:rPr>
      </w:pPr>
      <w:r>
        <w:rPr>
          <w:lang w:val="fr-FR"/>
        </w:rPr>
        <w:tab/>
      </w:r>
      <w:r>
        <w:rPr>
          <w:lang w:val="fr-FR"/>
        </w:rPr>
        <w:tab/>
      </w:r>
      <w:r>
        <w:rPr>
          <w:bCs/>
          <w:lang w:val="fr-FR"/>
        </w:rPr>
        <w:t>Questions relatives à la Convention</w:t>
      </w:r>
    </w:p>
    <w:p w14:paraId="1C3C9498" w14:textId="7E89807D" w:rsidR="00E53EAE" w:rsidRPr="003A61FF" w:rsidRDefault="00E53EAE" w:rsidP="00732AC6">
      <w:pPr>
        <w:pStyle w:val="SingleTxtG"/>
        <w:keepNext/>
        <w:rPr>
          <w:lang w:val="fr-FR"/>
        </w:rPr>
      </w:pPr>
      <w:r>
        <w:rPr>
          <w:lang w:val="fr-FR"/>
        </w:rPr>
        <w:t>10.</w:t>
      </w:r>
      <w:r>
        <w:rPr>
          <w:lang w:val="fr-FR"/>
        </w:rPr>
        <w:tab/>
        <w:t>Le Comité poursuivra l’examen des informations qu’il a recueillies concernant</w:t>
      </w:r>
      <w:r w:rsidR="00732AC6">
        <w:rPr>
          <w:lang w:val="fr-FR"/>
        </w:rPr>
        <w:t> :</w:t>
      </w:r>
    </w:p>
    <w:p w14:paraId="5B1D3EC5" w14:textId="74E3130B" w:rsidR="00E53EAE" w:rsidRPr="003A61FF" w:rsidRDefault="00E53EAE" w:rsidP="00E53EAE">
      <w:pPr>
        <w:pStyle w:val="SingleTxtG"/>
        <w:ind w:firstLine="567"/>
        <w:rPr>
          <w:lang w:val="fr-FR"/>
        </w:rPr>
      </w:pPr>
      <w:r>
        <w:rPr>
          <w:lang w:val="fr-FR"/>
        </w:rPr>
        <w:t>a)</w:t>
      </w:r>
      <w:r>
        <w:rPr>
          <w:lang w:val="fr-FR"/>
        </w:rPr>
        <w:tab/>
        <w:t xml:space="preserve">L’Ukraine, s’agissant du projet de construction des tranches 3 et 4 de la centrale nucléaire de </w:t>
      </w:r>
      <w:proofErr w:type="spellStart"/>
      <w:r>
        <w:rPr>
          <w:lang w:val="fr-FR"/>
        </w:rPr>
        <w:t>Khmelnytskyi</w:t>
      </w:r>
      <w:proofErr w:type="spellEnd"/>
      <w:r w:rsidR="00CB2C51">
        <w:rPr>
          <w:lang w:val="fr-FR"/>
        </w:rPr>
        <w:t> ;</w:t>
      </w:r>
    </w:p>
    <w:p w14:paraId="0BFDE436" w14:textId="33F713BA" w:rsidR="00E53EAE" w:rsidRPr="003A61FF" w:rsidRDefault="00E53EAE" w:rsidP="00E53EAE">
      <w:pPr>
        <w:pStyle w:val="SingleTxtG"/>
        <w:ind w:firstLine="567"/>
        <w:rPr>
          <w:lang w:val="fr-FR"/>
        </w:rPr>
      </w:pPr>
      <w:r>
        <w:rPr>
          <w:lang w:val="fr-FR"/>
        </w:rPr>
        <w:t>b)</w:t>
      </w:r>
      <w:r>
        <w:rPr>
          <w:lang w:val="fr-FR"/>
        </w:rPr>
        <w:tab/>
        <w:t xml:space="preserve">L’Ukraine, s’agissant de l’activité minière prévue à la mine d’or de </w:t>
      </w:r>
      <w:proofErr w:type="spellStart"/>
      <w:r>
        <w:rPr>
          <w:lang w:val="fr-FR"/>
        </w:rPr>
        <w:t>Muzhiyevo</w:t>
      </w:r>
      <w:proofErr w:type="spellEnd"/>
      <w:r w:rsidR="00CB2C51">
        <w:rPr>
          <w:lang w:val="fr-FR"/>
        </w:rPr>
        <w:t> ;</w:t>
      </w:r>
    </w:p>
    <w:p w14:paraId="26289A86" w14:textId="65EFDE7F" w:rsidR="00E53EAE" w:rsidRPr="003A61FF" w:rsidRDefault="00E53EAE" w:rsidP="00E53EAE">
      <w:pPr>
        <w:pStyle w:val="SingleTxtG"/>
        <w:ind w:firstLine="567"/>
        <w:rPr>
          <w:rFonts w:eastAsia="SimSun"/>
          <w:lang w:val="fr-FR"/>
        </w:rPr>
      </w:pPr>
      <w:r>
        <w:rPr>
          <w:lang w:val="fr-FR"/>
        </w:rPr>
        <w:t>c)</w:t>
      </w:r>
      <w:r>
        <w:rPr>
          <w:lang w:val="fr-FR"/>
        </w:rPr>
        <w:tab/>
        <w:t xml:space="preserve">L’Ukraine, s’agissant de la prolongation de la durée de vie de 12 tranches des centrales nucléaires de Rivne, d’Ukraine-Sud, de </w:t>
      </w:r>
      <w:proofErr w:type="spellStart"/>
      <w:r>
        <w:rPr>
          <w:lang w:val="fr-FR"/>
        </w:rPr>
        <w:t>Zaporizhzhia</w:t>
      </w:r>
      <w:proofErr w:type="spellEnd"/>
      <w:r>
        <w:rPr>
          <w:lang w:val="fr-FR"/>
        </w:rPr>
        <w:t xml:space="preserve"> et de </w:t>
      </w:r>
      <w:proofErr w:type="spellStart"/>
      <w:r>
        <w:rPr>
          <w:lang w:val="fr-FR"/>
        </w:rPr>
        <w:t>Khmelnytskyi</w:t>
      </w:r>
      <w:proofErr w:type="spellEnd"/>
      <w:r w:rsidR="00CB2C51">
        <w:rPr>
          <w:lang w:val="fr-FR"/>
        </w:rPr>
        <w:t> ;</w:t>
      </w:r>
      <w:r>
        <w:rPr>
          <w:lang w:val="fr-FR"/>
        </w:rPr>
        <w:t xml:space="preserve"> </w:t>
      </w:r>
    </w:p>
    <w:p w14:paraId="7EBCD547" w14:textId="7844FB7E" w:rsidR="00E53EAE" w:rsidRPr="003A61FF" w:rsidRDefault="00E53EAE" w:rsidP="00E53EAE">
      <w:pPr>
        <w:pStyle w:val="SingleTxtG"/>
        <w:ind w:firstLine="567"/>
        <w:rPr>
          <w:rFonts w:eastAsia="SimSun"/>
          <w:lang w:val="fr-FR"/>
        </w:rPr>
      </w:pPr>
      <w:r>
        <w:rPr>
          <w:lang w:val="fr-FR"/>
        </w:rPr>
        <w:t>d)</w:t>
      </w:r>
      <w:r>
        <w:rPr>
          <w:lang w:val="fr-FR"/>
        </w:rPr>
        <w:tab/>
        <w:t>L’Allemagne, s’agissant du projet de construction d’un terminal de gaz naturel liquéfié</w:t>
      </w:r>
      <w:r w:rsidR="00CB2C51">
        <w:rPr>
          <w:lang w:val="fr-FR"/>
        </w:rPr>
        <w:t> ;</w:t>
      </w:r>
    </w:p>
    <w:p w14:paraId="2D4EF363" w14:textId="4E9FDB6E" w:rsidR="00E53EAE" w:rsidRPr="003A61FF" w:rsidRDefault="00E53EAE" w:rsidP="00E53EAE">
      <w:pPr>
        <w:pStyle w:val="SingleTxtG"/>
        <w:ind w:firstLine="567"/>
        <w:rPr>
          <w:lang w:val="fr-FR"/>
        </w:rPr>
      </w:pPr>
      <w:r>
        <w:rPr>
          <w:lang w:val="fr-FR"/>
        </w:rPr>
        <w:t>e)</w:t>
      </w:r>
      <w:r>
        <w:rPr>
          <w:lang w:val="fr-FR"/>
        </w:rPr>
        <w:tab/>
        <w:t>La Macédoine du Nord, s’agissant de l’exploitation d’une nouvelle mine d’or et de cuivre</w:t>
      </w:r>
      <w:r w:rsidR="00CB2C51">
        <w:rPr>
          <w:lang w:val="fr-FR"/>
        </w:rPr>
        <w:t> ;</w:t>
      </w:r>
      <w:r>
        <w:rPr>
          <w:lang w:val="fr-FR"/>
        </w:rPr>
        <w:t xml:space="preserve"> </w:t>
      </w:r>
    </w:p>
    <w:p w14:paraId="48DBFAB3" w14:textId="76106DB8" w:rsidR="00E53EAE" w:rsidRPr="003A61FF" w:rsidRDefault="00E53EAE" w:rsidP="00E53EAE">
      <w:pPr>
        <w:pStyle w:val="SingleTxtG"/>
        <w:ind w:firstLine="567"/>
        <w:rPr>
          <w:lang w:val="fr-FR"/>
        </w:rPr>
      </w:pPr>
      <w:r>
        <w:rPr>
          <w:lang w:val="fr-FR"/>
        </w:rPr>
        <w:t>f)</w:t>
      </w:r>
      <w:r>
        <w:rPr>
          <w:lang w:val="fr-FR"/>
        </w:rPr>
        <w:tab/>
        <w:t>La Bulgarie, s’agissant de plusieurs activités minières prévues</w:t>
      </w:r>
      <w:r w:rsidR="00CB2C51">
        <w:rPr>
          <w:lang w:val="fr-FR"/>
        </w:rPr>
        <w:t> ;</w:t>
      </w:r>
      <w:r>
        <w:rPr>
          <w:lang w:val="fr-FR"/>
        </w:rPr>
        <w:t xml:space="preserve"> </w:t>
      </w:r>
    </w:p>
    <w:p w14:paraId="3A2D87C9" w14:textId="08B4C9DB" w:rsidR="00E53EAE" w:rsidRPr="003A61FF" w:rsidRDefault="00E53EAE" w:rsidP="00E53EAE">
      <w:pPr>
        <w:pStyle w:val="SingleTxtG"/>
        <w:ind w:firstLine="567"/>
        <w:rPr>
          <w:rFonts w:eastAsia="SimSun"/>
          <w:lang w:val="fr-FR"/>
        </w:rPr>
      </w:pPr>
      <w:r>
        <w:rPr>
          <w:lang w:val="fr-FR"/>
        </w:rPr>
        <w:t>g)</w:t>
      </w:r>
      <w:r>
        <w:rPr>
          <w:lang w:val="fr-FR"/>
        </w:rPr>
        <w:tab/>
        <w:t>La France, s’agissant de la prolongation prévue de la durée de vie de 31</w:t>
      </w:r>
      <w:r w:rsidR="00732AC6">
        <w:rPr>
          <w:lang w:val="fr-FR"/>
        </w:rPr>
        <w:t> </w:t>
      </w:r>
      <w:r>
        <w:rPr>
          <w:lang w:val="fr-FR"/>
        </w:rPr>
        <w:t>tranches de huit centrales nucléaires.</w:t>
      </w:r>
    </w:p>
    <w:p w14:paraId="7FBEECED" w14:textId="77777777" w:rsidR="00E53EAE" w:rsidRPr="003A61FF" w:rsidRDefault="00E53EAE" w:rsidP="00E53EAE">
      <w:pPr>
        <w:pStyle w:val="H1G"/>
        <w:rPr>
          <w:lang w:val="fr-FR"/>
        </w:rPr>
      </w:pPr>
      <w:r>
        <w:rPr>
          <w:bCs/>
          <w:lang w:val="fr-FR"/>
        </w:rPr>
        <w:tab/>
        <w:t>7.</w:t>
      </w:r>
      <w:r>
        <w:rPr>
          <w:lang w:val="fr-FR"/>
        </w:rPr>
        <w:tab/>
      </w:r>
      <w:r>
        <w:rPr>
          <w:bCs/>
          <w:lang w:val="fr-FR"/>
        </w:rPr>
        <w:t>Examen de l’application</w:t>
      </w:r>
    </w:p>
    <w:p w14:paraId="5A94482B" w14:textId="010B5430" w:rsidR="00E53EAE" w:rsidRPr="003A61FF" w:rsidRDefault="00E53EAE" w:rsidP="00E53EAE">
      <w:pPr>
        <w:pStyle w:val="SingleTxtG"/>
        <w:rPr>
          <w:lang w:val="fr-FR"/>
        </w:rPr>
      </w:pPr>
      <w:r>
        <w:rPr>
          <w:lang w:val="fr-FR"/>
        </w:rPr>
        <w:t>11.</w:t>
      </w:r>
      <w:r>
        <w:rPr>
          <w:lang w:val="fr-FR"/>
        </w:rPr>
        <w:tab/>
        <w:t>Conformément à l’article 17 (par.</w:t>
      </w:r>
      <w:r w:rsidR="00732AC6">
        <w:rPr>
          <w:lang w:val="fr-FR"/>
        </w:rPr>
        <w:t> </w:t>
      </w:r>
      <w:r>
        <w:rPr>
          <w:lang w:val="fr-FR"/>
        </w:rPr>
        <w:t>1) du Règlement intérieur, ce point ne sera pas examiné en présence d’observateurs à moins que le Comité n’en décide autrement.</w:t>
      </w:r>
    </w:p>
    <w:p w14:paraId="05A16E12" w14:textId="77777777" w:rsidR="00E53EAE" w:rsidRPr="003A61FF" w:rsidRDefault="00E53EAE" w:rsidP="00E53EAE">
      <w:pPr>
        <w:pStyle w:val="SingleTxtG"/>
        <w:rPr>
          <w:lang w:val="fr-FR"/>
        </w:rPr>
      </w:pPr>
      <w:r>
        <w:rPr>
          <w:lang w:val="fr-FR"/>
        </w:rPr>
        <w:t>12.</w:t>
      </w:r>
      <w:r>
        <w:rPr>
          <w:lang w:val="fr-FR"/>
        </w:rPr>
        <w:tab/>
        <w:t xml:space="preserve">S’il en a le temps, le secrétariat portera à l’attention du Comité les questions d’ordre général et les questions précises ayant trait au respect des dispositions qui ont été relevées lors du septième examen de l’application de la Convention (ECE/MP.EIA/2023/9) et du </w:t>
      </w:r>
      <w:r>
        <w:rPr>
          <w:lang w:val="fr-FR"/>
        </w:rPr>
        <w:lastRenderedPageBreak/>
        <w:t>quatrième examen de l’application du Protocole (ECE/MP.EIA/SEA/2023/9). Le Comité devrait tenir compte de ces questions dans ses travaux, conformément aux décisions IX/5 et V/5 des Réunions des Parties.</w:t>
      </w:r>
    </w:p>
    <w:p w14:paraId="1D0850DA" w14:textId="77777777" w:rsidR="00E53EAE" w:rsidRPr="003A61FF" w:rsidRDefault="00E53EAE" w:rsidP="00E53EAE">
      <w:pPr>
        <w:pStyle w:val="SingleTxtG"/>
        <w:rPr>
          <w:lang w:val="fr-FR"/>
        </w:rPr>
      </w:pPr>
      <w:r>
        <w:rPr>
          <w:lang w:val="fr-FR"/>
        </w:rPr>
        <w:t>13.</w:t>
      </w:r>
      <w:r>
        <w:rPr>
          <w:lang w:val="fr-FR"/>
        </w:rPr>
        <w:tab/>
        <w:t>Le secrétariat continuera de consulter le Comité au sujet d’ajustements techniques mineurs à apporter aux questionnaires pour l’établissement du rapport sur l’application de la Convention et du Protocole pendant la période 2022-2024, qui tiennent compte des améliorations qu’il a été proposé d’y apporter lors du précédent cycle d’établissement des rapports (voir ECE/MP.EIA/WG.2/2022/INF.9)</w:t>
      </w:r>
      <w:r w:rsidRPr="009F3568">
        <w:rPr>
          <w:rStyle w:val="Appelnotedebasdep"/>
        </w:rPr>
        <w:footnoteReference w:id="8"/>
      </w:r>
      <w:r>
        <w:rPr>
          <w:lang w:val="fr-FR"/>
        </w:rPr>
        <w:t>.</w:t>
      </w:r>
    </w:p>
    <w:p w14:paraId="63128A65" w14:textId="7EA2F4C2" w:rsidR="00E53EAE" w:rsidRPr="003A61FF" w:rsidRDefault="00E53EAE" w:rsidP="00732AC6">
      <w:pPr>
        <w:pStyle w:val="SingleTxtG"/>
        <w:keepNext/>
        <w:rPr>
          <w:lang w:val="fr-FR"/>
        </w:rPr>
      </w:pPr>
      <w:r>
        <w:rPr>
          <w:lang w:val="fr-FR"/>
        </w:rPr>
        <w:t>14.</w:t>
      </w:r>
      <w:r>
        <w:rPr>
          <w:lang w:val="fr-FR"/>
        </w:rPr>
        <w:tab/>
        <w:t>S’il en a le temps, le Comité poursuivra l’examen de questions relatives au respect des dispositions de la Convention et du Protocole par</w:t>
      </w:r>
      <w:r w:rsidR="00732AC6">
        <w:rPr>
          <w:lang w:val="fr-FR"/>
        </w:rPr>
        <w:t> :</w:t>
      </w:r>
    </w:p>
    <w:p w14:paraId="59541E4E" w14:textId="2139A55C" w:rsidR="00E53EAE" w:rsidRPr="003A61FF" w:rsidRDefault="00E53EAE" w:rsidP="00E53EAE">
      <w:pPr>
        <w:pStyle w:val="SingleTxtG"/>
        <w:ind w:firstLine="567"/>
        <w:rPr>
          <w:lang w:val="fr-FR"/>
        </w:rPr>
      </w:pPr>
      <w:r>
        <w:rPr>
          <w:lang w:val="fr-FR"/>
        </w:rPr>
        <w:t>a)</w:t>
      </w:r>
      <w:r>
        <w:rPr>
          <w:lang w:val="fr-FR"/>
        </w:rPr>
        <w:tab/>
        <w:t>Le Kirghizistan, comme suite au sixième examen de l’application de la Convention</w:t>
      </w:r>
      <w:r w:rsidRPr="009F3568">
        <w:rPr>
          <w:rStyle w:val="Appelnotedebasdep"/>
        </w:rPr>
        <w:footnoteReference w:id="9"/>
      </w:r>
      <w:r w:rsidR="00CB2C51">
        <w:rPr>
          <w:lang w:val="fr-FR"/>
        </w:rPr>
        <w:t> ;</w:t>
      </w:r>
    </w:p>
    <w:p w14:paraId="0B1B7978" w14:textId="222763C8" w:rsidR="00E53EAE" w:rsidRPr="003A61FF" w:rsidRDefault="00E53EAE" w:rsidP="00E53EAE">
      <w:pPr>
        <w:pStyle w:val="SingleTxtG"/>
        <w:ind w:firstLine="567"/>
        <w:rPr>
          <w:lang w:val="fr-FR"/>
        </w:rPr>
      </w:pPr>
      <w:r>
        <w:rPr>
          <w:lang w:val="fr-FR"/>
        </w:rPr>
        <w:t>b)</w:t>
      </w:r>
      <w:r>
        <w:rPr>
          <w:lang w:val="fr-FR"/>
        </w:rPr>
        <w:tab/>
        <w:t>La Serbie, comme suite au deuxième examen de l’application du Protocole</w:t>
      </w:r>
      <w:r w:rsidRPr="009F3568">
        <w:rPr>
          <w:rStyle w:val="Appelnotedebasdep"/>
        </w:rPr>
        <w:footnoteReference w:id="10"/>
      </w:r>
      <w:r w:rsidR="00CB2C51">
        <w:rPr>
          <w:lang w:val="fr-FR"/>
        </w:rPr>
        <w:t> ;</w:t>
      </w:r>
      <w:r>
        <w:rPr>
          <w:lang w:val="fr-FR"/>
        </w:rPr>
        <w:t xml:space="preserve"> </w:t>
      </w:r>
    </w:p>
    <w:p w14:paraId="380FAFFC" w14:textId="77777777" w:rsidR="00E53EAE" w:rsidRPr="003A61FF" w:rsidRDefault="00E53EAE" w:rsidP="00E53EAE">
      <w:pPr>
        <w:pStyle w:val="SingleTxtG"/>
        <w:ind w:firstLine="567"/>
        <w:rPr>
          <w:lang w:val="fr-FR"/>
        </w:rPr>
      </w:pPr>
      <w:r>
        <w:rPr>
          <w:lang w:val="fr-FR"/>
        </w:rPr>
        <w:t>c)</w:t>
      </w:r>
      <w:r>
        <w:rPr>
          <w:lang w:val="fr-FR"/>
        </w:rPr>
        <w:tab/>
        <w:t>La Macédoine du Nord, comme suite au troisième examen de l’application du Protocole</w:t>
      </w:r>
      <w:r w:rsidRPr="009F3568">
        <w:rPr>
          <w:rStyle w:val="Appelnotedebasdep"/>
        </w:rPr>
        <w:footnoteReference w:id="11"/>
      </w:r>
      <w:r>
        <w:rPr>
          <w:lang w:val="fr-FR"/>
        </w:rPr>
        <w:t>.</w:t>
      </w:r>
    </w:p>
    <w:p w14:paraId="4CDF23A6" w14:textId="77777777" w:rsidR="00E53EAE" w:rsidRPr="003A61FF" w:rsidRDefault="00E53EAE" w:rsidP="00E53EAE">
      <w:pPr>
        <w:pStyle w:val="H1G"/>
        <w:rPr>
          <w:lang w:val="fr-FR"/>
        </w:rPr>
      </w:pPr>
      <w:r>
        <w:rPr>
          <w:bCs/>
          <w:lang w:val="fr-FR"/>
        </w:rPr>
        <w:tab/>
        <w:t>8.</w:t>
      </w:r>
      <w:r>
        <w:rPr>
          <w:lang w:val="fr-FR"/>
        </w:rPr>
        <w:tab/>
      </w:r>
      <w:r>
        <w:rPr>
          <w:bCs/>
          <w:lang w:val="fr-FR"/>
        </w:rPr>
        <w:t>Questions diverses</w:t>
      </w:r>
    </w:p>
    <w:p w14:paraId="27676DA0" w14:textId="77777777" w:rsidR="00E53EAE" w:rsidRPr="003A61FF" w:rsidRDefault="00E53EAE" w:rsidP="00E53EAE">
      <w:pPr>
        <w:pStyle w:val="SingleTxtG"/>
        <w:rPr>
          <w:lang w:val="fr-FR"/>
        </w:rPr>
      </w:pPr>
      <w:r>
        <w:rPr>
          <w:lang w:val="fr-FR"/>
        </w:rPr>
        <w:t>15.</w:t>
      </w:r>
      <w:r>
        <w:rPr>
          <w:lang w:val="fr-FR"/>
        </w:rPr>
        <w:tab/>
        <w:t>Les membres du Comité qui souhaitent soulever d’autres questions devraient contacter le secrétariat dès que possible.</w:t>
      </w:r>
    </w:p>
    <w:p w14:paraId="45E55031" w14:textId="77777777" w:rsidR="00E53EAE" w:rsidRPr="003A61FF" w:rsidRDefault="00E53EAE" w:rsidP="00E53EAE">
      <w:pPr>
        <w:pStyle w:val="H1G"/>
        <w:rPr>
          <w:lang w:val="fr-FR"/>
        </w:rPr>
      </w:pPr>
      <w:r>
        <w:rPr>
          <w:bCs/>
          <w:lang w:val="fr-FR"/>
        </w:rPr>
        <w:tab/>
        <w:t>9.</w:t>
      </w:r>
      <w:r>
        <w:rPr>
          <w:lang w:val="fr-FR"/>
        </w:rPr>
        <w:tab/>
      </w:r>
      <w:r>
        <w:rPr>
          <w:bCs/>
          <w:lang w:val="fr-FR"/>
        </w:rPr>
        <w:t>Présentation des principales décisions prises et clôture de la session</w:t>
      </w:r>
    </w:p>
    <w:p w14:paraId="5C0DC633" w14:textId="09424311" w:rsidR="005F26E5" w:rsidRDefault="00E53EAE" w:rsidP="00E53EAE">
      <w:pPr>
        <w:pStyle w:val="SingleTxtG"/>
        <w:rPr>
          <w:lang w:val="fr-FR"/>
        </w:rPr>
      </w:pPr>
      <w:r>
        <w:rPr>
          <w:lang w:val="fr-FR"/>
        </w:rPr>
        <w:t>16.</w:t>
      </w:r>
      <w:r>
        <w:rPr>
          <w:lang w:val="fr-FR"/>
        </w:rPr>
        <w:tab/>
        <w:t>Le Comité devrait approuver les principales décisions prises au cours de la session et confirmer la date et le lieu de sa prochaine session avant que le/la Président(e) ne prononce officiellement la clôture de la session.</w:t>
      </w:r>
    </w:p>
    <w:p w14:paraId="7A631542" w14:textId="46338B79" w:rsidR="00E53EAE" w:rsidRPr="00E53EAE" w:rsidRDefault="00E53EAE" w:rsidP="00E53EAE">
      <w:pPr>
        <w:pStyle w:val="SingleTxtG"/>
        <w:spacing w:before="240" w:after="0"/>
        <w:jc w:val="center"/>
        <w:rPr>
          <w:u w:val="single"/>
        </w:rPr>
      </w:pPr>
      <w:r>
        <w:rPr>
          <w:u w:val="single"/>
        </w:rPr>
        <w:tab/>
      </w:r>
      <w:r>
        <w:rPr>
          <w:u w:val="single"/>
        </w:rPr>
        <w:tab/>
      </w:r>
      <w:r>
        <w:rPr>
          <w:u w:val="single"/>
        </w:rPr>
        <w:tab/>
      </w:r>
    </w:p>
    <w:sectPr w:rsidR="00E53EAE" w:rsidRPr="00E53EAE" w:rsidSect="00E53E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A5833" w14:textId="77777777" w:rsidR="00D60E6D" w:rsidRDefault="00D60E6D" w:rsidP="00F95C08">
      <w:pPr>
        <w:spacing w:line="240" w:lineRule="auto"/>
      </w:pPr>
    </w:p>
  </w:endnote>
  <w:endnote w:type="continuationSeparator" w:id="0">
    <w:p w14:paraId="4098FEE5" w14:textId="77777777" w:rsidR="00D60E6D" w:rsidRPr="00AC3823" w:rsidRDefault="00D60E6D" w:rsidP="00AC3823">
      <w:pPr>
        <w:pStyle w:val="Pieddepage"/>
      </w:pPr>
    </w:p>
  </w:endnote>
  <w:endnote w:type="continuationNotice" w:id="1">
    <w:p w14:paraId="273B4878" w14:textId="77777777" w:rsidR="00D60E6D" w:rsidRDefault="00D60E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D7BB7" w14:textId="1F269DAF" w:rsidR="00E53EAE" w:rsidRPr="00E53EAE" w:rsidRDefault="00E53EAE" w:rsidP="00E53EAE">
    <w:pPr>
      <w:pStyle w:val="Pieddepage"/>
      <w:tabs>
        <w:tab w:val="right" w:pos="9638"/>
      </w:tabs>
    </w:pPr>
    <w:r w:rsidRPr="00E53EAE">
      <w:rPr>
        <w:b/>
        <w:sz w:val="18"/>
      </w:rPr>
      <w:fldChar w:fldCharType="begin"/>
    </w:r>
    <w:r w:rsidRPr="00E53EAE">
      <w:rPr>
        <w:b/>
        <w:sz w:val="18"/>
      </w:rPr>
      <w:instrText xml:space="preserve"> PAGE  \* MERGEFORMAT </w:instrText>
    </w:r>
    <w:r w:rsidRPr="00E53EAE">
      <w:rPr>
        <w:b/>
        <w:sz w:val="18"/>
      </w:rPr>
      <w:fldChar w:fldCharType="separate"/>
    </w:r>
    <w:r w:rsidRPr="00E53EAE">
      <w:rPr>
        <w:b/>
        <w:noProof/>
        <w:sz w:val="18"/>
      </w:rPr>
      <w:t>2</w:t>
    </w:r>
    <w:r w:rsidRPr="00E53EAE">
      <w:rPr>
        <w:b/>
        <w:sz w:val="18"/>
      </w:rPr>
      <w:fldChar w:fldCharType="end"/>
    </w:r>
    <w:r>
      <w:rPr>
        <w:b/>
        <w:sz w:val="18"/>
      </w:rPr>
      <w:tab/>
    </w:r>
    <w:r>
      <w:t>GE.24-06704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E6429" w14:textId="411402E6" w:rsidR="00E53EAE" w:rsidRPr="00E53EAE" w:rsidRDefault="00E53EAE" w:rsidP="00E53EAE">
    <w:pPr>
      <w:pStyle w:val="Pieddepage"/>
      <w:tabs>
        <w:tab w:val="right" w:pos="9638"/>
      </w:tabs>
      <w:rPr>
        <w:b/>
        <w:sz w:val="18"/>
      </w:rPr>
    </w:pPr>
    <w:r>
      <w:t>GE.24-06704</w:t>
    </w:r>
    <w:r>
      <w:tab/>
    </w:r>
    <w:r w:rsidRPr="00E53EAE">
      <w:rPr>
        <w:b/>
        <w:sz w:val="18"/>
      </w:rPr>
      <w:fldChar w:fldCharType="begin"/>
    </w:r>
    <w:r w:rsidRPr="00E53EAE">
      <w:rPr>
        <w:b/>
        <w:sz w:val="18"/>
      </w:rPr>
      <w:instrText xml:space="preserve"> PAGE  \* MERGEFORMAT </w:instrText>
    </w:r>
    <w:r w:rsidRPr="00E53EAE">
      <w:rPr>
        <w:b/>
        <w:sz w:val="18"/>
      </w:rPr>
      <w:fldChar w:fldCharType="separate"/>
    </w:r>
    <w:r w:rsidRPr="00E53EAE">
      <w:rPr>
        <w:b/>
        <w:noProof/>
        <w:sz w:val="18"/>
      </w:rPr>
      <w:t>3</w:t>
    </w:r>
    <w:r w:rsidRPr="00E53E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53CDE" w14:textId="474CC4C1" w:rsidR="00A14420" w:rsidRPr="00E53EAE" w:rsidRDefault="00E53EAE" w:rsidP="00E53EA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B22B6B0" wp14:editId="1C7FB7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24-06704  (F)</w:t>
    </w:r>
    <w:r>
      <w:rPr>
        <w:noProof/>
        <w:sz w:val="20"/>
      </w:rPr>
      <w:drawing>
        <wp:anchor distT="0" distB="0" distL="114300" distR="114300" simplePos="0" relativeHeight="251660288" behindDoc="0" locked="0" layoutInCell="1" allowOverlap="1" wp14:anchorId="462FA4B6" wp14:editId="153BFC00">
          <wp:simplePos x="0" y="0"/>
          <wp:positionH relativeFrom="margin">
            <wp:posOffset>5489575</wp:posOffset>
          </wp:positionH>
          <wp:positionV relativeFrom="margin">
            <wp:posOffset>8891905</wp:posOffset>
          </wp:positionV>
          <wp:extent cx="628650" cy="628650"/>
          <wp:effectExtent l="0" t="0" r="0" b="0"/>
          <wp:wrapNone/>
          <wp:docPr id="17806422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140524    140524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62B07" w14:textId="77777777" w:rsidR="00D60E6D" w:rsidRPr="00AC3823" w:rsidRDefault="00D60E6D" w:rsidP="00AC3823">
      <w:pPr>
        <w:pStyle w:val="Pieddepage"/>
        <w:tabs>
          <w:tab w:val="right" w:pos="2155"/>
        </w:tabs>
        <w:spacing w:after="80" w:line="240" w:lineRule="atLeast"/>
        <w:ind w:left="680"/>
        <w:rPr>
          <w:u w:val="single"/>
        </w:rPr>
      </w:pPr>
      <w:r>
        <w:rPr>
          <w:u w:val="single"/>
        </w:rPr>
        <w:tab/>
      </w:r>
    </w:p>
  </w:footnote>
  <w:footnote w:type="continuationSeparator" w:id="0">
    <w:p w14:paraId="790586A2" w14:textId="77777777" w:rsidR="00D60E6D" w:rsidRPr="00AC3823" w:rsidRDefault="00D60E6D" w:rsidP="00AC3823">
      <w:pPr>
        <w:pStyle w:val="Pieddepage"/>
        <w:tabs>
          <w:tab w:val="right" w:pos="2155"/>
        </w:tabs>
        <w:spacing w:after="80" w:line="240" w:lineRule="atLeast"/>
        <w:ind w:left="680"/>
        <w:rPr>
          <w:u w:val="single"/>
        </w:rPr>
      </w:pPr>
      <w:r>
        <w:rPr>
          <w:u w:val="single"/>
        </w:rPr>
        <w:tab/>
      </w:r>
    </w:p>
  </w:footnote>
  <w:footnote w:type="continuationNotice" w:id="1">
    <w:p w14:paraId="0F7F98D7" w14:textId="77777777" w:rsidR="00D60E6D" w:rsidRPr="00AC3823" w:rsidRDefault="00D60E6D">
      <w:pPr>
        <w:spacing w:line="240" w:lineRule="auto"/>
        <w:rPr>
          <w:sz w:val="2"/>
          <w:szCs w:val="2"/>
        </w:rPr>
      </w:pPr>
    </w:p>
  </w:footnote>
  <w:footnote w:id="2">
    <w:p w14:paraId="4E139FCB" w14:textId="77777777" w:rsidR="00E53EAE" w:rsidRPr="003A61FF" w:rsidRDefault="00E53EAE" w:rsidP="00E53EAE">
      <w:pPr>
        <w:pStyle w:val="Notedebasdepage"/>
        <w:rPr>
          <w:lang w:val="fr-FR"/>
        </w:rPr>
      </w:pPr>
      <w:r>
        <w:rPr>
          <w:lang w:val="fr-FR"/>
        </w:rPr>
        <w:tab/>
      </w:r>
      <w:r w:rsidRPr="00CB2C51">
        <w:rPr>
          <w:sz w:val="20"/>
          <w:lang w:val="fr-FR"/>
        </w:rPr>
        <w:t>*</w:t>
      </w:r>
      <w:r>
        <w:rPr>
          <w:lang w:val="fr-FR"/>
        </w:rPr>
        <w:tab/>
        <w:t>La version originale du présent rapport a été soumise aux services de conférence après la date prévue pour que l’information la plus récente puisse y figurer.</w:t>
      </w:r>
    </w:p>
    <w:p w14:paraId="61E6068F" w14:textId="12B64EAA" w:rsidR="00E53EAE" w:rsidRPr="003A61FF" w:rsidRDefault="00E53EAE" w:rsidP="00E53EAE">
      <w:pPr>
        <w:pStyle w:val="Notedebasdepage"/>
        <w:rPr>
          <w:bCs/>
          <w:sz w:val="20"/>
          <w:lang w:val="fr-FR"/>
        </w:rPr>
      </w:pPr>
      <w:r>
        <w:rPr>
          <w:lang w:val="fr-FR"/>
        </w:rPr>
        <w:tab/>
      </w:r>
      <w:r w:rsidRPr="00CB2C51">
        <w:rPr>
          <w:sz w:val="20"/>
          <w:lang w:val="fr-FR"/>
        </w:rPr>
        <w:t>**</w:t>
      </w:r>
      <w:r>
        <w:rPr>
          <w:lang w:val="fr-FR"/>
        </w:rPr>
        <w:tab/>
        <w:t xml:space="preserve">Les membres du Comité sont priés de s’inscrire en ligne au moins deux semaines avant le début de la session, c’est-à-dire au plus tard le </w:t>
      </w:r>
      <w:r>
        <w:rPr>
          <w:b/>
          <w:bCs/>
          <w:lang w:val="fr-FR"/>
        </w:rPr>
        <w:t>4 juin 2024</w:t>
      </w:r>
      <w:r>
        <w:rPr>
          <w:lang w:val="fr-FR"/>
        </w:rPr>
        <w:t xml:space="preserve">, à l’adresse </w:t>
      </w:r>
      <w:hyperlink r:id="rId1" w:history="1">
        <w:r w:rsidRPr="00CB2C51">
          <w:rPr>
            <w:rStyle w:val="Lienhypertexte"/>
            <w:lang w:val="fr-FR"/>
          </w:rPr>
          <w:t>https://indico.un.org/event/1007</w:t>
        </w:r>
        <w:r w:rsidRPr="00CB2C51">
          <w:rPr>
            <w:rStyle w:val="Lienhypertexte"/>
            <w:lang w:val="fr-FR"/>
          </w:rPr>
          <w:t>1</w:t>
        </w:r>
        <w:r w:rsidRPr="00CB2C51">
          <w:rPr>
            <w:rStyle w:val="Lienhypertexte"/>
            <w:lang w:val="fr-FR"/>
          </w:rPr>
          <w:t>65/</w:t>
        </w:r>
      </w:hyperlink>
      <w:r>
        <w:rPr>
          <w:lang w:val="fr-FR"/>
        </w:rPr>
        <w:t xml:space="preserve"> (il est recommandé d’utiliser le navigateur Internet Explorer). En cas de difficulté avec l’inscription, veuillez contacter le secrétariat par courrier électronique (</w:t>
      </w:r>
      <w:hyperlink r:id="rId2" w:history="1">
        <w:r w:rsidR="00CB2C51" w:rsidRPr="00CB2C51">
          <w:rPr>
            <w:rStyle w:val="Lienhypertexte"/>
            <w:color w:val="auto"/>
            <w:lang w:val="fr-FR"/>
          </w:rPr>
          <w:t>eia.conv@un.org</w:t>
        </w:r>
      </w:hyperlink>
      <w:r w:rsidR="00CB2C51">
        <w:rPr>
          <w:lang w:val="fr-FR"/>
        </w:rPr>
        <w:t> ;</w:t>
      </w:r>
      <w:r>
        <w:rPr>
          <w:lang w:val="fr-FR"/>
        </w:rPr>
        <w:t xml:space="preserve"> </w:t>
      </w:r>
      <w:hyperlink r:id="rId3" w:history="1">
        <w:r w:rsidR="00CB2C51" w:rsidRPr="00CB2C51">
          <w:rPr>
            <w:rStyle w:val="Lienhypertexte"/>
            <w:color w:val="auto"/>
            <w:lang w:val="fr-FR"/>
          </w:rPr>
          <w:t>maricar.delacruz@un.org</w:t>
        </w:r>
      </w:hyperlink>
      <w:r>
        <w:rPr>
          <w:lang w:val="fr-FR"/>
        </w:rPr>
        <w:t>).</w:t>
      </w:r>
    </w:p>
  </w:footnote>
  <w:footnote w:id="3">
    <w:p w14:paraId="509697A8" w14:textId="77777777" w:rsidR="00E53EAE" w:rsidRPr="003A61FF" w:rsidRDefault="00E53EAE" w:rsidP="00E53EAE">
      <w:pPr>
        <w:pStyle w:val="Notedebasdepage"/>
        <w:rPr>
          <w:lang w:val="fr-FR"/>
        </w:rPr>
      </w:pPr>
      <w:r>
        <w:rPr>
          <w:lang w:val="fr-FR"/>
        </w:rPr>
        <w:tab/>
      </w:r>
      <w:r w:rsidRPr="009F3568">
        <w:rPr>
          <w:rStyle w:val="Appelnotedebasdep"/>
        </w:rPr>
        <w:footnoteRef/>
      </w:r>
      <w:r>
        <w:rPr>
          <w:lang w:val="fr-FR"/>
        </w:rPr>
        <w:tab/>
        <w:t xml:space="preserve">Qui a assumé ces fonctions jusqu’à la neuvième session de la Réunion des Parties à la Convention et à la cinquième session de la Réunion des Parties à la Convention agissant comme réunion des Parties au Protocole. </w:t>
      </w:r>
    </w:p>
  </w:footnote>
  <w:footnote w:id="4">
    <w:p w14:paraId="3C44DD9A" w14:textId="3BC11E8F" w:rsidR="00E53EAE" w:rsidRPr="003A61FF" w:rsidRDefault="00E53EAE" w:rsidP="00E53EAE">
      <w:pPr>
        <w:pStyle w:val="Notedebasdepage"/>
        <w:rPr>
          <w:lang w:val="fr-FR"/>
        </w:rPr>
      </w:pPr>
      <w:r w:rsidRPr="009670D8">
        <w:rPr>
          <w:lang w:val="fr-FR"/>
        </w:rPr>
        <w:tab/>
      </w:r>
      <w:r w:rsidRPr="009F3568">
        <w:rPr>
          <w:rStyle w:val="Appelnotedebasdep"/>
        </w:rPr>
        <w:footnoteRef/>
      </w:r>
      <w:r>
        <w:rPr>
          <w:lang w:val="fr-FR"/>
        </w:rPr>
        <w:tab/>
        <w:t>La Réunion des Parties à la Convention a adopté le Règlement intérieur du Comité par la décision IV/2, annexe IV (ECE/MP.EIA/10), et l’a modifié par les décisions V/4, annexe (ECE/MP.EIA/15), VI/2, annexe II (ECE/MP.EIA/20/Add.1</w:t>
      </w:r>
      <w:r w:rsidR="00CB2C51">
        <w:rPr>
          <w:lang w:val="fr-FR"/>
        </w:rPr>
        <w:t>-</w:t>
      </w:r>
      <w:r>
        <w:rPr>
          <w:lang w:val="fr-FR"/>
        </w:rPr>
        <w:t>ECE/MP.EIA/SEA/4/Add.1), IX/4 (ECE/MP.EIA/2023/6) et V/4 (ECE/MP.EIA/SEA/2023/7).</w:t>
      </w:r>
    </w:p>
  </w:footnote>
  <w:footnote w:id="5">
    <w:p w14:paraId="38F6210E" w14:textId="77777777" w:rsidR="00E53EAE" w:rsidRPr="003A61FF" w:rsidRDefault="00E53EAE" w:rsidP="00E53EAE">
      <w:pPr>
        <w:pStyle w:val="Notedebasdepage"/>
        <w:rPr>
          <w:lang w:val="fr-FR"/>
        </w:rPr>
      </w:pPr>
      <w:r w:rsidRPr="003D0F7B">
        <w:rPr>
          <w:lang w:val="fr-FR"/>
        </w:rPr>
        <w:tab/>
      </w:r>
      <w:r w:rsidRPr="009F3568">
        <w:rPr>
          <w:rStyle w:val="Appelnotedebasdep"/>
        </w:rPr>
        <w:footnoteRef/>
      </w:r>
      <w:r>
        <w:rPr>
          <w:lang w:val="fr-FR"/>
        </w:rPr>
        <w:t xml:space="preserve"> </w:t>
      </w:r>
      <w:r>
        <w:rPr>
          <w:lang w:val="fr-FR"/>
        </w:rPr>
        <w:tab/>
        <w:t>ECE/MP.EIA/IC/2024/8, par. 5 à 7.</w:t>
      </w:r>
    </w:p>
  </w:footnote>
  <w:footnote w:id="6">
    <w:p w14:paraId="555EF432" w14:textId="77777777" w:rsidR="00E53EAE" w:rsidRPr="003A61FF" w:rsidRDefault="00E53EAE" w:rsidP="00E53EAE">
      <w:pPr>
        <w:pStyle w:val="Notedebasdepage"/>
        <w:rPr>
          <w:lang w:val="fr-FR"/>
        </w:rPr>
      </w:pPr>
      <w:r w:rsidRPr="003D0F7B">
        <w:rPr>
          <w:lang w:val="fr-FR"/>
        </w:rPr>
        <w:tab/>
      </w:r>
      <w:r w:rsidRPr="009F3568">
        <w:rPr>
          <w:rStyle w:val="Appelnotedebasdep"/>
        </w:rPr>
        <w:footnoteRef/>
      </w:r>
      <w:r>
        <w:rPr>
          <w:lang w:val="fr-FR"/>
        </w:rPr>
        <w:tab/>
        <w:t>ECE/MP.EIA/IC/2023/8, par. 49 à 69.</w:t>
      </w:r>
    </w:p>
  </w:footnote>
  <w:footnote w:id="7">
    <w:p w14:paraId="36CB0166" w14:textId="77777777" w:rsidR="00E53EAE" w:rsidRPr="003A61FF" w:rsidRDefault="00E53EAE" w:rsidP="00E53EAE">
      <w:pPr>
        <w:pStyle w:val="Notedebasdepage"/>
        <w:rPr>
          <w:lang w:val="fr-FR"/>
        </w:rPr>
      </w:pPr>
      <w:r w:rsidRPr="003D0F7B">
        <w:rPr>
          <w:lang w:val="fr-FR"/>
        </w:rPr>
        <w:tab/>
      </w:r>
      <w:r w:rsidRPr="009F3568">
        <w:rPr>
          <w:rStyle w:val="Appelnotedebasdep"/>
        </w:rPr>
        <w:footnoteRef/>
      </w:r>
      <w:r>
        <w:rPr>
          <w:lang w:val="fr-FR"/>
        </w:rPr>
        <w:tab/>
        <w:t>ECE/MP.EIA/IC/2024/2, par. 41 à 44.</w:t>
      </w:r>
    </w:p>
  </w:footnote>
  <w:footnote w:id="8">
    <w:p w14:paraId="25017ABA" w14:textId="122A7F1C" w:rsidR="00E53EAE" w:rsidRPr="003A61FF" w:rsidRDefault="00E53EAE" w:rsidP="00E53EAE">
      <w:pPr>
        <w:pStyle w:val="Notedebasdepage"/>
        <w:rPr>
          <w:lang w:val="fr-FR"/>
        </w:rPr>
      </w:pPr>
      <w:r w:rsidRPr="00D26384">
        <w:rPr>
          <w:lang w:val="fr-FR"/>
        </w:rPr>
        <w:tab/>
      </w:r>
      <w:r w:rsidRPr="009F3568">
        <w:rPr>
          <w:rStyle w:val="Appelnotedebasdep"/>
        </w:rPr>
        <w:footnoteRef/>
      </w:r>
      <w:r>
        <w:rPr>
          <w:lang w:val="fr-FR"/>
        </w:rPr>
        <w:tab/>
        <w:t>Ce document informel a été soumis au Groupe de travail de l’évaluation de l’impact sur l’environnement et de l’évaluation stratégique environnementale à sa onzième réunion (Genève, 19</w:t>
      </w:r>
      <w:r w:rsidR="00732AC6">
        <w:rPr>
          <w:lang w:val="fr-FR"/>
        </w:rPr>
        <w:noBreakHyphen/>
      </w:r>
      <w:r>
        <w:rPr>
          <w:lang w:val="fr-FR"/>
        </w:rPr>
        <w:t>21 décembre 2022) et peut être consulté sur la page Web relative à ladite réunion (</w:t>
      </w:r>
      <w:hyperlink r:id="rId4" w:history="1">
        <w:r w:rsidRPr="00732AC6">
          <w:rPr>
            <w:rStyle w:val="Lienhypertexte"/>
            <w:lang w:val="fr-FR"/>
          </w:rPr>
          <w:t>https://unece.org/info/Environmental-Policy/Environmental-Impact-Assessment/events/364357</w:t>
        </w:r>
      </w:hyperlink>
      <w:r>
        <w:rPr>
          <w:lang w:val="fr-FR"/>
        </w:rPr>
        <w:t xml:space="preserve">).  </w:t>
      </w:r>
    </w:p>
  </w:footnote>
  <w:footnote w:id="9">
    <w:p w14:paraId="44CDEEC9" w14:textId="77777777" w:rsidR="00E53EAE" w:rsidRPr="003A61FF" w:rsidRDefault="00E53EAE" w:rsidP="00E53EAE">
      <w:pPr>
        <w:pStyle w:val="Notedebasdepage"/>
        <w:rPr>
          <w:lang w:val="fr-FR"/>
        </w:rPr>
      </w:pPr>
      <w:r w:rsidRPr="0066324D">
        <w:rPr>
          <w:lang w:val="fr-FR"/>
        </w:rPr>
        <w:tab/>
      </w:r>
      <w:r w:rsidRPr="009F3568">
        <w:rPr>
          <w:rStyle w:val="Appelnotedebasdep"/>
        </w:rPr>
        <w:footnoteRef/>
      </w:r>
      <w:r>
        <w:rPr>
          <w:lang w:val="fr-FR"/>
        </w:rPr>
        <w:tab/>
        <w:t>ECE/MP.EIA/2020/8, par. 15 et 16.</w:t>
      </w:r>
    </w:p>
  </w:footnote>
  <w:footnote w:id="10">
    <w:p w14:paraId="2B4E7E38" w14:textId="77777777" w:rsidR="00E53EAE" w:rsidRPr="003A61FF" w:rsidRDefault="00E53EAE" w:rsidP="00E53EAE">
      <w:pPr>
        <w:pStyle w:val="Notedebasdepage"/>
        <w:rPr>
          <w:lang w:val="es-ES"/>
        </w:rPr>
      </w:pPr>
      <w:r>
        <w:rPr>
          <w:lang w:val="fr-FR"/>
        </w:rPr>
        <w:tab/>
      </w:r>
      <w:r w:rsidRPr="009F3568">
        <w:rPr>
          <w:rStyle w:val="Appelnotedebasdep"/>
        </w:rPr>
        <w:footnoteRef/>
      </w:r>
      <w:r w:rsidRPr="003A61FF">
        <w:rPr>
          <w:lang w:val="es-ES"/>
        </w:rPr>
        <w:tab/>
        <w:t>ECE/MP.EIA/SEA/2017/9, par. 37 à 39.</w:t>
      </w:r>
    </w:p>
  </w:footnote>
  <w:footnote w:id="11">
    <w:p w14:paraId="7D4D0514" w14:textId="77777777" w:rsidR="00E53EAE" w:rsidRPr="003A61FF" w:rsidRDefault="00E53EAE" w:rsidP="00E53EAE">
      <w:pPr>
        <w:pStyle w:val="Notedebasdepage"/>
        <w:rPr>
          <w:lang w:val="es-ES"/>
        </w:rPr>
      </w:pPr>
      <w:r w:rsidRPr="003A61FF">
        <w:rPr>
          <w:lang w:val="es-ES"/>
        </w:rPr>
        <w:tab/>
      </w:r>
      <w:r w:rsidRPr="009F3568">
        <w:rPr>
          <w:rStyle w:val="Appelnotedebasdep"/>
        </w:rPr>
        <w:footnoteRef/>
      </w:r>
      <w:r w:rsidRPr="003A61FF">
        <w:rPr>
          <w:lang w:val="es-ES"/>
        </w:rPr>
        <w:tab/>
        <w:t>ECE/MP.EIA/SEA/2020/8, par.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21799" w14:textId="72783896" w:rsidR="00E53EAE" w:rsidRPr="00E53EAE" w:rsidRDefault="00E53EAE">
    <w:pPr>
      <w:pStyle w:val="En-tte"/>
    </w:pPr>
    <w:fldSimple w:instr=" TITLE  \* MERGEFORMAT ">
      <w:r>
        <w:t>ECE/MP.EIA/IC/2024/3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67E0F" w14:textId="56565EB9" w:rsidR="00E53EAE" w:rsidRPr="00E53EAE" w:rsidRDefault="00E53EAE" w:rsidP="00E53EAE">
    <w:pPr>
      <w:pStyle w:val="En-tte"/>
      <w:jc w:val="right"/>
    </w:pPr>
    <w:fldSimple w:instr=" TITLE  \* MERGEFORMAT ">
      <w:r>
        <w:t>ECE/MP.EIA/IC/2024/3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62024240">
    <w:abstractNumId w:val="12"/>
  </w:num>
  <w:num w:numId="2" w16cid:durableId="701244614">
    <w:abstractNumId w:val="11"/>
  </w:num>
  <w:num w:numId="3" w16cid:durableId="1773744541">
    <w:abstractNumId w:val="10"/>
  </w:num>
  <w:num w:numId="4" w16cid:durableId="188375527">
    <w:abstractNumId w:val="8"/>
  </w:num>
  <w:num w:numId="5" w16cid:durableId="1901862024">
    <w:abstractNumId w:val="3"/>
  </w:num>
  <w:num w:numId="6" w16cid:durableId="157040874">
    <w:abstractNumId w:val="2"/>
  </w:num>
  <w:num w:numId="7" w16cid:durableId="1235360261">
    <w:abstractNumId w:val="1"/>
  </w:num>
  <w:num w:numId="8" w16cid:durableId="1952125226">
    <w:abstractNumId w:val="0"/>
  </w:num>
  <w:num w:numId="9" w16cid:durableId="897547142">
    <w:abstractNumId w:val="9"/>
  </w:num>
  <w:num w:numId="10" w16cid:durableId="413623697">
    <w:abstractNumId w:val="7"/>
  </w:num>
  <w:num w:numId="11" w16cid:durableId="100758486">
    <w:abstractNumId w:val="6"/>
  </w:num>
  <w:num w:numId="12" w16cid:durableId="698776312">
    <w:abstractNumId w:val="5"/>
  </w:num>
  <w:num w:numId="13" w16cid:durableId="649675732">
    <w:abstractNumId w:val="4"/>
  </w:num>
  <w:num w:numId="14" w16cid:durableId="903368705">
    <w:abstractNumId w:val="12"/>
  </w:num>
  <w:num w:numId="15" w16cid:durableId="1880627249">
    <w:abstractNumId w:val="11"/>
  </w:num>
  <w:num w:numId="16" w16cid:durableId="43992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6D"/>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441C3B"/>
    <w:rsid w:val="00446FE5"/>
    <w:rsid w:val="00452396"/>
    <w:rsid w:val="004E468C"/>
    <w:rsid w:val="005505B7"/>
    <w:rsid w:val="00573BE5"/>
    <w:rsid w:val="00586ED3"/>
    <w:rsid w:val="00596AA9"/>
    <w:rsid w:val="005D6D16"/>
    <w:rsid w:val="005F26E5"/>
    <w:rsid w:val="006C0E3B"/>
    <w:rsid w:val="0071601D"/>
    <w:rsid w:val="00732AC6"/>
    <w:rsid w:val="00777EC3"/>
    <w:rsid w:val="007A5FC4"/>
    <w:rsid w:val="007A62E6"/>
    <w:rsid w:val="0080684C"/>
    <w:rsid w:val="00853BCA"/>
    <w:rsid w:val="00871C75"/>
    <w:rsid w:val="008776DC"/>
    <w:rsid w:val="008D6B3F"/>
    <w:rsid w:val="0090540F"/>
    <w:rsid w:val="009705C8"/>
    <w:rsid w:val="009C00C5"/>
    <w:rsid w:val="009C1CF4"/>
    <w:rsid w:val="00A14420"/>
    <w:rsid w:val="00A30353"/>
    <w:rsid w:val="00AC3823"/>
    <w:rsid w:val="00AE323C"/>
    <w:rsid w:val="00B00181"/>
    <w:rsid w:val="00B00B0D"/>
    <w:rsid w:val="00B61815"/>
    <w:rsid w:val="00B765F7"/>
    <w:rsid w:val="00BA0CA9"/>
    <w:rsid w:val="00C02897"/>
    <w:rsid w:val="00C554CE"/>
    <w:rsid w:val="00CB2C51"/>
    <w:rsid w:val="00CE26D2"/>
    <w:rsid w:val="00CE5AB4"/>
    <w:rsid w:val="00D3439C"/>
    <w:rsid w:val="00D42048"/>
    <w:rsid w:val="00D503D3"/>
    <w:rsid w:val="00D60E6D"/>
    <w:rsid w:val="00DB1831"/>
    <w:rsid w:val="00DD3BFD"/>
    <w:rsid w:val="00DF5712"/>
    <w:rsid w:val="00DF6678"/>
    <w:rsid w:val="00E53EAE"/>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E570"/>
  <w15:docId w15:val="{EE1C58BB-CA3E-403D-A8B8-7FC3D052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23GChar">
    <w:name w:val="_ H_2/3_G Char"/>
    <w:link w:val="H23G"/>
    <w:rsid w:val="00E53EAE"/>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E53EAE"/>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B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aricar.delacruz@un.org" TargetMode="External"/><Relationship Id="rId2" Type="http://schemas.openxmlformats.org/officeDocument/2006/relationships/hyperlink" Target="mailto:eia.conv@un.org" TargetMode="External"/><Relationship Id="rId1" Type="http://schemas.openxmlformats.org/officeDocument/2006/relationships/hyperlink" Target="https://indico.un.org/event/1007165/" TargetMode="External"/><Relationship Id="rId4" Type="http://schemas.openxmlformats.org/officeDocument/2006/relationships/hyperlink" Target="https://unece.org/info/Environmental-Policy/Environmental-Impact-Assessment/events/3643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D0490-50E5-45D7-90A4-613DA536242E}"/>
</file>

<file path=customXml/itemProps2.xml><?xml version="1.0" encoding="utf-8"?>
<ds:datastoreItem xmlns:ds="http://schemas.openxmlformats.org/officeDocument/2006/customXml" ds:itemID="{35647B21-BFE2-422D-A4FB-25F1AFBB7046}"/>
</file>

<file path=docProps/app.xml><?xml version="1.0" encoding="utf-8"?>
<Properties xmlns="http://schemas.openxmlformats.org/officeDocument/2006/extended-properties" xmlns:vt="http://schemas.openxmlformats.org/officeDocument/2006/docPropsVTypes">
  <Template>ECE_MP.dotm</Template>
  <TotalTime>0</TotalTime>
  <Pages>4</Pages>
  <Words>965</Words>
  <Characters>6662</Characters>
  <Application>Microsoft Office Word</Application>
  <DocSecurity>0</DocSecurity>
  <Lines>740</Lines>
  <Paragraphs>317</Paragraphs>
  <ScaleCrop>false</ScaleCrop>
  <HeadingPairs>
    <vt:vector size="2" baseType="variant">
      <vt:variant>
        <vt:lpstr>Titre</vt:lpstr>
      </vt:variant>
      <vt:variant>
        <vt:i4>1</vt:i4>
      </vt:variant>
    </vt:vector>
  </HeadingPairs>
  <TitlesOfParts>
    <vt:vector size="1" baseType="lpstr">
      <vt:lpstr>ECE/MP.EIA/IC/2024/3</vt:lpstr>
    </vt:vector>
  </TitlesOfParts>
  <Company>DCM</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ECE/MP.EIA/IC/2024/3</dc:title>
  <dc:subject/>
  <dc:creator>Nathalie VITTOZ</dc:creator>
  <cp:keywords/>
  <cp:lastModifiedBy>Nathalie VITTOZ</cp:lastModifiedBy>
  <cp:revision>2</cp:revision>
  <cp:lastPrinted>2014-05-14T10:59:00Z</cp:lastPrinted>
  <dcterms:created xsi:type="dcterms:W3CDTF">2024-05-14T08:43:00Z</dcterms:created>
  <dcterms:modified xsi:type="dcterms:W3CDTF">2024-05-14T08:43:00Z</dcterms:modified>
</cp:coreProperties>
</file>