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EE8B8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9D96E6" w14:textId="77777777" w:rsidR="002D5AAC" w:rsidRDefault="002D5AAC" w:rsidP="00AC6F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B2BCA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FC87B2" w14:textId="1D62C47A" w:rsidR="002D5AAC" w:rsidRDefault="00AC6F2F" w:rsidP="00AC6F2F">
            <w:pPr>
              <w:jc w:val="right"/>
            </w:pPr>
            <w:r w:rsidRPr="00AC6F2F">
              <w:rPr>
                <w:sz w:val="40"/>
              </w:rPr>
              <w:t>ECE</w:t>
            </w:r>
            <w:r>
              <w:t>/ADN/69</w:t>
            </w:r>
          </w:p>
        </w:tc>
      </w:tr>
      <w:tr w:rsidR="002D5AAC" w:rsidRPr="00CF0216" w14:paraId="2D00B27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6ADD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494C08" wp14:editId="70F69E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CEF0E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248C44" w14:textId="77777777" w:rsidR="00617B7A" w:rsidRPr="00617B7A" w:rsidRDefault="00617B7A" w:rsidP="00617B7A">
            <w:pPr>
              <w:spacing w:before="240" w:line="240" w:lineRule="exact"/>
              <w:rPr>
                <w:lang w:val="en-US"/>
              </w:rPr>
            </w:pPr>
            <w:r w:rsidRPr="00617B7A">
              <w:rPr>
                <w:lang w:val="en-US"/>
              </w:rPr>
              <w:t>Distr.: General</w:t>
            </w:r>
          </w:p>
          <w:p w14:paraId="2A25CF04" w14:textId="77777777" w:rsidR="00617B7A" w:rsidRPr="00617B7A" w:rsidRDefault="00617B7A" w:rsidP="00617B7A">
            <w:pPr>
              <w:spacing w:line="240" w:lineRule="exact"/>
              <w:rPr>
                <w:lang w:val="en-US"/>
              </w:rPr>
            </w:pPr>
            <w:r w:rsidRPr="00617B7A">
              <w:rPr>
                <w:lang w:val="en-US"/>
              </w:rPr>
              <w:t>13 February 2024</w:t>
            </w:r>
          </w:p>
          <w:p w14:paraId="07839CC8" w14:textId="39BB0C20" w:rsidR="00617B7A" w:rsidRPr="00617B7A" w:rsidRDefault="00617B7A" w:rsidP="00617B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FCCAE5" w14:textId="5F224D57" w:rsidR="00AC6F2F" w:rsidRPr="00617B7A" w:rsidRDefault="00617B7A" w:rsidP="00617B7A">
            <w:pPr>
              <w:spacing w:line="240" w:lineRule="exact"/>
              <w:rPr>
                <w:lang w:val="en-US"/>
              </w:rPr>
            </w:pPr>
            <w:r w:rsidRPr="00617B7A">
              <w:rPr>
                <w:lang w:val="en-US"/>
              </w:rPr>
              <w:t>Original: English</w:t>
            </w:r>
          </w:p>
        </w:tc>
      </w:tr>
    </w:tbl>
    <w:p w14:paraId="0ECC7CFE" w14:textId="77777777" w:rsidR="008A37C8" w:rsidRDefault="008A37C8" w:rsidP="00E51450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AFFD1D" w14:textId="7C9F2FD5" w:rsidR="00C109AD" w:rsidRPr="00E51450" w:rsidRDefault="00C109AD" w:rsidP="00C109AD">
      <w:pPr>
        <w:rPr>
          <w:b/>
          <w:sz w:val="24"/>
          <w:szCs w:val="28"/>
        </w:rPr>
      </w:pPr>
      <w:r w:rsidRPr="00E51450">
        <w:rPr>
          <w:b/>
          <w:bCs/>
          <w:sz w:val="24"/>
          <w:szCs w:val="28"/>
        </w:rPr>
        <w:t xml:space="preserve">Административный комитет </w:t>
      </w:r>
      <w:r w:rsidR="00E51450">
        <w:rPr>
          <w:b/>
          <w:bCs/>
          <w:sz w:val="24"/>
          <w:szCs w:val="28"/>
        </w:rPr>
        <w:br/>
      </w:r>
      <w:r w:rsidRPr="00E51450">
        <w:rPr>
          <w:b/>
          <w:bCs/>
          <w:sz w:val="24"/>
          <w:szCs w:val="28"/>
        </w:rPr>
        <w:t xml:space="preserve">Европейского соглашения </w:t>
      </w:r>
      <w:r w:rsidR="00E51450">
        <w:rPr>
          <w:b/>
          <w:bCs/>
          <w:sz w:val="24"/>
          <w:szCs w:val="28"/>
        </w:rPr>
        <w:br/>
      </w:r>
      <w:r w:rsidRPr="00E51450">
        <w:rPr>
          <w:b/>
          <w:bCs/>
          <w:sz w:val="24"/>
          <w:szCs w:val="28"/>
        </w:rPr>
        <w:t xml:space="preserve">о международной перевозке </w:t>
      </w:r>
      <w:r w:rsidR="00E51450">
        <w:rPr>
          <w:b/>
          <w:bCs/>
          <w:sz w:val="24"/>
          <w:szCs w:val="28"/>
        </w:rPr>
        <w:br/>
      </w:r>
      <w:r w:rsidRPr="00E51450">
        <w:rPr>
          <w:b/>
          <w:bCs/>
          <w:sz w:val="24"/>
          <w:szCs w:val="28"/>
        </w:rPr>
        <w:t xml:space="preserve">опасных грузов по внутренним </w:t>
      </w:r>
      <w:r w:rsidR="00E51450">
        <w:rPr>
          <w:b/>
          <w:bCs/>
          <w:sz w:val="24"/>
          <w:szCs w:val="28"/>
        </w:rPr>
        <w:br/>
      </w:r>
      <w:r w:rsidRPr="00E51450">
        <w:rPr>
          <w:b/>
          <w:bCs/>
          <w:sz w:val="24"/>
          <w:szCs w:val="28"/>
        </w:rPr>
        <w:t>водным путям (ВОПОГ)</w:t>
      </w:r>
    </w:p>
    <w:p w14:paraId="638E3AD8" w14:textId="77777777" w:rsidR="00C109AD" w:rsidRPr="005507EA" w:rsidRDefault="00C109AD" w:rsidP="00C109AD">
      <w:pPr>
        <w:spacing w:before="120"/>
        <w:rPr>
          <w:b/>
        </w:rPr>
      </w:pPr>
      <w:r>
        <w:rPr>
          <w:b/>
          <w:bCs/>
        </w:rPr>
        <w:t>Тридцать первая сессия</w:t>
      </w:r>
    </w:p>
    <w:p w14:paraId="62744D4E" w14:textId="77777777" w:rsidR="00C109AD" w:rsidRPr="005507EA" w:rsidRDefault="00C109AD" w:rsidP="00C109AD">
      <w:r>
        <w:t>Женева, 26 января 2024 года</w:t>
      </w:r>
    </w:p>
    <w:p w14:paraId="22C68533" w14:textId="357DA862" w:rsidR="00D94FB4" w:rsidRDefault="00C109AD" w:rsidP="00E51450">
      <w:pPr>
        <w:pStyle w:val="HChG"/>
        <w:rPr>
          <w:b w:val="0"/>
          <w:sz w:val="20"/>
        </w:rPr>
      </w:pPr>
      <w:r>
        <w:tab/>
      </w:r>
      <w:r>
        <w:tab/>
        <w:t xml:space="preserve">Доклад Административного комитета Европейского соглашения о </w:t>
      </w:r>
      <w:r w:rsidRPr="00E51450">
        <w:t>международной</w:t>
      </w:r>
      <w:r>
        <w:t xml:space="preserve"> перевозке опасных грузов по внутренним водным путям о работе его тридцать первой сессии</w:t>
      </w:r>
      <w:r w:rsidRPr="00D94FB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0B1938A" w14:textId="77777777" w:rsidR="00D94FB4" w:rsidRDefault="00D94FB4">
      <w:pPr>
        <w:suppressAutoHyphens w:val="0"/>
        <w:spacing w:line="240" w:lineRule="auto"/>
        <w:rPr>
          <w:rFonts w:eastAsia="Times New Roman" w:cs="Times New Roman"/>
          <w:szCs w:val="20"/>
          <w:lang w:eastAsia="ru-RU"/>
        </w:rPr>
      </w:pPr>
      <w:r>
        <w:rPr>
          <w:b/>
        </w:rPr>
        <w:br w:type="page"/>
      </w:r>
    </w:p>
    <w:p w14:paraId="655B6D85" w14:textId="77777777" w:rsidR="00F15344" w:rsidRDefault="00F15344" w:rsidP="00F1583A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04CBC2C8" w14:textId="7CD19807" w:rsidR="00F15344" w:rsidRPr="00C36000" w:rsidRDefault="00F15344" w:rsidP="00C36000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17FC23BD" w14:textId="4832FDC8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F33F8">
        <w:tab/>
      </w:r>
      <w:r w:rsidRPr="00F15344">
        <w:t>I.</w:t>
      </w:r>
      <w:r w:rsidRPr="00F15344">
        <w:tab/>
      </w:r>
      <w:r w:rsidR="005F33F8">
        <w:rPr>
          <w:bCs/>
        </w:rPr>
        <w:t>Участники</w:t>
      </w:r>
      <w:r w:rsidR="005F33F8" w:rsidRPr="005F33F8">
        <w:rPr>
          <w:bCs/>
        </w:rPr>
        <w:t xml:space="preserve"> </w:t>
      </w:r>
      <w:r w:rsidRPr="00F15344">
        <w:tab/>
      </w:r>
      <w:r w:rsidRPr="00F15344">
        <w:tab/>
      </w:r>
      <w:r w:rsidR="00C36000" w:rsidRPr="00F15344">
        <w:t>1–3</w:t>
      </w:r>
      <w:r w:rsidRPr="00F15344">
        <w:tab/>
        <w:t>3</w:t>
      </w:r>
    </w:p>
    <w:p w14:paraId="3EF3BC2A" w14:textId="403FF10E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5344">
        <w:tab/>
        <w:t>II.</w:t>
      </w:r>
      <w:r w:rsidRPr="00F15344">
        <w:tab/>
      </w:r>
      <w:r w:rsidR="005F33F8">
        <w:t>Утверждение повестки дня (пункт 1 повестки дня)</w:t>
      </w:r>
      <w:r w:rsidR="005F33F8" w:rsidRPr="005F33F8">
        <w:t xml:space="preserve"> </w:t>
      </w:r>
      <w:r w:rsidRPr="00F15344">
        <w:tab/>
      </w:r>
      <w:r w:rsidRPr="00F15344">
        <w:tab/>
        <w:t>4</w:t>
      </w:r>
      <w:r w:rsidRPr="00F15344">
        <w:tab/>
        <w:t>3</w:t>
      </w:r>
    </w:p>
    <w:p w14:paraId="27865B12" w14:textId="630284C5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5344">
        <w:tab/>
        <w:t>III.</w:t>
      </w:r>
      <w:r w:rsidRPr="00F15344">
        <w:tab/>
      </w:r>
      <w:r w:rsidR="005F33F8">
        <w:t>Выборы должностных лиц на 2024 год (пункт 2 повестки дня)</w:t>
      </w:r>
      <w:r w:rsidR="005F33F8" w:rsidRPr="005F33F8">
        <w:t xml:space="preserve"> </w:t>
      </w:r>
      <w:r w:rsidRPr="00F15344">
        <w:tab/>
      </w:r>
      <w:r w:rsidRPr="00F15344">
        <w:tab/>
        <w:t>5</w:t>
      </w:r>
      <w:r w:rsidRPr="00F15344">
        <w:tab/>
        <w:t>3</w:t>
      </w:r>
    </w:p>
    <w:p w14:paraId="686083C6" w14:textId="5F4FF02F" w:rsidR="00F15344" w:rsidRPr="005F33F8" w:rsidRDefault="00F15344" w:rsidP="005F33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F15344">
        <w:tab/>
      </w:r>
      <w:r w:rsidRPr="00C36000">
        <w:rPr>
          <w:lang w:val="en-US"/>
        </w:rPr>
        <w:t>IV</w:t>
      </w:r>
      <w:r w:rsidRPr="005F33F8">
        <w:t>.</w:t>
      </w:r>
      <w:r w:rsidRPr="005F33F8">
        <w:tab/>
      </w:r>
      <w:r w:rsidR="005F33F8">
        <w:rPr>
          <w:bCs/>
        </w:rPr>
        <w:t xml:space="preserve">Состояние Европейского соглашения о международной перевозке опасных </w:t>
      </w:r>
      <w:r w:rsidR="005F33F8">
        <w:rPr>
          <w:bCs/>
        </w:rPr>
        <w:br/>
        <w:t>грузов по внутренним водным путям (ВОПОГ) (пункт 3 повестки дня)</w:t>
      </w:r>
      <w:r w:rsidR="005F33F8" w:rsidRPr="005F33F8">
        <w:rPr>
          <w:bCs/>
        </w:rPr>
        <w:t xml:space="preserve"> </w:t>
      </w:r>
      <w:r w:rsidRPr="005F33F8">
        <w:tab/>
      </w:r>
      <w:r w:rsidRPr="005F33F8">
        <w:tab/>
        <w:t>6</w:t>
      </w:r>
      <w:r w:rsidR="00C36000" w:rsidRPr="005F33F8">
        <w:t>–</w:t>
      </w:r>
      <w:r w:rsidRPr="005F33F8">
        <w:t>7</w:t>
      </w:r>
      <w:r w:rsidRPr="005F33F8">
        <w:tab/>
        <w:t>3</w:t>
      </w:r>
    </w:p>
    <w:p w14:paraId="59AC32A6" w14:textId="1DCB9133" w:rsidR="00F15344" w:rsidRPr="005F33F8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F33F8">
        <w:tab/>
      </w:r>
      <w:r w:rsidRPr="00C36000">
        <w:rPr>
          <w:lang w:val="en-US"/>
        </w:rPr>
        <w:t>V</w:t>
      </w:r>
      <w:r w:rsidRPr="005F33F8">
        <w:t>.</w:t>
      </w:r>
      <w:r w:rsidRPr="005F33F8">
        <w:tab/>
      </w:r>
      <w:r w:rsidR="005F33F8">
        <w:rPr>
          <w:bCs/>
        </w:rPr>
        <w:t>Вопросы, относящиеся к осуществлению ВОПОГ (пункт 4 повестки дня)</w:t>
      </w:r>
      <w:r w:rsidR="005F33F8" w:rsidRPr="005F33F8">
        <w:rPr>
          <w:bCs/>
        </w:rPr>
        <w:t xml:space="preserve"> </w:t>
      </w:r>
      <w:r w:rsidRPr="005F33F8">
        <w:tab/>
      </w:r>
      <w:r w:rsidRPr="005F33F8">
        <w:tab/>
        <w:t>8</w:t>
      </w:r>
      <w:r w:rsidR="00C36000" w:rsidRPr="005F33F8">
        <w:t>–</w:t>
      </w:r>
      <w:r w:rsidRPr="005F33F8">
        <w:t>20</w:t>
      </w:r>
      <w:r w:rsidRPr="005F33F8">
        <w:tab/>
        <w:t>3</w:t>
      </w:r>
    </w:p>
    <w:p w14:paraId="3E1FDD7A" w14:textId="6ED30C92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F33F8">
        <w:tab/>
      </w:r>
      <w:r w:rsidRPr="005F33F8">
        <w:tab/>
      </w:r>
      <w:r w:rsidRPr="00F15344">
        <w:t>A.</w:t>
      </w:r>
      <w:r w:rsidRPr="00F15344">
        <w:tab/>
      </w:r>
      <w:r w:rsidR="005F33F8">
        <w:t>Классификационные общества</w:t>
      </w:r>
      <w:r w:rsidR="005F33F8" w:rsidRPr="005F33F8">
        <w:t xml:space="preserve"> </w:t>
      </w:r>
      <w:r w:rsidRPr="00F15344">
        <w:tab/>
      </w:r>
      <w:r w:rsidRPr="00F15344">
        <w:tab/>
        <w:t>8</w:t>
      </w:r>
      <w:r w:rsidRPr="00F15344">
        <w:tab/>
        <w:t>3</w:t>
      </w:r>
    </w:p>
    <w:p w14:paraId="67805C9F" w14:textId="15F87799" w:rsidR="00F15344" w:rsidRPr="005F33F8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5344">
        <w:tab/>
      </w:r>
      <w:r w:rsidRPr="00F15344">
        <w:tab/>
      </w:r>
      <w:r w:rsidRPr="00C36000">
        <w:rPr>
          <w:lang w:val="en-US"/>
        </w:rPr>
        <w:t>B</w:t>
      </w:r>
      <w:r w:rsidRPr="005F33F8">
        <w:t>.</w:t>
      </w:r>
      <w:r w:rsidRPr="005F33F8">
        <w:tab/>
      </w:r>
      <w:r w:rsidR="005F33F8">
        <w:t>Специальные разрешения, отступления и эквивалентные аналоги</w:t>
      </w:r>
      <w:r w:rsidR="005F33F8" w:rsidRPr="005F33F8">
        <w:t xml:space="preserve"> </w:t>
      </w:r>
      <w:r w:rsidRPr="005F33F8">
        <w:tab/>
      </w:r>
      <w:r w:rsidRPr="005F33F8">
        <w:tab/>
        <w:t>9</w:t>
      </w:r>
      <w:r w:rsidR="00C36000" w:rsidRPr="005F33F8">
        <w:t>–</w:t>
      </w:r>
      <w:r w:rsidRPr="005F33F8">
        <w:t>10</w:t>
      </w:r>
      <w:r w:rsidRPr="005F33F8">
        <w:tab/>
        <w:t>4</w:t>
      </w:r>
    </w:p>
    <w:p w14:paraId="426E2EA8" w14:textId="11B2C1C3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F33F8">
        <w:tab/>
      </w:r>
      <w:r w:rsidRPr="005F33F8">
        <w:tab/>
      </w:r>
      <w:r w:rsidRPr="00F15344">
        <w:t>C.</w:t>
      </w:r>
      <w:r w:rsidRPr="00F15344">
        <w:tab/>
      </w:r>
      <w:r w:rsidR="005F33F8">
        <w:t>Различные уведомления</w:t>
      </w:r>
      <w:r w:rsidR="005F33F8" w:rsidRPr="005F33F8">
        <w:t xml:space="preserve"> </w:t>
      </w:r>
      <w:r w:rsidRPr="00F15344">
        <w:tab/>
      </w:r>
      <w:r w:rsidRPr="00F15344">
        <w:tab/>
        <w:t>11</w:t>
      </w:r>
      <w:r w:rsidR="00C36000" w:rsidRPr="005F33F8">
        <w:t>–</w:t>
      </w:r>
      <w:r w:rsidRPr="00F15344">
        <w:t>19</w:t>
      </w:r>
      <w:r w:rsidRPr="00F15344">
        <w:tab/>
        <w:t>4</w:t>
      </w:r>
    </w:p>
    <w:p w14:paraId="1800B648" w14:textId="08A3DF1B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5344">
        <w:tab/>
      </w:r>
      <w:r w:rsidRPr="00F15344">
        <w:tab/>
        <w:t>D.</w:t>
      </w:r>
      <w:r w:rsidRPr="00F15344">
        <w:tab/>
      </w:r>
      <w:r w:rsidR="005F33F8">
        <w:t>Прочие вопросы</w:t>
      </w:r>
      <w:r w:rsidR="005F33F8" w:rsidRPr="005F33F8">
        <w:t xml:space="preserve"> </w:t>
      </w:r>
      <w:r w:rsidRPr="00F15344">
        <w:tab/>
      </w:r>
      <w:r w:rsidRPr="00F15344">
        <w:tab/>
        <w:t>20</w:t>
      </w:r>
      <w:r w:rsidRPr="00F15344">
        <w:tab/>
        <w:t>5</w:t>
      </w:r>
    </w:p>
    <w:p w14:paraId="6E5D9410" w14:textId="22599A3E" w:rsidR="00F15344" w:rsidRPr="005F33F8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5344">
        <w:tab/>
      </w:r>
      <w:r w:rsidRPr="00C36000">
        <w:rPr>
          <w:lang w:val="en-US"/>
        </w:rPr>
        <w:t>VI</w:t>
      </w:r>
      <w:r w:rsidRPr="005F33F8">
        <w:t>.</w:t>
      </w:r>
      <w:r w:rsidRPr="005F33F8">
        <w:tab/>
      </w:r>
      <w:r w:rsidR="005F33F8">
        <w:t>Работа Комитета по вопросам безопасности (пункт 5 повестки дня)</w:t>
      </w:r>
      <w:r w:rsidR="005F33F8" w:rsidRPr="005F33F8">
        <w:t xml:space="preserve"> </w:t>
      </w:r>
      <w:r w:rsidRPr="005F33F8">
        <w:tab/>
      </w:r>
      <w:r w:rsidRPr="005F33F8">
        <w:tab/>
        <w:t>21</w:t>
      </w:r>
      <w:r w:rsidR="00C36000" w:rsidRPr="005F33F8">
        <w:t>–</w:t>
      </w:r>
      <w:r w:rsidRPr="005F33F8">
        <w:t>25</w:t>
      </w:r>
      <w:r w:rsidRPr="005F33F8">
        <w:tab/>
        <w:t>5</w:t>
      </w:r>
    </w:p>
    <w:p w14:paraId="17061497" w14:textId="3B3B8338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F33F8">
        <w:tab/>
      </w:r>
      <w:r w:rsidRPr="00F15344">
        <w:t>VII.</w:t>
      </w:r>
      <w:r w:rsidRPr="00F15344">
        <w:tab/>
      </w:r>
      <w:r w:rsidR="005F33F8">
        <w:rPr>
          <w:bCs/>
        </w:rPr>
        <w:t>Программа работы и расписание совещаний</w:t>
      </w:r>
      <w:r w:rsidR="0056541C">
        <w:rPr>
          <w:bCs/>
        </w:rPr>
        <w:t xml:space="preserve"> </w:t>
      </w:r>
      <w:r w:rsidR="005F33F8">
        <w:rPr>
          <w:bCs/>
        </w:rPr>
        <w:t>(пункт 6 повестки дня)</w:t>
      </w:r>
      <w:r w:rsidR="005F33F8" w:rsidRPr="005F33F8">
        <w:rPr>
          <w:bCs/>
        </w:rPr>
        <w:t xml:space="preserve"> </w:t>
      </w:r>
      <w:r w:rsidRPr="00F15344">
        <w:tab/>
      </w:r>
      <w:r w:rsidRPr="00F15344">
        <w:tab/>
        <w:t>26</w:t>
      </w:r>
      <w:r w:rsidRPr="00F15344">
        <w:tab/>
        <w:t>6</w:t>
      </w:r>
    </w:p>
    <w:p w14:paraId="5F50922F" w14:textId="53A6C5BA" w:rsidR="00F15344" w:rsidRPr="005F33F8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5344">
        <w:tab/>
        <w:t>VIII.</w:t>
      </w:r>
      <w:r w:rsidRPr="00F15344">
        <w:tab/>
      </w:r>
      <w:r w:rsidR="005F33F8">
        <w:t>Прочие вопросы (пункт 7 повестки дня)</w:t>
      </w:r>
      <w:r w:rsidR="005F33F8" w:rsidRPr="005F33F8">
        <w:t xml:space="preserve"> </w:t>
      </w:r>
      <w:r w:rsidRPr="005F33F8">
        <w:tab/>
      </w:r>
      <w:r w:rsidRPr="005F33F8">
        <w:tab/>
        <w:t>27</w:t>
      </w:r>
      <w:r w:rsidR="00C36000" w:rsidRPr="005F33F8">
        <w:t>–</w:t>
      </w:r>
      <w:r w:rsidRPr="005F33F8">
        <w:t>28</w:t>
      </w:r>
      <w:r w:rsidRPr="005F33F8">
        <w:tab/>
        <w:t>6</w:t>
      </w:r>
    </w:p>
    <w:p w14:paraId="31051128" w14:textId="23CC5A21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F33F8">
        <w:tab/>
      </w:r>
      <w:r w:rsidRPr="005F33F8">
        <w:tab/>
      </w:r>
      <w:r w:rsidRPr="00F15344">
        <w:t>A.</w:t>
      </w:r>
      <w:r w:rsidRPr="00F15344">
        <w:tab/>
      </w:r>
      <w:r w:rsidR="005F33F8">
        <w:t>Модули электронного обучения</w:t>
      </w:r>
      <w:r w:rsidR="005F33F8" w:rsidRPr="005F33F8">
        <w:t xml:space="preserve"> </w:t>
      </w:r>
      <w:r w:rsidRPr="00F15344">
        <w:tab/>
      </w:r>
      <w:r w:rsidRPr="00F15344">
        <w:tab/>
        <w:t>27</w:t>
      </w:r>
      <w:r w:rsidRPr="00F15344">
        <w:tab/>
        <w:t>6</w:t>
      </w:r>
    </w:p>
    <w:p w14:paraId="2A6FFD94" w14:textId="065BDA98" w:rsidR="00F15344" w:rsidRPr="00F15344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5344">
        <w:tab/>
      </w:r>
      <w:r w:rsidRPr="00F15344">
        <w:tab/>
        <w:t>B.</w:t>
      </w:r>
      <w:r w:rsidRPr="00F15344">
        <w:tab/>
      </w:r>
      <w:r w:rsidR="005F33F8">
        <w:t xml:space="preserve">Выражение благодарности г-ну П. </w:t>
      </w:r>
      <w:proofErr w:type="spellStart"/>
      <w:r w:rsidR="005F33F8">
        <w:t>Дюфуру</w:t>
      </w:r>
      <w:proofErr w:type="spellEnd"/>
      <w:r w:rsidR="005F33F8">
        <w:t xml:space="preserve"> (Франция)</w:t>
      </w:r>
      <w:r w:rsidR="005F33F8" w:rsidRPr="005F33F8">
        <w:t xml:space="preserve"> </w:t>
      </w:r>
      <w:r w:rsidRPr="00F15344">
        <w:tab/>
      </w:r>
      <w:r w:rsidRPr="00F15344">
        <w:tab/>
        <w:t>28</w:t>
      </w:r>
      <w:r w:rsidRPr="00F15344">
        <w:tab/>
        <w:t>6</w:t>
      </w:r>
    </w:p>
    <w:p w14:paraId="0D8B0561" w14:textId="3BF0FCAC" w:rsidR="0056541C" w:rsidRPr="00C977FE" w:rsidRDefault="00F15344" w:rsidP="00F1534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5344">
        <w:tab/>
        <w:t>IX.</w:t>
      </w:r>
      <w:r w:rsidRPr="00F15344">
        <w:tab/>
      </w:r>
      <w:r w:rsidR="005F33F8">
        <w:t>Утверждение доклада (пункт 8 повестки дня)</w:t>
      </w:r>
      <w:r w:rsidR="005F33F8" w:rsidRPr="005F33F8">
        <w:t xml:space="preserve"> </w:t>
      </w:r>
      <w:r w:rsidRPr="00F15344">
        <w:tab/>
      </w:r>
      <w:r w:rsidRPr="00F15344">
        <w:tab/>
        <w:t>29</w:t>
      </w:r>
      <w:r w:rsidRPr="00F15344">
        <w:tab/>
      </w:r>
      <w:r w:rsidR="00C977FE" w:rsidRPr="00C977FE">
        <w:t>7</w:t>
      </w:r>
    </w:p>
    <w:p w14:paraId="14FCF520" w14:textId="3525FDEC" w:rsidR="00F15344" w:rsidRPr="005F33F8" w:rsidRDefault="00F15344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 w:rsidRPr="005F33F8">
        <w:rPr>
          <w:bCs/>
        </w:rPr>
        <w:br w:type="page"/>
      </w:r>
    </w:p>
    <w:p w14:paraId="4A433866" w14:textId="77EB327E" w:rsidR="00C109AD" w:rsidRPr="005507EA" w:rsidRDefault="00C109AD" w:rsidP="00C109AD">
      <w:pPr>
        <w:pStyle w:val="HChG"/>
        <w:rPr>
          <w:snapToGrid w:val="0"/>
        </w:rPr>
      </w:pPr>
      <w:r w:rsidRPr="005F33F8">
        <w:rPr>
          <w:bCs/>
        </w:rPr>
        <w:lastRenderedPageBreak/>
        <w:tab/>
      </w:r>
      <w:r>
        <w:rPr>
          <w:bCs/>
        </w:rPr>
        <w:t>I.</w:t>
      </w:r>
      <w:r>
        <w:tab/>
      </w:r>
      <w:r>
        <w:rPr>
          <w:bCs/>
        </w:rPr>
        <w:t>Участники</w:t>
      </w:r>
    </w:p>
    <w:p w14:paraId="0FD78024" w14:textId="77777777" w:rsidR="00C109AD" w:rsidRPr="005507EA" w:rsidRDefault="00C109AD" w:rsidP="00C109AD">
      <w:pPr>
        <w:pStyle w:val="SingleTxtG"/>
      </w:pPr>
      <w:r>
        <w:t>1.</w:t>
      </w:r>
      <w:r>
        <w:tab/>
        <w:t>Административный комитет Европейского соглашения о международной перевозке опасных грузов по внутренним водным путям (ВОПОГ) провел свою тридцать первую сессию в Женеве 26 января 2024 года. В работе сессии приняли участие представители следующих Договаривающихся сторон: Австрии, Бельгии, Германии, Люксембурга, Нидерландов, Российской Федерации, Румынии, Франции и Швейцарии.</w:t>
      </w:r>
    </w:p>
    <w:p w14:paraId="595BABCF" w14:textId="77777777" w:rsidR="00C109AD" w:rsidRPr="005507EA" w:rsidRDefault="00C109AD" w:rsidP="00C109AD">
      <w:pPr>
        <w:pStyle w:val="SingleTxtG"/>
        <w:rPr>
          <w:snapToGrid w:val="0"/>
        </w:rPr>
      </w:pPr>
      <w:r>
        <w:t>2.</w:t>
      </w:r>
      <w:r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не менее половины Договаривающихся сторон, достигнут.</w:t>
      </w:r>
    </w:p>
    <w:p w14:paraId="2CDB1006" w14:textId="77777777" w:rsidR="00C109AD" w:rsidRPr="005507EA" w:rsidRDefault="00C109AD" w:rsidP="00C109AD">
      <w:pPr>
        <w:pStyle w:val="SingleTxtG"/>
        <w:rPr>
          <w:snapToGrid w:val="0"/>
        </w:rPr>
      </w:pPr>
      <w:r>
        <w:t>3.</w:t>
      </w:r>
      <w:r>
        <w:tab/>
        <w:t>В соответствии с пунктом 2 статьи 17 ВОПОГ и решением Комитета (ECE/ADN/2, п. 8) в качестве наблюдателя на сессии присутствовал представитель Центральной комиссии судоходства по Рейну (ЦКСР).</w:t>
      </w:r>
    </w:p>
    <w:p w14:paraId="6B027844" w14:textId="77777777" w:rsidR="00C109AD" w:rsidRPr="005507EA" w:rsidRDefault="00C109AD" w:rsidP="005F33F8">
      <w:pPr>
        <w:pStyle w:val="HChG"/>
        <w:rPr>
          <w:snapToGrid w:val="0"/>
        </w:rPr>
      </w:pPr>
      <w:r>
        <w:rPr>
          <w:bCs/>
        </w:rPr>
        <w:tab/>
        <w:t>II.</w:t>
      </w:r>
      <w:r>
        <w:tab/>
      </w:r>
      <w:r w:rsidRPr="005F33F8">
        <w:t>Утверждение</w:t>
      </w:r>
      <w:r>
        <w:t xml:space="preserve"> повестки дня (пункт 1 повестки дня)</w:t>
      </w:r>
    </w:p>
    <w:p w14:paraId="58CCAA7C" w14:textId="405A1896" w:rsidR="00C109AD" w:rsidRPr="005507EA" w:rsidRDefault="00C109AD" w:rsidP="009252A5">
      <w:pPr>
        <w:pStyle w:val="SingleTxtG"/>
        <w:keepNext/>
        <w:keepLines/>
        <w:ind w:left="3969" w:hanging="2835"/>
        <w:jc w:val="left"/>
        <w:rPr>
          <w:snapToGrid w:val="0"/>
        </w:rPr>
      </w:pPr>
      <w:r>
        <w:rPr>
          <w:i/>
          <w:iCs/>
        </w:rPr>
        <w:t>Документ:</w:t>
      </w:r>
      <w:r>
        <w:tab/>
      </w:r>
      <w:r w:rsidR="008073D0">
        <w:tab/>
      </w:r>
      <w:r w:rsidR="009252A5">
        <w:tab/>
      </w:r>
      <w:r>
        <w:t>ECE/ADN/68 и Add.1</w:t>
      </w:r>
    </w:p>
    <w:p w14:paraId="3EB53289" w14:textId="77777777" w:rsidR="00C109AD" w:rsidRPr="008F0DEF" w:rsidRDefault="00C109AD" w:rsidP="00C109AD">
      <w:pPr>
        <w:pStyle w:val="SingleTxtG"/>
      </w:pPr>
      <w:r>
        <w:t>4.</w:t>
      </w:r>
      <w:r>
        <w:tab/>
        <w:t>Административный комитет утвердил подготовленную секретариатом повестку дня и принял к сведению представление неофициальных документов INF.1</w:t>
      </w:r>
      <w:r>
        <w:rPr>
          <w:rFonts w:hint="eastAsia"/>
        </w:rPr>
        <w:t xml:space="preserve"> </w:t>
      </w:r>
      <w:r>
        <w:t>и INF.2.</w:t>
      </w:r>
      <w:bookmarkStart w:id="0" w:name="_Hlk30518706"/>
      <w:bookmarkEnd w:id="0"/>
    </w:p>
    <w:p w14:paraId="4860834B" w14:textId="0C200E97" w:rsidR="00C109AD" w:rsidRPr="005507EA" w:rsidRDefault="00C109AD" w:rsidP="00C109AD">
      <w:pPr>
        <w:pStyle w:val="HChG"/>
        <w:rPr>
          <w:snapToGrid w:val="0"/>
        </w:rPr>
      </w:pPr>
      <w:r>
        <w:rPr>
          <w:bCs/>
        </w:rPr>
        <w:tab/>
        <w:t>III.</w:t>
      </w:r>
      <w:r>
        <w:tab/>
        <w:t xml:space="preserve">Выборы должностных лиц на 2024 год (пункт 2 </w:t>
      </w:r>
      <w:r w:rsidR="005F33F8">
        <w:br/>
      </w:r>
      <w:r>
        <w:t>повестки дня)</w:t>
      </w:r>
    </w:p>
    <w:p w14:paraId="39999FB3" w14:textId="77777777" w:rsidR="00C109AD" w:rsidRPr="005507EA" w:rsidRDefault="00C109AD" w:rsidP="00C109AD">
      <w:pPr>
        <w:pStyle w:val="SingleTxtG"/>
      </w:pPr>
      <w:r>
        <w:t>5.</w:t>
      </w:r>
      <w:r>
        <w:tab/>
        <w:t xml:space="preserve">По предложению представителя Бельгии Председателем сессий, проводимых в 2024 году, был избран г-н Б. </w:t>
      </w:r>
      <w:proofErr w:type="spellStart"/>
      <w:r>
        <w:t>Белдман</w:t>
      </w:r>
      <w:proofErr w:type="spellEnd"/>
      <w:r>
        <w:t xml:space="preserve"> (Нидерланды), а заместителем Председателя — вновь избран г-н Б. </w:t>
      </w:r>
      <w:proofErr w:type="spellStart"/>
      <w:r>
        <w:t>Биркльхубер</w:t>
      </w:r>
      <w:proofErr w:type="spellEnd"/>
      <w:r>
        <w:t xml:space="preserve"> (Австрия).</w:t>
      </w:r>
    </w:p>
    <w:p w14:paraId="55906C7E" w14:textId="77777777" w:rsidR="00C109AD" w:rsidRPr="005507EA" w:rsidRDefault="00C109AD" w:rsidP="00C109AD">
      <w:pPr>
        <w:pStyle w:val="HChG"/>
        <w:rPr>
          <w:snapToGrid w:val="0"/>
        </w:rPr>
      </w:pPr>
      <w:r>
        <w:rPr>
          <w:bCs/>
        </w:rPr>
        <w:tab/>
        <w:t>IV.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 (пункт 3 повестки дня)</w:t>
      </w:r>
    </w:p>
    <w:p w14:paraId="209F0F24" w14:textId="77777777" w:rsidR="00C109AD" w:rsidRPr="005507EA" w:rsidRDefault="00C109AD" w:rsidP="00C109AD">
      <w:pPr>
        <w:pStyle w:val="SingleTxtG"/>
      </w:pPr>
      <w:r>
        <w:t>6.</w:t>
      </w:r>
      <w:r>
        <w:tab/>
        <w:t>Административный комитет отметил, что число Договаривающихся сторон ВОПОГ по-прежнему составляет 18.</w:t>
      </w:r>
    </w:p>
    <w:p w14:paraId="1114AB1A" w14:textId="456AD506" w:rsidR="00C109AD" w:rsidRDefault="00C109AD" w:rsidP="00C109AD">
      <w:pPr>
        <w:pStyle w:val="SingleTxtG"/>
      </w:pPr>
      <w:r>
        <w:t>7.</w:t>
      </w:r>
      <w:r>
        <w:tab/>
        <w:t>Предлагаемые исправления, содержащиеся в приложении II к</w:t>
      </w:r>
      <w:r w:rsidR="0056541C">
        <w:t xml:space="preserve"> </w:t>
      </w:r>
      <w:r>
        <w:t>документу ECE/TRANS/WP.15/AC.2/84 и приложении I к документу ECE/TRANS/WP.15/</w:t>
      </w:r>
      <w:r w:rsidR="005F33F8" w:rsidRPr="005F33F8">
        <w:t xml:space="preserve"> </w:t>
      </w:r>
      <w:r>
        <w:t>AC.2/86, были направлены Договаривающимся сторонам 22 октября 2023 года для принятия (см. C.N.452.2023.TREATIES-XI-D-6). Исправления считаются принятыми 20 января 2024 года.</w:t>
      </w:r>
    </w:p>
    <w:p w14:paraId="60F4C1CF" w14:textId="56557725" w:rsidR="00C109AD" w:rsidRDefault="00C109AD" w:rsidP="00C109AD">
      <w:pPr>
        <w:pStyle w:val="HChG"/>
        <w:rPr>
          <w:snapToGrid w:val="0"/>
        </w:rPr>
      </w:pPr>
      <w:r>
        <w:rPr>
          <w:bCs/>
        </w:rPr>
        <w:tab/>
        <w:t>V.</w:t>
      </w:r>
      <w:r>
        <w:tab/>
      </w:r>
      <w:r>
        <w:rPr>
          <w:bCs/>
        </w:rPr>
        <w:t xml:space="preserve">Вопросы, относящиеся к осуществлению ВОПОГ </w:t>
      </w:r>
      <w:r w:rsidR="005F33F8">
        <w:rPr>
          <w:bCs/>
        </w:rPr>
        <w:br/>
      </w:r>
      <w:r>
        <w:rPr>
          <w:bCs/>
        </w:rPr>
        <w:t>(пункт 4 повестки дня)</w:t>
      </w:r>
    </w:p>
    <w:p w14:paraId="28BC1956" w14:textId="77777777" w:rsidR="00C109AD" w:rsidRPr="005507EA" w:rsidRDefault="00C109AD" w:rsidP="00C109AD">
      <w:pPr>
        <w:pStyle w:val="H1G"/>
        <w:rPr>
          <w:snapToGrid w:val="0"/>
        </w:rPr>
      </w:pPr>
      <w:r>
        <w:rPr>
          <w:bCs/>
        </w:rPr>
        <w:tab/>
        <w:t>A.</w:t>
      </w:r>
      <w:r>
        <w:tab/>
        <w:t>Классификационные общества</w:t>
      </w:r>
    </w:p>
    <w:p w14:paraId="5324CABD" w14:textId="22246205" w:rsidR="00C109AD" w:rsidRPr="005507EA" w:rsidRDefault="00C109AD" w:rsidP="00C109AD">
      <w:pPr>
        <w:pStyle w:val="SingleTxtG"/>
      </w:pPr>
      <w:r>
        <w:t>8.</w:t>
      </w:r>
      <w:r>
        <w:tab/>
        <w:t xml:space="preserve">Административный комитет отметил, что никакой дополнительной информации о рекомендованных классификационных обществах представлено не было, и напомнил о том, что ко всем рекомендованным классификационным обществам ВОПОГ была обращена просьба представить Административному комитету </w:t>
      </w:r>
      <w:r w:rsidR="004D6301">
        <w:rPr>
          <w:lang w:val="en-US"/>
        </w:rPr>
        <w:t>⸺</w:t>
      </w:r>
      <w:r>
        <w:t xml:space="preserve"> в конечном счете для следующей сессии, которая намечена на август </w:t>
      </w:r>
      <w:r w:rsidR="005F33F8">
        <w:br/>
      </w:r>
      <w:r>
        <w:lastRenderedPageBreak/>
        <w:t xml:space="preserve">2024 года, </w:t>
      </w:r>
      <w:r w:rsidR="005F33F8">
        <w:rPr>
          <w:lang w:val="en-US"/>
        </w:rPr>
        <w:t>⸺</w:t>
      </w:r>
      <w:r>
        <w:t xml:space="preserve"> свидетельства их сертификации в соответствии со стандартом </w:t>
      </w:r>
      <w:r w:rsidR="005F33F8">
        <w:br/>
      </w:r>
      <w:r>
        <w:t>EN ISO/IEC 17020:2012 (за исключением пункта 8.1.3).</w:t>
      </w:r>
    </w:p>
    <w:p w14:paraId="45828DFA" w14:textId="77777777" w:rsidR="00C109AD" w:rsidRPr="005507EA" w:rsidRDefault="00C109AD" w:rsidP="00C109AD">
      <w:pPr>
        <w:pStyle w:val="H1G"/>
        <w:rPr>
          <w:snapToGrid w:val="0"/>
        </w:rPr>
      </w:pPr>
      <w:r>
        <w:rPr>
          <w:bCs/>
        </w:rPr>
        <w:tab/>
        <w:t>B.</w:t>
      </w:r>
      <w:r>
        <w:tab/>
        <w:t>Специальные разрешения, отступления и эквивалентные аналоги</w:t>
      </w:r>
    </w:p>
    <w:p w14:paraId="3C8D7714" w14:textId="6BF20109" w:rsidR="00C109AD" w:rsidRPr="005507EA" w:rsidRDefault="00C109AD" w:rsidP="008073D0">
      <w:pPr>
        <w:pStyle w:val="SingleTxtG"/>
        <w:keepNext/>
        <w:keepLines/>
        <w:ind w:left="3969" w:hanging="2835"/>
        <w:jc w:val="left"/>
        <w:rPr>
          <w:snapToGrid w:val="0"/>
        </w:rPr>
      </w:pPr>
      <w:r>
        <w:rPr>
          <w:i/>
          <w:iCs/>
        </w:rPr>
        <w:t>Документы:</w:t>
      </w:r>
      <w:r>
        <w:t xml:space="preserve"> </w:t>
      </w:r>
      <w:r>
        <w:tab/>
      </w:r>
      <w:r w:rsidR="005F33F8">
        <w:tab/>
      </w:r>
      <w:r w:rsidR="008073D0">
        <w:tab/>
      </w:r>
      <w:r w:rsidR="008073D0">
        <w:tab/>
      </w:r>
      <w:r>
        <w:t xml:space="preserve">ECE/TRANS/WP.15/AC.2/2024/31 (Нидерланды) </w:t>
      </w:r>
      <w:r w:rsidR="0056541C">
        <w:br/>
      </w:r>
      <w:r>
        <w:t>ECE/TRANS/WP.15/AC.2/2024/32 (Нидерланды) ECE/TRANS/WP.15/AC.2/2024/33 (Нидерланды) ECE/TRANS/WP.15/AC.2/2024/34 (Нидерланды)</w:t>
      </w:r>
    </w:p>
    <w:p w14:paraId="1A1E0A24" w14:textId="6F0DA976" w:rsidR="00C109AD" w:rsidRPr="005507EA" w:rsidRDefault="00C109AD" w:rsidP="0056541C">
      <w:pPr>
        <w:pStyle w:val="SingleTxtG"/>
        <w:keepNext/>
        <w:keepLines/>
        <w:tabs>
          <w:tab w:val="left" w:pos="3402"/>
        </w:tabs>
        <w:ind w:left="3969" w:hanging="2835"/>
        <w:jc w:val="left"/>
      </w:pPr>
      <w:r>
        <w:rPr>
          <w:i/>
          <w:iCs/>
        </w:rPr>
        <w:t>Неофициальные документы:</w:t>
      </w:r>
      <w:r>
        <w:tab/>
        <w:t xml:space="preserve">INF.4, INF.5, INF.6, INF.7 и INF.8 сорок третьей </w:t>
      </w:r>
      <w:r w:rsidR="0056541C">
        <w:br/>
      </w:r>
      <w:r>
        <w:t>сессии Комитета по вопросам безопасности ВОПОГ (Нидерланды)</w:t>
      </w:r>
    </w:p>
    <w:p w14:paraId="0D77D2AF" w14:textId="77777777" w:rsidR="00C109AD" w:rsidRPr="005507EA" w:rsidDel="00205B11" w:rsidRDefault="00C109AD" w:rsidP="00C109AD">
      <w:pPr>
        <w:pStyle w:val="SingleTxtG"/>
        <w:keepNext/>
        <w:keepLines/>
        <w:rPr>
          <w:snapToGrid w:val="0"/>
        </w:rPr>
      </w:pPr>
      <w:r>
        <w:t>9.</w:t>
      </w:r>
      <w:r>
        <w:tab/>
        <w:t xml:space="preserve">Ссылаясь на результаты обсуждения (см. доклад ECE/TRANS/WP.15/AC.2/88, пп. </w:t>
      </w:r>
      <w:proofErr w:type="spellStart"/>
      <w:r>
        <w:t>хх</w:t>
      </w:r>
      <w:proofErr w:type="spellEnd"/>
      <w:r>
        <w:t>–</w:t>
      </w:r>
      <w:proofErr w:type="spellStart"/>
      <w:r>
        <w:t>хх</w:t>
      </w:r>
      <w:proofErr w:type="spellEnd"/>
      <w:r>
        <w:t>) Комитетом по вопросам безопасности заявки компетентного органа Нидерландов на выдачу в соответствии с разделом 1.5.3.2 отступлений в отношении использования водородных топливных элементов или метанола в качестве топлива для обеспечения движения судов, Административный комитет принял к сведению сделанные выводы и решил отложить обсуждение этого вопроса до следующей сессии в августе 2024 года. Представитель Нидерландов вызвался представить обновленные заявки для рассмотрения на указанной сессии.</w:t>
      </w:r>
    </w:p>
    <w:p w14:paraId="48DA419D" w14:textId="5931078C" w:rsidR="00C109AD" w:rsidRPr="009252A5" w:rsidRDefault="00C109AD" w:rsidP="00C109AD">
      <w:pPr>
        <w:pStyle w:val="SingleTxtG"/>
        <w:rPr>
          <w:snapToGrid w:val="0"/>
        </w:rPr>
      </w:pPr>
      <w:r>
        <w:t>10.</w:t>
      </w:r>
      <w:r>
        <w:tab/>
        <w:t>Участникам напомнили, что с текстами специальных разрешений, специальных соглашений, отступлений и эквивалентных аналогов, а также сведениями</w:t>
      </w:r>
      <w:r w:rsidR="0056541C">
        <w:t xml:space="preserve"> </w:t>
      </w:r>
      <w:r>
        <w:t>об их состоянии и с текстами уведомлений можно ознакомиться на веб-сайте</w:t>
      </w:r>
      <w:r w:rsidR="0056541C">
        <w:t xml:space="preserve"> </w:t>
      </w:r>
      <w:r>
        <w:t xml:space="preserve">ЕЭК ООН, URL: </w:t>
      </w:r>
      <w:hyperlink r:id="rId8" w:history="1">
        <w:r w:rsidR="009252A5" w:rsidRPr="008D4649">
          <w:rPr>
            <w:rStyle w:val="af1"/>
          </w:rPr>
          <w:t>https://unece.org/special-authorizations</w:t>
        </w:r>
      </w:hyperlink>
      <w:r w:rsidR="009252A5" w:rsidRPr="009252A5">
        <w:t xml:space="preserve"> </w:t>
      </w:r>
      <w:r>
        <w:t xml:space="preserve">и </w:t>
      </w:r>
      <w:hyperlink r:id="rId9" w:history="1">
        <w:r w:rsidR="009252A5" w:rsidRPr="008D4649">
          <w:rPr>
            <w:rStyle w:val="af1"/>
          </w:rPr>
          <w:t>https://unece.org/equivalences-and-derogations</w:t>
        </w:r>
      </w:hyperlink>
      <w:r>
        <w:t>.</w:t>
      </w:r>
      <w:r w:rsidR="009252A5" w:rsidRPr="009252A5">
        <w:t xml:space="preserve"> </w:t>
      </w:r>
    </w:p>
    <w:p w14:paraId="78140D28" w14:textId="77777777" w:rsidR="00C109AD" w:rsidRPr="005507EA" w:rsidRDefault="00C109AD" w:rsidP="00C109AD">
      <w:pPr>
        <w:pStyle w:val="H1G"/>
        <w:rPr>
          <w:snapToGrid w:val="0"/>
        </w:rPr>
      </w:pPr>
      <w:r>
        <w:rPr>
          <w:bCs/>
        </w:rPr>
        <w:tab/>
        <w:t>C.</w:t>
      </w:r>
      <w:r>
        <w:tab/>
        <w:t>Различные уведомления</w:t>
      </w:r>
    </w:p>
    <w:p w14:paraId="3449B1AA" w14:textId="7D64D074" w:rsidR="00C109AD" w:rsidRPr="005507EA" w:rsidRDefault="00C109AD" w:rsidP="001E4287">
      <w:pPr>
        <w:pStyle w:val="SingleTxtG"/>
        <w:keepNext/>
        <w:keepLines/>
        <w:tabs>
          <w:tab w:val="left" w:pos="3402"/>
        </w:tabs>
        <w:ind w:left="3969" w:hanging="2835"/>
        <w:jc w:val="left"/>
        <w:rPr>
          <w:iCs/>
        </w:rPr>
      </w:pPr>
      <w:r>
        <w:rPr>
          <w:i/>
          <w:iCs/>
        </w:rPr>
        <w:t>Неофициальные документы:</w:t>
      </w:r>
      <w:r>
        <w:tab/>
        <w:t>INF.1 (Австрия) I</w:t>
      </w:r>
      <w:r w:rsidR="001E4287">
        <w:br/>
      </w:r>
      <w:r>
        <w:t>NF.2 (Нидерланды)</w:t>
      </w:r>
    </w:p>
    <w:p w14:paraId="0A31A399" w14:textId="75C2C58E" w:rsidR="00C109AD" w:rsidRDefault="00C109AD" w:rsidP="00C109AD">
      <w:pPr>
        <w:pStyle w:val="SingleTxtG"/>
      </w:pPr>
      <w:r>
        <w:t>11.</w:t>
      </w:r>
      <w:r>
        <w:tab/>
        <w:t xml:space="preserve">Статистические данные, касающиеся экзаменов, были представлены правительствами Австрии (неофициальный документ INF.1) и Нидерландов (неофициальный документ INF.2). Административный комитет приветствовал вышеупомянутые документы и решил передать эту информацию неофициальной рабочей группе по подготовке экспертов для дальнейшего рассмотрения. Было отмечено, что статистические данные об экзаменах являются весьма полезными, и неофициальной рабочей группе было предложено рассмотреть возможные способы создания для Договаривающихся сторон мандата на представление таких статистических данных на регулярной основе. Было отмечено, что перечень уведомлений, направляемых Договаривающимися сторонами, содержится в приложении к докладу Административного комитета о работе его второй сессии </w:t>
      </w:r>
      <w:r w:rsidR="009252A5">
        <w:br/>
      </w:r>
      <w:r>
        <w:t>(см. ECE/ADN/4).</w:t>
      </w:r>
    </w:p>
    <w:p w14:paraId="2D5DDA15" w14:textId="4C21C648" w:rsidR="00C109AD" w:rsidRPr="005507EA" w:rsidRDefault="00C109AD" w:rsidP="00C109AD">
      <w:pPr>
        <w:pStyle w:val="SingleTxtG"/>
      </w:pPr>
      <w:r>
        <w:t>12.</w:t>
      </w:r>
      <w:r>
        <w:tab/>
        <w:t xml:space="preserve">Административный комитет решил также использовать свои двусторонние контакты с другими Договаривающимися сторонами для поднятия этого вопроса. </w:t>
      </w:r>
      <w:r w:rsidR="009252A5">
        <w:br/>
      </w:r>
      <w:r>
        <w:t>Для сбора контактных данных компетентных органов Договаривающихся сторон секретариату было предложено связаться с соответствующими постоянными представительствами при Организации Объединенных Наций в Женеве.</w:t>
      </w:r>
    </w:p>
    <w:p w14:paraId="048425A2" w14:textId="77777777" w:rsidR="00C109AD" w:rsidRPr="005507EA" w:rsidRDefault="00C109AD" w:rsidP="00C109AD">
      <w:pPr>
        <w:pStyle w:val="SingleTxtG"/>
      </w:pPr>
      <w:r>
        <w:t>13.</w:t>
      </w:r>
      <w:r>
        <w:tab/>
        <w:t xml:space="preserve">Представитель Бельгии напомнил о состоявшемся в Комитете по вопросам безопасности ВОПОГ обсуждении необходимости разработки для компетентных органов некоторых руководящих принципов подготовки статистических данных по экзаменам во избежание расхождений в отчетности. Административный комитет предложил неофициальной рабочей группе по подготовке экспертов рассмотреть также возможность разработки таких руководящих принципов. </w:t>
      </w:r>
    </w:p>
    <w:p w14:paraId="643ABA7B" w14:textId="77777777" w:rsidR="009252A5" w:rsidRDefault="009252A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CA46EB3" w14:textId="7AE5A4A1" w:rsidR="00C109AD" w:rsidRPr="005507EA" w:rsidRDefault="00C109AD" w:rsidP="00C109AD">
      <w:pPr>
        <w:pStyle w:val="SingleTxtG"/>
        <w:rPr>
          <w:snapToGrid w:val="0"/>
        </w:rPr>
      </w:pPr>
      <w:r>
        <w:lastRenderedPageBreak/>
        <w:t>14.</w:t>
      </w:r>
      <w:r>
        <w:tab/>
        <w:t xml:space="preserve">Административный 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список, </w:t>
      </w:r>
      <w:r w:rsidR="009252A5">
        <w:br/>
      </w:r>
      <w:r>
        <w:t xml:space="preserve">в соответствии с пунктом 1.15.2.4 </w:t>
      </w:r>
      <w:r w:rsidRPr="00925897">
        <w:t>Правил, прилагаемых к ВОПОГ</w:t>
      </w:r>
      <w:r>
        <w:t>, если они еще не сделали этого.</w:t>
      </w:r>
    </w:p>
    <w:p w14:paraId="2B37A15F" w14:textId="20477C98" w:rsidR="00C109AD" w:rsidRPr="009252A5" w:rsidRDefault="00C109AD" w:rsidP="00C109AD">
      <w:pPr>
        <w:pStyle w:val="SingleTxtG"/>
        <w:rPr>
          <w:snapToGrid w:val="0"/>
        </w:rPr>
      </w:pPr>
      <w:r>
        <w:t>15.</w:t>
      </w:r>
      <w:r>
        <w:tab/>
        <w:t xml:space="preserve">Участникам напомнили, что в соответствии с пунктом 1.16.4.3 Правил, прилагаемых к ВОПОГ, Административный комитет должен вести обновляемый список назначенных органов по освидетельствованию. С информацией, полученной на данный момент, можно ознакомиться на веб-сайте ЕЭК ООН, URL: </w:t>
      </w:r>
      <w:hyperlink r:id="rId10" w:history="1">
        <w:r w:rsidR="009252A5" w:rsidRPr="008D4649">
          <w:rPr>
            <w:rStyle w:val="af1"/>
          </w:rPr>
          <w:t>https://unece.org/country-information-competent-authoritiesnotifications-according-194</w:t>
        </w:r>
      </w:hyperlink>
      <w:r>
        <w:t>.</w:t>
      </w:r>
      <w:r w:rsidR="009252A5" w:rsidRPr="009252A5">
        <w:t xml:space="preserve"> </w:t>
      </w:r>
    </w:p>
    <w:p w14:paraId="103672E9" w14:textId="6F2BC03A" w:rsidR="00C109AD" w:rsidRPr="005507EA" w:rsidRDefault="00C109AD" w:rsidP="00C109AD">
      <w:pPr>
        <w:pStyle w:val="SingleTxtG"/>
        <w:rPr>
          <w:snapToGrid w:val="0"/>
        </w:rPr>
      </w:pPr>
      <w:r>
        <w:t>16.</w:t>
      </w:r>
      <w:r>
        <w:tab/>
        <w:t xml:space="preserve">Участникам также напомнили, что с образцами свидетельств эксперта, полученными секретариатом, можно ознакомиться на веб-сайте ЕЭК ООН, URL: </w:t>
      </w:r>
      <w:hyperlink r:id="rId11" w:history="1">
        <w:r w:rsidR="009252A5" w:rsidRPr="008D4649">
          <w:rPr>
            <w:rStyle w:val="af1"/>
          </w:rPr>
          <w:t>https://unece.org/model-expert-certificates</w:t>
        </w:r>
      </w:hyperlink>
      <w:r>
        <w:t>.</w:t>
      </w:r>
      <w:r w:rsidR="009252A5" w:rsidRPr="009252A5">
        <w:t xml:space="preserve"> </w:t>
      </w:r>
      <w:r>
        <w:t xml:space="preserve"> </w:t>
      </w:r>
    </w:p>
    <w:p w14:paraId="13E30D5E" w14:textId="3A5CD8D8" w:rsidR="00C109AD" w:rsidRPr="005507EA" w:rsidRDefault="00C109AD" w:rsidP="00C109AD">
      <w:pPr>
        <w:pStyle w:val="SingleTxtG"/>
        <w:rPr>
          <w:snapToGrid w:val="0"/>
        </w:rPr>
      </w:pPr>
      <w:r>
        <w:t>17.</w:t>
      </w:r>
      <w:r>
        <w:tab/>
        <w:t xml:space="preserve">Представитель Германии заявил, что правительство его страны выпустило новый образец свидетельства эксперта, содержащего </w:t>
      </w:r>
      <w:r w:rsidRPr="006E4B96">
        <w:t xml:space="preserve">электронную </w:t>
      </w:r>
      <w:r>
        <w:t xml:space="preserve">микросхему. </w:t>
      </w:r>
      <w:r w:rsidR="009252A5">
        <w:br/>
      </w:r>
      <w:r>
        <w:t xml:space="preserve">Он вызвался направить в секретариат обновленную информацию об этом образце. Выдаваемые в настоящее время свидетельства содержат незначительную опечатку, которая будет исправлена в ближайшее время. Тем не менее действительность свидетельства можно проверить с помощью </w:t>
      </w:r>
      <w:r w:rsidRPr="006E4B96">
        <w:t>электронн</w:t>
      </w:r>
      <w:r>
        <w:t>ой</w:t>
      </w:r>
      <w:r w:rsidRPr="006E4B96">
        <w:t xml:space="preserve"> </w:t>
      </w:r>
      <w:r>
        <w:t>микросхемы. Представитель Германии будет держать Административный комитет в курсе дальнейших изменений.</w:t>
      </w:r>
    </w:p>
    <w:p w14:paraId="088495E2" w14:textId="77777777" w:rsidR="00C109AD" w:rsidRPr="005507EA" w:rsidRDefault="00C109AD" w:rsidP="00C109AD">
      <w:pPr>
        <w:pStyle w:val="SingleTxtG"/>
      </w:pPr>
      <w:r>
        <w:t>18.</w:t>
      </w:r>
      <w:r>
        <w:tab/>
        <w:t xml:space="preserve">Было отмечено, что только 10 Договаривающихся сторон направили в секретариат образцы свидетельств эксперта. Административный комитет подчеркнул важность скорейшего предоставления этой информации правоприменительным органам. </w:t>
      </w:r>
    </w:p>
    <w:p w14:paraId="6176C48F" w14:textId="77777777" w:rsidR="00C109AD" w:rsidRPr="005507EA" w:rsidRDefault="00C109AD" w:rsidP="00C109AD">
      <w:pPr>
        <w:pStyle w:val="SingleTxtG"/>
      </w:pPr>
      <w:r>
        <w:t>19.</w:t>
      </w:r>
      <w:r>
        <w:tab/>
        <w:t>Договаривающимся сторонам, которые еще не сделали этого, напомнили, что им следует направить в секретариат свои образцы свидетельств эксперта и статистические данные об экзаменах по ВОПОГ.</w:t>
      </w:r>
    </w:p>
    <w:p w14:paraId="245F8A67" w14:textId="77777777" w:rsidR="00C109AD" w:rsidRPr="005507EA" w:rsidRDefault="00C109AD" w:rsidP="009252A5">
      <w:pPr>
        <w:pStyle w:val="H1G"/>
        <w:rPr>
          <w:snapToGrid w:val="0"/>
        </w:rPr>
      </w:pPr>
      <w:r>
        <w:rPr>
          <w:bCs/>
        </w:rPr>
        <w:tab/>
        <w:t>D.</w:t>
      </w:r>
      <w:r>
        <w:tab/>
      </w:r>
      <w:r w:rsidRPr="009252A5">
        <w:t>Прочие</w:t>
      </w:r>
      <w:r>
        <w:t xml:space="preserve"> вопросы</w:t>
      </w:r>
    </w:p>
    <w:p w14:paraId="004D4CD7" w14:textId="69735294" w:rsidR="00C109AD" w:rsidRPr="005507EA" w:rsidRDefault="00C109AD" w:rsidP="00C109AD">
      <w:pPr>
        <w:pStyle w:val="SingleTxtG"/>
        <w:tabs>
          <w:tab w:val="left" w:pos="3402"/>
        </w:tabs>
        <w:rPr>
          <w:snapToGrid w:val="0"/>
        </w:rPr>
      </w:pPr>
      <w:r>
        <w:rPr>
          <w:i/>
          <w:iCs/>
        </w:rPr>
        <w:t>Документ:</w:t>
      </w:r>
      <w:r>
        <w:t xml:space="preserve"> </w:t>
      </w:r>
      <w:r>
        <w:tab/>
      </w:r>
      <w:r w:rsidR="009252A5">
        <w:tab/>
      </w:r>
      <w:r w:rsidR="009252A5">
        <w:tab/>
      </w:r>
      <w:r w:rsidR="009252A5">
        <w:tab/>
      </w:r>
      <w:r w:rsidR="009252A5">
        <w:tab/>
      </w:r>
      <w:r>
        <w:t>ECE/ADN/2024/2 и Corr.1 (Австрия и Германия)</w:t>
      </w:r>
    </w:p>
    <w:p w14:paraId="30898928" w14:textId="77777777" w:rsidR="00C109AD" w:rsidRPr="005507EA" w:rsidRDefault="00C109AD" w:rsidP="00C109AD">
      <w:pPr>
        <w:pStyle w:val="SingleTxtG"/>
      </w:pPr>
      <w:r>
        <w:t>20.</w:t>
      </w:r>
      <w:r>
        <w:tab/>
        <w:t>Административный комитет утвердил представленный Австрией и Германией стандартизированный перечень обязательных проверок для танкеров в соответствии с пунктом 1.8.1.2.1 ВОПОГ. Секретариату было поручено опубликовать этот перечень на веб-сайте.</w:t>
      </w:r>
    </w:p>
    <w:p w14:paraId="275F8E17" w14:textId="0833EE15" w:rsidR="00C109AD" w:rsidRPr="005507EA" w:rsidRDefault="00C109AD" w:rsidP="00C109AD">
      <w:pPr>
        <w:pStyle w:val="HChG"/>
        <w:rPr>
          <w:snapToGrid w:val="0"/>
        </w:rPr>
      </w:pPr>
      <w:r>
        <w:rPr>
          <w:bCs/>
        </w:rPr>
        <w:tab/>
        <w:t>VI.</w:t>
      </w:r>
      <w:r>
        <w:tab/>
        <w:t xml:space="preserve">Работа Комитета по вопросам безопасности </w:t>
      </w:r>
      <w:r w:rsidR="009252A5">
        <w:br/>
      </w:r>
      <w:r>
        <w:t>(пункт 5 повестки дня)</w:t>
      </w:r>
    </w:p>
    <w:p w14:paraId="17DABFF4" w14:textId="1B8FB024" w:rsidR="00C109AD" w:rsidRPr="005507EA" w:rsidRDefault="00C109AD" w:rsidP="00C109AD">
      <w:pPr>
        <w:pStyle w:val="SingleTxtG"/>
        <w:tabs>
          <w:tab w:val="left" w:pos="3402"/>
        </w:tabs>
        <w:rPr>
          <w:snapToGrid w:val="0"/>
        </w:rPr>
      </w:pPr>
      <w:r>
        <w:rPr>
          <w:i/>
          <w:iCs/>
        </w:rPr>
        <w:t>Документ:</w:t>
      </w:r>
      <w:r>
        <w:t xml:space="preserve"> </w:t>
      </w:r>
      <w:r>
        <w:tab/>
      </w:r>
      <w:r w:rsidR="009252A5">
        <w:tab/>
      </w:r>
      <w:r w:rsidR="009252A5">
        <w:tab/>
      </w:r>
      <w:r w:rsidR="009252A5">
        <w:tab/>
      </w:r>
      <w:r w:rsidR="009252A5">
        <w:tab/>
      </w:r>
      <w:r>
        <w:t>ECE/ADN/2024/1 и Corr.1</w:t>
      </w:r>
    </w:p>
    <w:p w14:paraId="3E02C4F0" w14:textId="77777777" w:rsidR="00C109AD" w:rsidRPr="005507EA" w:rsidRDefault="00C109AD" w:rsidP="00C109AD">
      <w:pPr>
        <w:pStyle w:val="SingleTxtG"/>
      </w:pPr>
      <w:r>
        <w:t>21.</w:t>
      </w:r>
      <w:r>
        <w:tab/>
        <w:t xml:space="preserve">Административный комитет принял к сведению информацию о работе Комитета по вопросам безопасности, изложенную в докладе о работе его сорок третьей сессии, состоявшейся в Женеве 22–26 января 2024 года (ECE/TRANS/WP.15/AC.2/88 и Add.1). Он отметил, что Комитет по вопросам безопасности рассмотрел и проверил все поправки к Правилам, прилагаемым к ВОПОГ, которые он предложил на своих сессиях 2022 и 2023 годов для вступления в силу 1 января 2025 года (которые были сведены воедино секретариатом в документах ECE/ADN/2024/1 и Corr.1), внес в некоторые из них изменения и предложил новые поправки и исправления к изданию ВОПОГ 2023 года. Комитет принял все эти поправки и исправления, приведенные соответственно в приложениях I и II к докладу Комитета по вопросам безопасности. Секретариату было поручено предпринять необходимые шаги к тому, чтобы направить исправления Договаривающимся сторонам в соответствии с обычной процедурой, с тем чтобы тексты можно было скорректировать в кратчайшие сроки. </w:t>
      </w:r>
    </w:p>
    <w:p w14:paraId="0B4A081A" w14:textId="77777777" w:rsidR="00C109AD" w:rsidRDefault="00C109AD" w:rsidP="00C109AD">
      <w:pPr>
        <w:pStyle w:val="SingleTxtG"/>
      </w:pPr>
      <w:r>
        <w:lastRenderedPageBreak/>
        <w:t>22.</w:t>
      </w:r>
      <w:r>
        <w:tab/>
        <w:t>Административный комитет просил секретариат подготовить сводный перечень всех предложенных поправок, принятых им для вступления в силу 1 января 2025 года, с тем чтобы их можно было изложить в официальном предложении о поправках к ВОПОГ в соответствии с процедурой, предусмотренной в статье 20. Соответствующее уведомление должно быть направлено не позднее 1 июля 2024 года с упоминанием предусмотренной даты вступления в силу — 1 января 2025 года.</w:t>
      </w:r>
    </w:p>
    <w:p w14:paraId="322589EA" w14:textId="7FE99B4D" w:rsidR="00C109AD" w:rsidRPr="005507EA" w:rsidRDefault="00C109AD" w:rsidP="00C109AD">
      <w:pPr>
        <w:pStyle w:val="SingleTxtG"/>
      </w:pPr>
      <w:r>
        <w:t>23.</w:t>
      </w:r>
      <w:r>
        <w:tab/>
        <w:t xml:space="preserve">Было отмечено, что на своей сорок четвертой сессии Комитет по вопросам безопасности рассмотрит на предмет принятия и вступления в силу 1 января 2025 года только те поправки и исправления к уже принятым текстам, которые будут необходимы для обеспечения согласованности между ДОПОГ, МПОГ и ВОПОГ, исходя из решений, которые будут приняты Совместным совещанием Комиссии экспертов МПОГ и Рабочей группы по перевозкам опасных грузов на его весенней сессии в марте 2024 года и Рабочей группой по перевозкам опасных грузов на ее </w:t>
      </w:r>
      <w:r w:rsidR="006D7C7C">
        <w:br/>
      </w:r>
      <w:r>
        <w:t>сто пятнадцатой сессии в апреле 2024 года.</w:t>
      </w:r>
    </w:p>
    <w:p w14:paraId="65289FE3" w14:textId="77777777" w:rsidR="00C109AD" w:rsidRPr="005507EA" w:rsidRDefault="00C109AD" w:rsidP="00C109AD">
      <w:pPr>
        <w:pStyle w:val="SingleTxtG"/>
      </w:pPr>
      <w:r>
        <w:t>24.</w:t>
      </w:r>
      <w:r>
        <w:tab/>
        <w:t>Административный комитет предложил секретариатам ЕЭК ООН и ЦКСР продолжать сотрудничать в целях обеспечения согласованности всех языковых вариантов ВОПОГ 2025 года. Он также просил секретариат ЕЭК ООН подготовить сводный текст ВОПОГ с изменениями по состоянию на 1 января 2025 года в качестве издания Организации Объединенных Наций и опубликовать его заблаговременно до указанной даты, с тем чтобы страны могли подготовиться к выполнению новых положений.</w:t>
      </w:r>
    </w:p>
    <w:p w14:paraId="628AA50C" w14:textId="24BBAD74" w:rsidR="00C109AD" w:rsidRPr="009252A5" w:rsidRDefault="00C109AD" w:rsidP="00C109AD">
      <w:pPr>
        <w:pStyle w:val="SingleTxtG"/>
      </w:pPr>
      <w:r>
        <w:t>25.</w:t>
      </w:r>
      <w:r>
        <w:tab/>
        <w:t xml:space="preserve">Административный комитет приветствовал принятие Комитетом по </w:t>
      </w:r>
      <w:r w:rsidR="009252A5">
        <w:br/>
      </w:r>
      <w:r>
        <w:t xml:space="preserve">вопросам безопасности своих пересмотренных Правил процедуры, URL: </w:t>
      </w:r>
      <w:hyperlink r:id="rId12" w:history="1">
        <w:r w:rsidR="009252A5" w:rsidRPr="008D4649">
          <w:rPr>
            <w:rStyle w:val="af1"/>
          </w:rPr>
          <w:t>https://unece.org/sites/default/files/2023-08/Rules%20of%20procedure%20ADN%20Safety%20Committee%20R.pdf</w:t>
        </w:r>
      </w:hyperlink>
      <w:r>
        <w:t>.</w:t>
      </w:r>
      <w:r w:rsidR="009252A5" w:rsidRPr="009252A5">
        <w:t xml:space="preserve"> </w:t>
      </w:r>
    </w:p>
    <w:p w14:paraId="7BEAB88A" w14:textId="5942791B" w:rsidR="00C109AD" w:rsidRPr="005507EA" w:rsidRDefault="00C109AD" w:rsidP="00C109AD">
      <w:pPr>
        <w:pStyle w:val="HChG"/>
        <w:rPr>
          <w:snapToGrid w:val="0"/>
        </w:rPr>
      </w:pPr>
      <w:r>
        <w:rPr>
          <w:bCs/>
        </w:rPr>
        <w:tab/>
        <w:t>VII.</w:t>
      </w:r>
      <w:r>
        <w:tab/>
      </w:r>
      <w:r>
        <w:rPr>
          <w:bCs/>
        </w:rPr>
        <w:t>Программа работы и расписание совещаний</w:t>
      </w:r>
      <w:r w:rsidR="0056541C">
        <w:rPr>
          <w:bCs/>
        </w:rPr>
        <w:t xml:space="preserve"> </w:t>
      </w:r>
      <w:r w:rsidR="009252A5">
        <w:rPr>
          <w:bCs/>
        </w:rPr>
        <w:br/>
      </w:r>
      <w:r>
        <w:rPr>
          <w:bCs/>
        </w:rPr>
        <w:t>(пункт 6 повестки дня)</w:t>
      </w:r>
    </w:p>
    <w:p w14:paraId="76B677A5" w14:textId="77777777" w:rsidR="00C109AD" w:rsidRPr="005507EA" w:rsidRDefault="00C109AD" w:rsidP="00C109AD">
      <w:pPr>
        <w:pStyle w:val="SingleTxtG"/>
      </w:pPr>
      <w:r>
        <w:t>26.</w:t>
      </w:r>
      <w:r>
        <w:tab/>
        <w:t>Административный комитет принял к сведению, что его следующую сессию планируется провести 30 августа 2024 года в 12 ч 00 мин и что крайним сроком представления документов является 31 мая 2024 года.</w:t>
      </w:r>
    </w:p>
    <w:p w14:paraId="5118FC56" w14:textId="77777777" w:rsidR="00C109AD" w:rsidRPr="00266FC6" w:rsidRDefault="00C109AD" w:rsidP="00C109AD">
      <w:pPr>
        <w:pStyle w:val="HChG"/>
        <w:rPr>
          <w:snapToGrid w:val="0"/>
        </w:rPr>
      </w:pPr>
      <w:r>
        <w:rPr>
          <w:bCs/>
        </w:rPr>
        <w:tab/>
        <w:t>VIII.</w:t>
      </w:r>
      <w:r>
        <w:tab/>
        <w:t>Прочие вопросы (пункт 7 повестки дня)</w:t>
      </w:r>
    </w:p>
    <w:p w14:paraId="469551C6" w14:textId="77777777" w:rsidR="00C109AD" w:rsidRPr="006158D7" w:rsidRDefault="00C109AD" w:rsidP="00C109AD">
      <w:pPr>
        <w:pStyle w:val="H1G"/>
        <w:rPr>
          <w:snapToGrid w:val="0"/>
        </w:rPr>
      </w:pPr>
      <w:r>
        <w:rPr>
          <w:bCs/>
        </w:rPr>
        <w:tab/>
        <w:t>A.</w:t>
      </w:r>
      <w:r>
        <w:tab/>
      </w:r>
      <w:r>
        <w:tab/>
        <w:t>Модули электронного обучения</w:t>
      </w:r>
    </w:p>
    <w:p w14:paraId="696EED4C" w14:textId="77777777" w:rsidR="00C109AD" w:rsidRPr="005507EA" w:rsidRDefault="00C109AD" w:rsidP="00C109AD">
      <w:pPr>
        <w:pStyle w:val="SingleTxtG"/>
        <w:rPr>
          <w:snapToGrid w:val="0"/>
        </w:rPr>
      </w:pPr>
      <w:r>
        <w:t>27.</w:t>
      </w:r>
      <w:r>
        <w:tab/>
        <w:t>Административный комитет принял к сведению информацию Германии о том, что неофициальная рабочая группа МПОГ/ДОПОГ/ВОПОГ по электронному обучению обсуждает вариант сочетания модулей электронного обучения с очными занятиями, который может представлять интерес для неофициальной рабочей группы по подготовке экспертов. Заинтересованным делегатам было предложено принять участие в следующем совещании неофициальной рабочей группы по электронному обучению.</w:t>
      </w:r>
    </w:p>
    <w:p w14:paraId="5F926AAD" w14:textId="77777777" w:rsidR="00C109AD" w:rsidRPr="005507EA" w:rsidRDefault="00C109AD" w:rsidP="00C109AD">
      <w:pPr>
        <w:pStyle w:val="H1G"/>
        <w:rPr>
          <w:snapToGrid w:val="0"/>
        </w:rPr>
      </w:pPr>
      <w:r>
        <w:rPr>
          <w:bCs/>
        </w:rPr>
        <w:tab/>
        <w:t>B.</w:t>
      </w:r>
      <w:r>
        <w:tab/>
        <w:t xml:space="preserve">Выражение благодарности г-ну П. </w:t>
      </w:r>
      <w:proofErr w:type="spellStart"/>
      <w:r>
        <w:t>Дюфуру</w:t>
      </w:r>
      <w:proofErr w:type="spellEnd"/>
      <w:r>
        <w:t xml:space="preserve"> (Франция)</w:t>
      </w:r>
    </w:p>
    <w:p w14:paraId="0F136889" w14:textId="77777777" w:rsidR="00C109AD" w:rsidRPr="005507EA" w:rsidRDefault="00C109AD" w:rsidP="00C109AD">
      <w:pPr>
        <w:pStyle w:val="SingleTxtG"/>
        <w:rPr>
          <w:snapToGrid w:val="0"/>
        </w:rPr>
      </w:pPr>
      <w:r>
        <w:t>28.</w:t>
      </w:r>
      <w:r>
        <w:tab/>
        <w:t xml:space="preserve">Узнав, что г-н Пьер </w:t>
      </w:r>
      <w:proofErr w:type="spellStart"/>
      <w:r>
        <w:t>Дюфур</w:t>
      </w:r>
      <w:proofErr w:type="spellEnd"/>
      <w:r>
        <w:t xml:space="preserve"> скоро выйдет на пенсию и больше не будет участвовать в работе </w:t>
      </w:r>
      <w:proofErr w:type="gramStart"/>
      <w:r>
        <w:t>сессий</w:t>
      </w:r>
      <w:proofErr w:type="gramEnd"/>
      <w:r>
        <w:t xml:space="preserve"> Административный комитет отметил его активную поддержку работы Комитета на протяжении последних тринадцати лет и поблагодарил его за приверженность освещению взаимосвязей между морским и внутренним судоходством. Административный комитет пожелал ему долгих лет жизни и счастливого пребывания на заслуженном отдыхе.</w:t>
      </w:r>
    </w:p>
    <w:p w14:paraId="769E02A5" w14:textId="77777777" w:rsidR="00C109AD" w:rsidRPr="005507EA" w:rsidRDefault="00C109AD" w:rsidP="00C109AD">
      <w:pPr>
        <w:pStyle w:val="HChG"/>
        <w:rPr>
          <w:snapToGrid w:val="0"/>
        </w:rPr>
      </w:pPr>
      <w:r>
        <w:rPr>
          <w:bCs/>
        </w:rPr>
        <w:lastRenderedPageBreak/>
        <w:tab/>
        <w:t>IX.</w:t>
      </w:r>
      <w:r>
        <w:tab/>
        <w:t>Утверждение доклада (пункт 8 повестки дня)</w:t>
      </w:r>
    </w:p>
    <w:p w14:paraId="26D85A98" w14:textId="77777777" w:rsidR="00C109AD" w:rsidRPr="005507EA" w:rsidRDefault="00C109AD" w:rsidP="00C109AD">
      <w:pPr>
        <w:pStyle w:val="SingleTxtG"/>
        <w:rPr>
          <w:snapToGrid w:val="0"/>
        </w:rPr>
      </w:pPr>
      <w:r>
        <w:t>29.</w:t>
      </w:r>
      <w:r>
        <w:tab/>
        <w:t>Административный комитет утвердил доклад о работе своей тридцать первой сессии на основе проекта, подготовленного секретариатом и разосланного делегациям для одобрения по электронной почте после сессии.</w:t>
      </w:r>
    </w:p>
    <w:p w14:paraId="050FA5B8" w14:textId="77777777" w:rsidR="0056541C" w:rsidRDefault="00C109AD" w:rsidP="00C109AD">
      <w:pPr>
        <w:tabs>
          <w:tab w:val="right" w:pos="1134"/>
          <w:tab w:val="left" w:pos="1701"/>
        </w:tabs>
        <w:spacing w:before="240"/>
        <w:ind w:left="1134" w:right="1134"/>
        <w:jc w:val="center"/>
        <w:rPr>
          <w:rFonts w:eastAsia="Calibri"/>
          <w:u w:val="single"/>
        </w:rPr>
      </w:pPr>
      <w:r w:rsidRPr="005507EA">
        <w:rPr>
          <w:rFonts w:eastAsia="Calibri"/>
          <w:u w:val="single"/>
        </w:rPr>
        <w:tab/>
      </w:r>
      <w:r w:rsidRPr="005507EA">
        <w:rPr>
          <w:rFonts w:eastAsia="Calibri"/>
          <w:u w:val="single"/>
        </w:rPr>
        <w:tab/>
      </w:r>
      <w:r w:rsidRPr="005507EA">
        <w:rPr>
          <w:rFonts w:eastAsia="Calibri"/>
          <w:u w:val="single"/>
        </w:rPr>
        <w:tab/>
      </w:r>
      <w:r w:rsidRPr="005507EA">
        <w:rPr>
          <w:rFonts w:eastAsia="Calibri"/>
          <w:u w:val="single"/>
        </w:rPr>
        <w:tab/>
      </w:r>
    </w:p>
    <w:p w14:paraId="1BBE9279" w14:textId="0CBE8C0E" w:rsidR="00E12C5F" w:rsidRPr="008D53B6" w:rsidRDefault="00E12C5F" w:rsidP="00D9145B"/>
    <w:sectPr w:rsidR="00E12C5F" w:rsidRPr="008D53B6" w:rsidSect="00AC6F2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854A" w14:textId="77777777" w:rsidR="00ED35CF" w:rsidRPr="00A312BC" w:rsidRDefault="00ED35CF" w:rsidP="00A312BC"/>
  </w:endnote>
  <w:endnote w:type="continuationSeparator" w:id="0">
    <w:p w14:paraId="121FC785" w14:textId="77777777" w:rsidR="00ED35CF" w:rsidRPr="00A312BC" w:rsidRDefault="00ED35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745F" w14:textId="22A5CF63" w:rsidR="00AC6F2F" w:rsidRPr="00AC6F2F" w:rsidRDefault="00AC6F2F">
    <w:pPr>
      <w:pStyle w:val="a8"/>
    </w:pPr>
    <w:r w:rsidRPr="00AC6F2F">
      <w:rPr>
        <w:b/>
        <w:sz w:val="18"/>
      </w:rPr>
      <w:fldChar w:fldCharType="begin"/>
    </w:r>
    <w:r w:rsidRPr="00AC6F2F">
      <w:rPr>
        <w:b/>
        <w:sz w:val="18"/>
      </w:rPr>
      <w:instrText xml:space="preserve"> PAGE  \* MERGEFORMAT </w:instrText>
    </w:r>
    <w:r w:rsidRPr="00AC6F2F">
      <w:rPr>
        <w:b/>
        <w:sz w:val="18"/>
      </w:rPr>
      <w:fldChar w:fldCharType="separate"/>
    </w:r>
    <w:r w:rsidRPr="00AC6F2F">
      <w:rPr>
        <w:b/>
        <w:noProof/>
        <w:sz w:val="18"/>
      </w:rPr>
      <w:t>2</w:t>
    </w:r>
    <w:r w:rsidRPr="00AC6F2F">
      <w:rPr>
        <w:b/>
        <w:sz w:val="18"/>
      </w:rPr>
      <w:fldChar w:fldCharType="end"/>
    </w:r>
    <w:r>
      <w:rPr>
        <w:b/>
        <w:sz w:val="18"/>
      </w:rPr>
      <w:tab/>
    </w:r>
    <w:r>
      <w:t>GE.24-02693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6E82" w14:textId="1BC78BA2" w:rsidR="00AC6F2F" w:rsidRPr="00AC6F2F" w:rsidRDefault="00AC6F2F" w:rsidP="00AC6F2F">
    <w:pPr>
      <w:pStyle w:val="a8"/>
      <w:tabs>
        <w:tab w:val="clear" w:pos="9639"/>
        <w:tab w:val="right" w:pos="9638"/>
      </w:tabs>
      <w:rPr>
        <w:b/>
        <w:sz w:val="18"/>
      </w:rPr>
    </w:pPr>
    <w:r>
      <w:t>GE.24-02693</w:t>
    </w:r>
    <w:r>
      <w:tab/>
    </w:r>
    <w:r w:rsidRPr="00AC6F2F">
      <w:rPr>
        <w:b/>
        <w:sz w:val="18"/>
      </w:rPr>
      <w:fldChar w:fldCharType="begin"/>
    </w:r>
    <w:r w:rsidRPr="00AC6F2F">
      <w:rPr>
        <w:b/>
        <w:sz w:val="18"/>
      </w:rPr>
      <w:instrText xml:space="preserve"> PAGE  \* MERGEFORMAT </w:instrText>
    </w:r>
    <w:r w:rsidRPr="00AC6F2F">
      <w:rPr>
        <w:b/>
        <w:sz w:val="18"/>
      </w:rPr>
      <w:fldChar w:fldCharType="separate"/>
    </w:r>
    <w:r w:rsidRPr="00AC6F2F">
      <w:rPr>
        <w:b/>
        <w:noProof/>
        <w:sz w:val="18"/>
      </w:rPr>
      <w:t>3</w:t>
    </w:r>
    <w:r w:rsidRPr="00AC6F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75DA" w14:textId="7E948570" w:rsidR="00042B72" w:rsidRPr="00AC6F2F" w:rsidRDefault="00AC6F2F" w:rsidP="00AC6F2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47A7E8" wp14:editId="6D6D45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24-02693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A6A05A" wp14:editId="256662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200224  220224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EA00" w14:textId="77777777" w:rsidR="00ED35CF" w:rsidRPr="001075E9" w:rsidRDefault="00ED35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3694A4" w14:textId="77777777" w:rsidR="00ED35CF" w:rsidRDefault="00ED35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8966F7" w14:textId="49942341" w:rsidR="00C109AD" w:rsidRPr="005507EA" w:rsidRDefault="00C109AD" w:rsidP="0056541C">
      <w:pPr>
        <w:pStyle w:val="ad"/>
      </w:pPr>
      <w:r>
        <w:tab/>
      </w:r>
      <w:r w:rsidRPr="00C36000">
        <w:rPr>
          <w:sz w:val="20"/>
          <w:szCs w:val="22"/>
        </w:rPr>
        <w:t>*</w:t>
      </w:r>
      <w:r>
        <w:tab/>
        <w:t xml:space="preserve">Распространено на немецком языке Центральной комиссией судоходства по Рейну </w:t>
      </w:r>
      <w:r w:rsidR="00C36000">
        <w:br/>
      </w:r>
      <w:r>
        <w:t>под условным обозначением CCNR/ZKR/ADN/69.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4CF3" w14:textId="405071FC" w:rsidR="00AC6F2F" w:rsidRPr="00AC6F2F" w:rsidRDefault="00F12D8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ECE/ADN/69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CAF7" w14:textId="305CD568" w:rsidR="00AC6F2F" w:rsidRPr="00AC6F2F" w:rsidRDefault="00F12D80" w:rsidP="00AC6F2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ECE/ADN/69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CF"/>
    <w:rsid w:val="00033EE1"/>
    <w:rsid w:val="00042B72"/>
    <w:rsid w:val="000558BD"/>
    <w:rsid w:val="000B57E7"/>
    <w:rsid w:val="000B6373"/>
    <w:rsid w:val="000E4E5B"/>
    <w:rsid w:val="000F09DF"/>
    <w:rsid w:val="000F2CB3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287"/>
    <w:rsid w:val="0024066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E9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6301"/>
    <w:rsid w:val="004E05B7"/>
    <w:rsid w:val="0050108D"/>
    <w:rsid w:val="00513081"/>
    <w:rsid w:val="00517901"/>
    <w:rsid w:val="00526683"/>
    <w:rsid w:val="00526DB8"/>
    <w:rsid w:val="005576CE"/>
    <w:rsid w:val="00563611"/>
    <w:rsid w:val="005639C1"/>
    <w:rsid w:val="0056541C"/>
    <w:rsid w:val="005709E0"/>
    <w:rsid w:val="00572E19"/>
    <w:rsid w:val="005961C8"/>
    <w:rsid w:val="005966F1"/>
    <w:rsid w:val="005D7914"/>
    <w:rsid w:val="005E2B41"/>
    <w:rsid w:val="005F0B42"/>
    <w:rsid w:val="005F33F8"/>
    <w:rsid w:val="00617A43"/>
    <w:rsid w:val="00617B7A"/>
    <w:rsid w:val="006345DB"/>
    <w:rsid w:val="00640F49"/>
    <w:rsid w:val="00680D03"/>
    <w:rsid w:val="00681A10"/>
    <w:rsid w:val="006A1ED8"/>
    <w:rsid w:val="006C2031"/>
    <w:rsid w:val="006D461A"/>
    <w:rsid w:val="006D7C7C"/>
    <w:rsid w:val="006F35EE"/>
    <w:rsid w:val="007021FF"/>
    <w:rsid w:val="007108AF"/>
    <w:rsid w:val="00712895"/>
    <w:rsid w:val="00734ACB"/>
    <w:rsid w:val="00757357"/>
    <w:rsid w:val="00792497"/>
    <w:rsid w:val="00806737"/>
    <w:rsid w:val="008073D0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52A5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6F2F"/>
    <w:rsid w:val="00B10CC7"/>
    <w:rsid w:val="00B1324F"/>
    <w:rsid w:val="00B36DF7"/>
    <w:rsid w:val="00B539E7"/>
    <w:rsid w:val="00B62458"/>
    <w:rsid w:val="00BC18B2"/>
    <w:rsid w:val="00BD33EE"/>
    <w:rsid w:val="00BE1CC7"/>
    <w:rsid w:val="00C106D6"/>
    <w:rsid w:val="00C109AD"/>
    <w:rsid w:val="00C119AE"/>
    <w:rsid w:val="00C36000"/>
    <w:rsid w:val="00C60F0C"/>
    <w:rsid w:val="00C71E84"/>
    <w:rsid w:val="00C805C9"/>
    <w:rsid w:val="00C92939"/>
    <w:rsid w:val="00C977FE"/>
    <w:rsid w:val="00CA1679"/>
    <w:rsid w:val="00CB151C"/>
    <w:rsid w:val="00CE5A1A"/>
    <w:rsid w:val="00CF0216"/>
    <w:rsid w:val="00CF55F6"/>
    <w:rsid w:val="00D32C6C"/>
    <w:rsid w:val="00D33D63"/>
    <w:rsid w:val="00D5253A"/>
    <w:rsid w:val="00D873A8"/>
    <w:rsid w:val="00D90028"/>
    <w:rsid w:val="00D90138"/>
    <w:rsid w:val="00D9145B"/>
    <w:rsid w:val="00D94FB4"/>
    <w:rsid w:val="00DD78D1"/>
    <w:rsid w:val="00DE32CD"/>
    <w:rsid w:val="00DF5767"/>
    <w:rsid w:val="00DF71B9"/>
    <w:rsid w:val="00E12C5F"/>
    <w:rsid w:val="00E22CE2"/>
    <w:rsid w:val="00E51450"/>
    <w:rsid w:val="00E73F76"/>
    <w:rsid w:val="00E91A4A"/>
    <w:rsid w:val="00EA2C9F"/>
    <w:rsid w:val="00EA420E"/>
    <w:rsid w:val="00ED0BDA"/>
    <w:rsid w:val="00ED35CF"/>
    <w:rsid w:val="00EE142A"/>
    <w:rsid w:val="00EF1360"/>
    <w:rsid w:val="00EF3220"/>
    <w:rsid w:val="00F12D80"/>
    <w:rsid w:val="00F15344"/>
    <w:rsid w:val="00F21749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600EA"/>
  <w15:docId w15:val="{C1E3E85E-808F-4EA7-9F69-FC8216B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109AD"/>
    <w:rPr>
      <w:lang w:val="ru-RU" w:eastAsia="en-US"/>
    </w:rPr>
  </w:style>
  <w:style w:type="character" w:customStyle="1" w:styleId="HChGChar">
    <w:name w:val="_ H _Ch_G Char"/>
    <w:link w:val="HChG"/>
    <w:rsid w:val="00C109A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109AD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92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pecial-authorization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hyperlink" Target="https://unece.org/sites/default/files/2023-08/Rules%20of%20procedure%20ADN%20Safety%20Committee%20R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model-expert-certifica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nece.org/country-information-competent-authoritiesnotifications-according-1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equivalences-and-derogations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B5BD4-607E-4F1D-AB4C-676A8BD75578}"/>
</file>

<file path=customXml/itemProps2.xml><?xml version="1.0" encoding="utf-8"?>
<ds:datastoreItem xmlns:ds="http://schemas.openxmlformats.org/officeDocument/2006/customXml" ds:itemID="{8687A91D-0B8D-4196-A615-E39C5BA7E8B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1675</Words>
  <Characters>11598</Characters>
  <Application>Microsoft Office Word</Application>
  <DocSecurity>0</DocSecurity>
  <Lines>233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ECE/ADN/69</dc:title>
  <dc:subject/>
  <dc:creator>Ekaterina SALYNSKAYA</dc:creator>
  <cp:keywords/>
  <cp:lastModifiedBy>Ekaterina Salynskaya</cp:lastModifiedBy>
  <cp:revision>3</cp:revision>
  <cp:lastPrinted>2024-02-22T12:45:00Z</cp:lastPrinted>
  <dcterms:created xsi:type="dcterms:W3CDTF">2024-02-22T12:45:00Z</dcterms:created>
  <dcterms:modified xsi:type="dcterms:W3CDTF">2024-02-22T12:46:00Z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