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6144"/>
      </w:tblGrid>
      <w:tr w:rsidR="00E52109" w14:paraId="10282898" w14:textId="77777777" w:rsidTr="006476E1">
        <w:trPr>
          <w:trHeight w:val="851"/>
        </w:trPr>
        <w:tc>
          <w:tcPr>
            <w:tcW w:w="1259" w:type="dxa"/>
            <w:tcBorders>
              <w:top w:val="nil"/>
              <w:left w:val="nil"/>
              <w:bottom w:val="single" w:sz="4" w:space="0" w:color="auto"/>
              <w:right w:val="nil"/>
            </w:tcBorders>
          </w:tcPr>
          <w:p w14:paraId="30CB6FBC" w14:textId="77777777" w:rsidR="00E52109" w:rsidRPr="002A32CB" w:rsidRDefault="00E52109" w:rsidP="004858F5"/>
        </w:tc>
        <w:tc>
          <w:tcPr>
            <w:tcW w:w="2236" w:type="dxa"/>
            <w:tcBorders>
              <w:top w:val="nil"/>
              <w:left w:val="nil"/>
              <w:bottom w:val="single" w:sz="4" w:space="0" w:color="auto"/>
              <w:right w:val="nil"/>
            </w:tcBorders>
            <w:vAlign w:val="bottom"/>
          </w:tcPr>
          <w:p w14:paraId="078A3D91" w14:textId="1F51FC70" w:rsidR="00E52109" w:rsidRDefault="00E52109" w:rsidP="006476E1">
            <w:pPr>
              <w:spacing w:after="80" w:line="300" w:lineRule="exact"/>
              <w:rPr>
                <w:sz w:val="28"/>
                <w:szCs w:val="28"/>
              </w:rPr>
            </w:pPr>
          </w:p>
        </w:tc>
        <w:tc>
          <w:tcPr>
            <w:tcW w:w="6144" w:type="dxa"/>
            <w:tcBorders>
              <w:top w:val="nil"/>
              <w:left w:val="nil"/>
              <w:bottom w:val="single" w:sz="4" w:space="0" w:color="auto"/>
              <w:right w:val="nil"/>
            </w:tcBorders>
            <w:vAlign w:val="bottom"/>
          </w:tcPr>
          <w:p w14:paraId="5D6894FA" w14:textId="1163779D" w:rsidR="00E52109" w:rsidRPr="00AE1BA4" w:rsidRDefault="00AE1BA4" w:rsidP="00AE1BA4">
            <w:pPr>
              <w:jc w:val="right"/>
              <w:rPr>
                <w:b/>
                <w:bCs/>
              </w:rPr>
            </w:pPr>
            <w:r w:rsidRPr="00AE1BA4">
              <w:rPr>
                <w:b/>
                <w:bCs/>
                <w:sz w:val="40"/>
              </w:rPr>
              <w:t>UN</w:t>
            </w:r>
            <w:r w:rsidRPr="00AE1BA4">
              <w:rPr>
                <w:b/>
                <w:bCs/>
                <w:sz w:val="40"/>
                <w:szCs w:val="40"/>
              </w:rPr>
              <w:t>/SCETDG/INF.7</w:t>
            </w:r>
          </w:p>
        </w:tc>
      </w:tr>
    </w:tbl>
    <w:p w14:paraId="4300311F" w14:textId="77777777" w:rsidR="00AE1BA4" w:rsidRPr="006500BA" w:rsidRDefault="00AE1BA4" w:rsidP="004858F5">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79695C49" w14:textId="4C15125E" w:rsidR="00AE1BA4" w:rsidRPr="006500BA" w:rsidRDefault="00AE1BA4" w:rsidP="004858F5">
      <w:pPr>
        <w:spacing w:before="120"/>
        <w:rPr>
          <w:rFonts w:ascii="Helv" w:hAnsi="Helv" w:cs="Helv"/>
          <w:b/>
          <w:color w:val="000000"/>
        </w:rPr>
      </w:pPr>
      <w:r w:rsidRPr="006500BA">
        <w:rPr>
          <w:b/>
        </w:rPr>
        <w:t xml:space="preserve">Sub-Committee of Experts on the </w:t>
      </w:r>
      <w:r>
        <w:rPr>
          <w:b/>
        </w:rPr>
        <w:t>Transport of Dangerous Goods</w:t>
      </w:r>
      <w:r>
        <w:rPr>
          <w:b/>
        </w:rPr>
        <w:tab/>
      </w:r>
      <w:r>
        <w:rPr>
          <w:b/>
        </w:rPr>
        <w:tab/>
      </w:r>
      <w:r>
        <w:rPr>
          <w:b/>
        </w:rPr>
        <w:tab/>
        <w:t>18 April 2024</w:t>
      </w:r>
    </w:p>
    <w:p w14:paraId="5A0642A5" w14:textId="10F4A42A" w:rsidR="00AE1BA4" w:rsidRPr="006500BA" w:rsidRDefault="00AE1BA4" w:rsidP="004858F5">
      <w:pPr>
        <w:spacing w:before="120"/>
        <w:rPr>
          <w:b/>
        </w:rPr>
      </w:pPr>
      <w:r>
        <w:rPr>
          <w:b/>
        </w:rPr>
        <w:t xml:space="preserve">Sixty-fourth </w:t>
      </w:r>
      <w:r w:rsidRPr="006500BA">
        <w:rPr>
          <w:b/>
        </w:rPr>
        <w:t>session</w:t>
      </w:r>
    </w:p>
    <w:p w14:paraId="3D37A3F6" w14:textId="1C34770B" w:rsidR="00AE1BA4" w:rsidRPr="006500BA" w:rsidRDefault="00AE1BA4" w:rsidP="004858F5">
      <w:r w:rsidRPr="006500BA">
        <w:t xml:space="preserve">Geneva, </w:t>
      </w:r>
      <w:r>
        <w:t xml:space="preserve">24 June-3 July 2024 </w:t>
      </w:r>
    </w:p>
    <w:p w14:paraId="1A99DD0D" w14:textId="4DF2303C" w:rsidR="00AE1BA4" w:rsidRPr="006500BA" w:rsidRDefault="00AE1BA4" w:rsidP="004858F5">
      <w:r w:rsidRPr="006500BA">
        <w:t xml:space="preserve">Item </w:t>
      </w:r>
      <w:r>
        <w:t>3</w:t>
      </w:r>
      <w:r w:rsidRPr="006500BA">
        <w:t xml:space="preserve"> of the provisional agenda</w:t>
      </w:r>
    </w:p>
    <w:p w14:paraId="5E092077" w14:textId="506C86C2" w:rsidR="00AF5DE1" w:rsidRDefault="005F6C84" w:rsidP="004858F5">
      <w:pPr>
        <w:rPr>
          <w:b/>
          <w:bCs/>
        </w:rPr>
      </w:pPr>
      <w:r w:rsidRPr="005F6C84">
        <w:rPr>
          <w:b/>
          <w:bCs/>
        </w:rPr>
        <w:t>Listing, classification and packing</w:t>
      </w:r>
    </w:p>
    <w:p w14:paraId="61452421" w14:textId="2C74B8B6" w:rsidR="005F6C84" w:rsidRPr="009D42BA" w:rsidRDefault="005F6C84" w:rsidP="00CA0772">
      <w:pPr>
        <w:pStyle w:val="HChG"/>
      </w:pPr>
      <w:r>
        <w:tab/>
      </w:r>
      <w:r>
        <w:tab/>
      </w:r>
      <w:r w:rsidRPr="009D42BA">
        <w:t xml:space="preserve">Transport </w:t>
      </w:r>
      <w:r>
        <w:t>p</w:t>
      </w:r>
      <w:r w:rsidRPr="009D42BA">
        <w:t xml:space="preserve">rovisions for </w:t>
      </w:r>
      <w:r>
        <w:t>s</w:t>
      </w:r>
      <w:r w:rsidRPr="009D42BA">
        <w:t xml:space="preserve">mall </w:t>
      </w:r>
      <w:r>
        <w:t>q</w:t>
      </w:r>
      <w:r w:rsidRPr="009D42BA">
        <w:t xml:space="preserve">uantities of </w:t>
      </w:r>
      <w:r>
        <w:t>e</w:t>
      </w:r>
      <w:r w:rsidRPr="009D42BA">
        <w:t xml:space="preserve">nvironmentally </w:t>
      </w:r>
      <w:r>
        <w:t>h</w:t>
      </w:r>
      <w:r w:rsidRPr="009D42BA">
        <w:t xml:space="preserve">azardous </w:t>
      </w:r>
      <w:r>
        <w:t>p</w:t>
      </w:r>
      <w:r w:rsidRPr="009D42BA">
        <w:t>aints</w:t>
      </w:r>
      <w:r>
        <w:t>,</w:t>
      </w:r>
      <w:r w:rsidRPr="009D42BA">
        <w:t xml:space="preserve"> </w:t>
      </w:r>
      <w:r>
        <w:t>p</w:t>
      </w:r>
      <w:r w:rsidRPr="009D42BA">
        <w:t xml:space="preserve">rinting </w:t>
      </w:r>
      <w:r>
        <w:t>i</w:t>
      </w:r>
      <w:r w:rsidRPr="009D42BA">
        <w:t>nks</w:t>
      </w:r>
      <w:r>
        <w:t>,</w:t>
      </w:r>
      <w:r w:rsidRPr="009D42BA">
        <w:t xml:space="preserve"> and related materials</w:t>
      </w:r>
      <w:r>
        <w:t xml:space="preserve"> – Annexes to </w:t>
      </w:r>
      <w:r w:rsidR="00FA04B4">
        <w:t>d</w:t>
      </w:r>
      <w:r>
        <w:t xml:space="preserve">ocument </w:t>
      </w:r>
      <w:r w:rsidRPr="00F817FD">
        <w:rPr>
          <w:bCs/>
        </w:rPr>
        <w:t>ST/SG/AC.10/C.3/2024/31</w:t>
      </w:r>
    </w:p>
    <w:p w14:paraId="3488012C" w14:textId="4131B3B2" w:rsidR="005F6C84" w:rsidRPr="00B954FA" w:rsidRDefault="00CA0772" w:rsidP="00CA0772">
      <w:pPr>
        <w:pStyle w:val="H1G"/>
      </w:pPr>
      <w:r>
        <w:tab/>
      </w:r>
      <w:r>
        <w:tab/>
      </w:r>
      <w:r w:rsidR="005F6C84" w:rsidRPr="00B954FA">
        <w:t xml:space="preserve">Transmitted by the </w:t>
      </w:r>
      <w:r w:rsidR="005F6C84">
        <w:t>World Coatings</w:t>
      </w:r>
      <w:r w:rsidR="005F6C84" w:rsidRPr="00B954FA">
        <w:t xml:space="preserve"> Council (</w:t>
      </w:r>
      <w:r w:rsidR="005F6C84">
        <w:t>WC</w:t>
      </w:r>
      <w:r w:rsidR="005F6C84" w:rsidRPr="00B954FA">
        <w:t>C)</w:t>
      </w:r>
    </w:p>
    <w:p w14:paraId="60A1C023" w14:textId="3C9F50AD" w:rsidR="005F6C84" w:rsidRDefault="00CA0772" w:rsidP="00CA0772">
      <w:pPr>
        <w:pStyle w:val="HChG"/>
      </w:pPr>
      <w:r>
        <w:tab/>
      </w:r>
      <w:r>
        <w:tab/>
      </w:r>
      <w:r w:rsidR="005F6C84">
        <w:t xml:space="preserve">Annexes to </w:t>
      </w:r>
      <w:r>
        <w:t>d</w:t>
      </w:r>
      <w:r w:rsidR="005F6C84">
        <w:t xml:space="preserve">ocument </w:t>
      </w:r>
      <w:r w:rsidR="005F6C84" w:rsidRPr="00F817FD">
        <w:t>ST/SG/AC.10/C.3/2024/31</w:t>
      </w:r>
    </w:p>
    <w:p w14:paraId="2B15A4F9" w14:textId="441F5F82" w:rsidR="005F6C84" w:rsidRDefault="00CA0772" w:rsidP="00CA0772">
      <w:pPr>
        <w:pStyle w:val="SingleTxtG"/>
      </w:pPr>
      <w:r>
        <w:t>1.</w:t>
      </w:r>
      <w:r>
        <w:tab/>
      </w:r>
      <w:r w:rsidR="005F6C84">
        <w:t xml:space="preserve">This informal document contains three annexes that provide supporting information for WCC’s document to the </w:t>
      </w:r>
      <w:r>
        <w:t xml:space="preserve">sixty-fourth session </w:t>
      </w:r>
      <w:r w:rsidR="005F6C84">
        <w:t xml:space="preserve">of the </w:t>
      </w:r>
      <w:r w:rsidR="00DE57B4">
        <w:t>TDG Sub-Committe</w:t>
      </w:r>
      <w:r w:rsidR="00AB3E22">
        <w:t>e</w:t>
      </w:r>
      <w:r w:rsidR="00DE57B4">
        <w:t xml:space="preserve"> </w:t>
      </w:r>
      <w:r w:rsidR="005F6C84">
        <w:t xml:space="preserve">(see </w:t>
      </w:r>
      <w:r w:rsidR="00DE57B4">
        <w:t xml:space="preserve">document </w:t>
      </w:r>
      <w:r w:rsidR="005F6C84" w:rsidRPr="00F817FD">
        <w:t>ST/SG/AC.10/C.3/2024/31</w:t>
      </w:r>
      <w:r w:rsidR="005F6C84">
        <w:t>)</w:t>
      </w:r>
      <w:r>
        <w:rPr>
          <w:rStyle w:val="FootnoteReference"/>
        </w:rPr>
        <w:footnoteReference w:id="2"/>
      </w:r>
    </w:p>
    <w:p w14:paraId="176029A4" w14:textId="1A0109D2" w:rsidR="005F6C84" w:rsidRDefault="00CA0772" w:rsidP="00CA0772">
      <w:pPr>
        <w:pStyle w:val="SingleTxtG"/>
      </w:pPr>
      <w:r>
        <w:t>2.</w:t>
      </w:r>
      <w:r>
        <w:tab/>
      </w:r>
      <w:r w:rsidR="005F6C84">
        <w:t>Annex A provides additional information on the classification of mixtures as environmentally hazardous substances.</w:t>
      </w:r>
    </w:p>
    <w:p w14:paraId="6F6A6C72" w14:textId="023D69CC" w:rsidR="005F6C84" w:rsidRDefault="00CA0772" w:rsidP="00CA0772">
      <w:pPr>
        <w:pStyle w:val="SingleTxtG"/>
      </w:pPr>
      <w:r>
        <w:t>3.</w:t>
      </w:r>
      <w:r>
        <w:tab/>
      </w:r>
      <w:r w:rsidR="005F6C84">
        <w:t>Annex B</w:t>
      </w:r>
      <w:r w:rsidR="005F6C84" w:rsidRPr="007969E0">
        <w:t xml:space="preserve"> </w:t>
      </w:r>
      <w:r w:rsidR="005F6C84">
        <w:t>explains the differences in safety measures followed by the paint industry before and after the reclassification of certain paints from not regulated for transport to Class 9 environmentally hazardous mixtures.</w:t>
      </w:r>
    </w:p>
    <w:p w14:paraId="3DB1525B" w14:textId="02C48EF6" w:rsidR="00CA0772" w:rsidRDefault="00CA0772" w:rsidP="00CA0772">
      <w:pPr>
        <w:pStyle w:val="SingleTxtG"/>
        <w:rPr>
          <w:lang w:val="en-US"/>
        </w:rPr>
      </w:pPr>
      <w:r>
        <w:t>4.</w:t>
      </w:r>
      <w:r>
        <w:tab/>
      </w:r>
      <w:r w:rsidR="005F6C84" w:rsidRPr="00CA0772">
        <w:t>Annex</w:t>
      </w:r>
      <w:r w:rsidR="005F6C84">
        <w:t xml:space="preserve"> C illustrates </w:t>
      </w:r>
      <w:r w:rsidR="005F6C84" w:rsidRPr="005F6537">
        <w:rPr>
          <w:lang w:val="en-US"/>
        </w:rPr>
        <w:t xml:space="preserve">the </w:t>
      </w:r>
      <w:r w:rsidR="005F6C84">
        <w:rPr>
          <w:lang w:val="en-US"/>
        </w:rPr>
        <w:t xml:space="preserve">situations </w:t>
      </w:r>
      <w:r w:rsidR="005F6C84" w:rsidRPr="005F6537">
        <w:rPr>
          <w:lang w:val="en-US"/>
        </w:rPr>
        <w:t xml:space="preserve">before-and-after </w:t>
      </w:r>
      <w:r w:rsidR="005F6C84">
        <w:rPr>
          <w:lang w:val="en-US"/>
        </w:rPr>
        <w:t xml:space="preserve">reclassification </w:t>
      </w:r>
      <w:r w:rsidR="005F6C84" w:rsidRPr="005F6537">
        <w:rPr>
          <w:lang w:val="en-US"/>
        </w:rPr>
        <w:t xml:space="preserve">due to the additional measures </w:t>
      </w:r>
      <w:r w:rsidR="005F6C84">
        <w:rPr>
          <w:lang w:val="en-US"/>
        </w:rPr>
        <w:t xml:space="preserve">that </w:t>
      </w:r>
      <w:r w:rsidR="005F6C84" w:rsidRPr="005F6537">
        <w:rPr>
          <w:lang w:val="en-US"/>
        </w:rPr>
        <w:t>need</w:t>
      </w:r>
      <w:r w:rsidR="005F6C84">
        <w:rPr>
          <w:lang w:val="en-US"/>
        </w:rPr>
        <w:t>ed</w:t>
      </w:r>
      <w:r w:rsidR="005F6C84" w:rsidRPr="005F6537">
        <w:rPr>
          <w:lang w:val="en-US"/>
        </w:rPr>
        <w:t xml:space="preserve"> to be taken</w:t>
      </w:r>
      <w:r w:rsidR="005F6C84">
        <w:rPr>
          <w:lang w:val="en-US"/>
        </w:rPr>
        <w:t xml:space="preserve"> to comply with Class 9 environmentally hazardous mixture requirements</w:t>
      </w:r>
      <w:r w:rsidR="005F6C84" w:rsidRPr="005F6537">
        <w:rPr>
          <w:lang w:val="en-US"/>
        </w:rPr>
        <w:t>.</w:t>
      </w:r>
    </w:p>
    <w:p w14:paraId="276FD489" w14:textId="323539BD" w:rsidR="00CA0772" w:rsidRDefault="00CA0772">
      <w:pPr>
        <w:rPr>
          <w:lang w:val="en-US"/>
        </w:rPr>
      </w:pPr>
      <w:r>
        <w:rPr>
          <w:lang w:val="en-US"/>
        </w:rPr>
        <w:br w:type="page"/>
      </w:r>
    </w:p>
    <w:p w14:paraId="3B1B98E1" w14:textId="77777777" w:rsidR="00C21843" w:rsidRDefault="00C21843" w:rsidP="00C21843">
      <w:pPr>
        <w:pStyle w:val="HChG"/>
      </w:pPr>
      <w:r w:rsidRPr="006418C0">
        <w:lastRenderedPageBreak/>
        <w:t>Annex A</w:t>
      </w:r>
    </w:p>
    <w:p w14:paraId="309F21F1" w14:textId="1D375C7F" w:rsidR="00C21843" w:rsidRDefault="00C21843" w:rsidP="00C21843">
      <w:pPr>
        <w:pStyle w:val="HChG"/>
      </w:pPr>
      <w:r>
        <w:tab/>
      </w:r>
      <w:r>
        <w:tab/>
      </w:r>
      <w:r w:rsidRPr="006418C0">
        <w:t xml:space="preserve">Environmentally Hazardous Classification, including </w:t>
      </w:r>
      <w:r w:rsidR="00A34732">
        <w:br/>
      </w:r>
      <w:r w:rsidRPr="006418C0">
        <w:t>M-Factors</w:t>
      </w:r>
    </w:p>
    <w:p w14:paraId="078735E2" w14:textId="00339E66" w:rsidR="00C21843" w:rsidRDefault="00C21843" w:rsidP="00C21843">
      <w:pPr>
        <w:pStyle w:val="HChG"/>
      </w:pPr>
      <w:r>
        <w:tab/>
        <w:t>I.</w:t>
      </w:r>
      <w:r>
        <w:tab/>
      </w:r>
      <w:r w:rsidRPr="00703602">
        <w:t>Introduction</w:t>
      </w:r>
    </w:p>
    <w:p w14:paraId="2C13BB79" w14:textId="26CE3943" w:rsidR="00C21843" w:rsidRDefault="00C21843" w:rsidP="00C21843">
      <w:pPr>
        <w:pStyle w:val="SingleTxtG"/>
      </w:pPr>
      <w:r>
        <w:t>1.</w:t>
      </w:r>
      <w:r>
        <w:tab/>
        <w:t>In 2009</w:t>
      </w:r>
      <w:r w:rsidR="00A34732">
        <w:t>-</w:t>
      </w:r>
      <w:r>
        <w:t xml:space="preserve">2010, the term "environmentally hazardous (aquatic environment)" was implemented in the UN </w:t>
      </w:r>
      <w:r w:rsidRPr="00E7028E">
        <w:rPr>
          <w:i/>
          <w:iCs/>
        </w:rPr>
        <w:t>Model Recommendations for the Transport of Dangerous Goods</w:t>
      </w:r>
      <w:r>
        <w:t xml:space="preserve">. The criteria from GHS is used in the UN </w:t>
      </w:r>
      <w:r w:rsidRPr="00E7028E">
        <w:rPr>
          <w:i/>
          <w:iCs/>
        </w:rPr>
        <w:t>Model Regulations</w:t>
      </w:r>
      <w:r>
        <w:t xml:space="preserve"> for TDG to identify environmentally hazardous chemicals, particularly those hazardous to the aquatic environment, and to define the applicable transport conditions to avoid or minimize their release into the environment (e.g., packing requirements).</w:t>
      </w:r>
    </w:p>
    <w:p w14:paraId="3CB4CE64" w14:textId="3E27B414" w:rsidR="00C21843" w:rsidRDefault="00C21843" w:rsidP="00C21843">
      <w:pPr>
        <w:pStyle w:val="SingleTxtG"/>
      </w:pPr>
      <w:r>
        <w:t>2.</w:t>
      </w:r>
      <w:r>
        <w:tab/>
        <w:t>There are two options to classify the environmental hazard in Class 9 for substances and mixtures in PG III:</w:t>
      </w:r>
    </w:p>
    <w:p w14:paraId="7F5EA160" w14:textId="2D83F207" w:rsidR="00C21843" w:rsidRDefault="00C21843" w:rsidP="00C21843">
      <w:pPr>
        <w:pStyle w:val="Bullet1G"/>
      </w:pPr>
      <w:r>
        <w:t>UN3077 ENVIRONMENTALLY HAZARDOUS SUBSTANCE, SOLID, N.O.S.</w:t>
      </w:r>
      <w:r w:rsidR="006437B7">
        <w:t>;</w:t>
      </w:r>
      <w:r>
        <w:t xml:space="preserve"> or </w:t>
      </w:r>
    </w:p>
    <w:p w14:paraId="6C61D1EA" w14:textId="77777777" w:rsidR="00C21843" w:rsidRPr="00E373E2" w:rsidRDefault="00C21843" w:rsidP="00C21843">
      <w:pPr>
        <w:pStyle w:val="Bullet1G"/>
      </w:pPr>
      <w:r>
        <w:t>UN3082 ENVIRONMENTALLY HAZARDOUS SUBSTANCE, LIQUID, N.O.S.</w:t>
      </w:r>
    </w:p>
    <w:p w14:paraId="5A11D30E" w14:textId="50778938" w:rsidR="00C21843" w:rsidRPr="00703602" w:rsidRDefault="00C21843" w:rsidP="00C21843">
      <w:pPr>
        <w:pStyle w:val="HChG"/>
      </w:pPr>
      <w:r>
        <w:tab/>
        <w:t>II.</w:t>
      </w:r>
      <w:r>
        <w:tab/>
      </w:r>
      <w:r w:rsidRPr="00703602">
        <w:t xml:space="preserve">Criteria </w:t>
      </w:r>
      <w:r w:rsidR="006437B7">
        <w:t>b</w:t>
      </w:r>
      <w:r w:rsidR="006437B7" w:rsidRPr="00703602">
        <w:t>asics</w:t>
      </w:r>
    </w:p>
    <w:p w14:paraId="7A073473" w14:textId="06B2FBA8" w:rsidR="00C21843" w:rsidRDefault="00322279" w:rsidP="00322279">
      <w:pPr>
        <w:pStyle w:val="SingleTxtG"/>
      </w:pPr>
      <w:r>
        <w:t>3.</w:t>
      </w:r>
      <w:r>
        <w:tab/>
      </w:r>
      <w:r w:rsidR="00C21843">
        <w:t xml:space="preserve">The basic elements for classification of environmentally hazardous substances are: </w:t>
      </w:r>
    </w:p>
    <w:p w14:paraId="01741B30" w14:textId="77777777" w:rsidR="00C21843" w:rsidRDefault="00C21843" w:rsidP="00322279">
      <w:pPr>
        <w:pStyle w:val="Bullet1G"/>
      </w:pPr>
      <w:r>
        <w:t xml:space="preserve">Acute aquatic toxicity </w:t>
      </w:r>
    </w:p>
    <w:p w14:paraId="5E43BA35" w14:textId="77777777" w:rsidR="00C21843" w:rsidRDefault="00C21843" w:rsidP="00322279">
      <w:pPr>
        <w:pStyle w:val="Bullet1G"/>
      </w:pPr>
      <w:r>
        <w:t xml:space="preserve">Chronic aquatic toxicity </w:t>
      </w:r>
    </w:p>
    <w:p w14:paraId="674B5ED1" w14:textId="77777777" w:rsidR="00C21843" w:rsidRDefault="00C21843" w:rsidP="00322279">
      <w:pPr>
        <w:pStyle w:val="Bullet1G"/>
      </w:pPr>
      <w:r>
        <w:t xml:space="preserve">Potential for or actual bioaccumulation </w:t>
      </w:r>
    </w:p>
    <w:p w14:paraId="51815BE1" w14:textId="77777777" w:rsidR="00C21843" w:rsidRDefault="00C21843" w:rsidP="00322279">
      <w:pPr>
        <w:pStyle w:val="Bullet1G"/>
      </w:pPr>
      <w:r>
        <w:t>Degradation for organic chemicals</w:t>
      </w:r>
    </w:p>
    <w:p w14:paraId="4A194B01" w14:textId="4C460810" w:rsidR="00C21843" w:rsidRDefault="00322279" w:rsidP="00322279">
      <w:pPr>
        <w:pStyle w:val="SingleTxtG"/>
      </w:pPr>
      <w:r>
        <w:t>4.</w:t>
      </w:r>
      <w:r>
        <w:tab/>
      </w:r>
      <w:r w:rsidR="00C21843">
        <w:t xml:space="preserve">The categories implemented for transport are Acute Category 1, Chronic Category 1, and Chronic Category 2. If one of these categories apply and the substance/mixture has not been assigned to hazard Classes 1-8, then it is classified as UN 3077 or UN 3082 environmentally hazardous in PG III. </w:t>
      </w:r>
    </w:p>
    <w:p w14:paraId="2C1F7E88" w14:textId="1863D2B0" w:rsidR="00C21843" w:rsidRDefault="00322279" w:rsidP="00322279">
      <w:pPr>
        <w:pStyle w:val="SingleTxtG"/>
      </w:pPr>
      <w:r>
        <w:t>5.</w:t>
      </w:r>
      <w:r>
        <w:tab/>
      </w:r>
      <w:r w:rsidR="00C21843">
        <w:t>If it meets the criteria for Classes 1-8 and another PG applies based on these hazards, then this PG takes precedence, and the environmentally hazardous substance adds to the existing classification.</w:t>
      </w:r>
    </w:p>
    <w:p w14:paraId="46A8993D" w14:textId="131CD50B" w:rsidR="00C21843" w:rsidRDefault="00322279" w:rsidP="00322279">
      <w:pPr>
        <w:pStyle w:val="SingleTxtG"/>
      </w:pPr>
      <w:r>
        <w:t>6.</w:t>
      </w:r>
      <w:r>
        <w:tab/>
      </w:r>
      <w:r w:rsidR="00C21843">
        <w:t>The criteria for acute and chronic categories for substances is as follows:</w:t>
      </w:r>
    </w:p>
    <w:p w14:paraId="4D0B8F1A" w14:textId="77777777" w:rsidR="00C21843" w:rsidRDefault="00C21843" w:rsidP="00C21843"/>
    <w:p w14:paraId="4F7DBF65" w14:textId="77777777" w:rsidR="00C21843" w:rsidRDefault="00C21843" w:rsidP="00C21843">
      <w:r w:rsidRPr="002A1C52">
        <w:rPr>
          <w:noProof/>
        </w:rPr>
        <w:lastRenderedPageBreak/>
        <w:t xml:space="preserve"> </w:t>
      </w:r>
      <w:r>
        <w:rPr>
          <w:noProof/>
        </w:rPr>
        <w:drawing>
          <wp:inline distT="0" distB="0" distL="0" distR="0" wp14:anchorId="5CF40B5B" wp14:editId="19648378">
            <wp:extent cx="5418306" cy="2947035"/>
            <wp:effectExtent l="0" t="0" r="5080" b="0"/>
            <wp:docPr id="1505786259" name="Picture 1505786259" descr="A white and black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86259" name="Picture 1" descr="A white and black chart with black text&#10;&#10;Description automatically generated"/>
                    <pic:cNvPicPr/>
                  </pic:nvPicPr>
                  <pic:blipFill>
                    <a:blip r:embed="rId11"/>
                    <a:stretch>
                      <a:fillRect/>
                    </a:stretch>
                  </pic:blipFill>
                  <pic:spPr>
                    <a:xfrm>
                      <a:off x="0" y="0"/>
                      <a:ext cx="5630064" cy="3062211"/>
                    </a:xfrm>
                    <a:prstGeom prst="rect">
                      <a:avLst/>
                    </a:prstGeom>
                  </pic:spPr>
                </pic:pic>
              </a:graphicData>
            </a:graphic>
          </wp:inline>
        </w:drawing>
      </w:r>
    </w:p>
    <w:p w14:paraId="26247590" w14:textId="77777777" w:rsidR="00C21843" w:rsidRDefault="00C21843" w:rsidP="00C21843"/>
    <w:p w14:paraId="36409283" w14:textId="09E7B33D" w:rsidR="00C21843" w:rsidRPr="00703602" w:rsidRDefault="00322279" w:rsidP="00322279">
      <w:pPr>
        <w:pStyle w:val="HChG"/>
      </w:pPr>
      <w:r>
        <w:tab/>
        <w:t>III.</w:t>
      </w:r>
      <w:r>
        <w:tab/>
      </w:r>
      <w:r w:rsidR="00C21843" w:rsidRPr="00703602">
        <w:t xml:space="preserve">Mixture </w:t>
      </w:r>
      <w:r w:rsidR="006437B7">
        <w:t>c</w:t>
      </w:r>
      <w:r w:rsidR="006437B7" w:rsidRPr="00703602">
        <w:t>lassification</w:t>
      </w:r>
    </w:p>
    <w:p w14:paraId="782D5B36" w14:textId="2459899D" w:rsidR="00C21843" w:rsidRDefault="00322279" w:rsidP="00322279">
      <w:pPr>
        <w:pStyle w:val="SingleTxtG"/>
      </w:pPr>
      <w:r>
        <w:t>7.</w:t>
      </w:r>
      <w:r>
        <w:tab/>
      </w:r>
      <w:r w:rsidR="00C21843">
        <w:t>Mixture classifications can be based on test results, bridging principles, or the summation method.</w:t>
      </w:r>
    </w:p>
    <w:p w14:paraId="4E7B89F0" w14:textId="21262747" w:rsidR="00C21843" w:rsidRDefault="00322279" w:rsidP="00322279">
      <w:pPr>
        <w:pStyle w:val="SingleTxtG"/>
      </w:pPr>
      <w:r>
        <w:t>8.</w:t>
      </w:r>
      <w:r>
        <w:tab/>
      </w:r>
      <w:r w:rsidR="00C21843">
        <w:t>Mixtures can only be tested on the aquatic toxicity data for fish, crustacea, and algae/plants. Degradability and bioaccumulation data are not possible for mixtures (or it is too difficult to interpret the results). As such, degradability and bioaccumulation data are only suitable for substances.</w:t>
      </w:r>
    </w:p>
    <w:p w14:paraId="44806163" w14:textId="7E831F9D" w:rsidR="00C21843" w:rsidRDefault="00322279" w:rsidP="00322279">
      <w:pPr>
        <w:pStyle w:val="SingleTxtG"/>
      </w:pPr>
      <w:r>
        <w:t>9.</w:t>
      </w:r>
      <w:r>
        <w:tab/>
      </w:r>
      <w:r w:rsidR="00C21843">
        <w:t>The summation method is used to determine the classification for mixtures (from the 2023 revision of the UN Model Regulations for the Transportation of Dangerous Goods):</w:t>
      </w:r>
    </w:p>
    <w:p w14:paraId="0C24F7E6" w14:textId="77777777" w:rsidR="00C21843" w:rsidRDefault="00C21843" w:rsidP="00C21843">
      <w:r>
        <w:rPr>
          <w:noProof/>
        </w:rPr>
        <w:drawing>
          <wp:inline distT="0" distB="0" distL="0" distR="0" wp14:anchorId="40144B2A" wp14:editId="6594696A">
            <wp:extent cx="5731510" cy="1283970"/>
            <wp:effectExtent l="0" t="0" r="2540" b="0"/>
            <wp:docPr id="241049581" name="Picture 24104958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9581" name="Picture 1" descr="A close-up of a chart&#10;&#10;Description automatically generated"/>
                    <pic:cNvPicPr/>
                  </pic:nvPicPr>
                  <pic:blipFill>
                    <a:blip r:embed="rId12"/>
                    <a:stretch>
                      <a:fillRect/>
                    </a:stretch>
                  </pic:blipFill>
                  <pic:spPr>
                    <a:xfrm>
                      <a:off x="0" y="0"/>
                      <a:ext cx="5731510" cy="1283970"/>
                    </a:xfrm>
                    <a:prstGeom prst="rect">
                      <a:avLst/>
                    </a:prstGeom>
                  </pic:spPr>
                </pic:pic>
              </a:graphicData>
            </a:graphic>
          </wp:inline>
        </w:drawing>
      </w:r>
    </w:p>
    <w:p w14:paraId="0146D95F" w14:textId="77777777" w:rsidR="00C21843" w:rsidRDefault="00C21843" w:rsidP="00C21843">
      <w:r>
        <w:rPr>
          <w:noProof/>
        </w:rPr>
        <w:drawing>
          <wp:inline distT="0" distB="0" distL="0" distR="0" wp14:anchorId="099CFB93" wp14:editId="666BF7BD">
            <wp:extent cx="5731510" cy="1588770"/>
            <wp:effectExtent l="0" t="0" r="2540" b="0"/>
            <wp:docPr id="1677355040" name="Picture 1677355040"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55040" name="Picture 1" descr="A white paper with black text and black text&#10;&#10;Description automatically generated"/>
                    <pic:cNvPicPr/>
                  </pic:nvPicPr>
                  <pic:blipFill>
                    <a:blip r:embed="rId13"/>
                    <a:stretch>
                      <a:fillRect/>
                    </a:stretch>
                  </pic:blipFill>
                  <pic:spPr>
                    <a:xfrm>
                      <a:off x="0" y="0"/>
                      <a:ext cx="5731510" cy="1588770"/>
                    </a:xfrm>
                    <a:prstGeom prst="rect">
                      <a:avLst/>
                    </a:prstGeom>
                  </pic:spPr>
                </pic:pic>
              </a:graphicData>
            </a:graphic>
          </wp:inline>
        </w:drawing>
      </w:r>
    </w:p>
    <w:p w14:paraId="261872DF" w14:textId="77777777" w:rsidR="00370F68" w:rsidRDefault="00370F68" w:rsidP="00C21843"/>
    <w:p w14:paraId="29CF29A3" w14:textId="48C78EA3" w:rsidR="00C21843" w:rsidRDefault="00322279" w:rsidP="00322279">
      <w:pPr>
        <w:pStyle w:val="SingleTxtG"/>
      </w:pPr>
      <w:r>
        <w:t>10.</w:t>
      </w:r>
      <w:r>
        <w:tab/>
      </w:r>
      <w:r w:rsidR="00C21843">
        <w:t>The M-factor is used for substances that are highly toxic to the environment. It is based on harmonized classification or the self-classification of substances (based on manufacturer/supplier ecotoxicity information). The purpose of applying the M-factor is to give an increased weight to highly toxic substances when classifying a mixture.</w:t>
      </w:r>
    </w:p>
    <w:p w14:paraId="584E6204" w14:textId="450726A3" w:rsidR="00C21843" w:rsidRDefault="00322279" w:rsidP="00322279">
      <w:pPr>
        <w:pStyle w:val="SingleTxtG"/>
      </w:pPr>
      <w:r>
        <w:t>11.</w:t>
      </w:r>
      <w:r>
        <w:tab/>
      </w:r>
      <w:r w:rsidR="00C21843">
        <w:t>The M-factor applies to Acute and Chronic Category 1 and its eco-toxicity value:</w:t>
      </w:r>
    </w:p>
    <w:p w14:paraId="52131D70" w14:textId="77777777" w:rsidR="00C21843" w:rsidRDefault="00C21843" w:rsidP="00C21843">
      <w:r>
        <w:rPr>
          <w:noProof/>
        </w:rPr>
        <w:lastRenderedPageBreak/>
        <w:drawing>
          <wp:inline distT="0" distB="0" distL="0" distR="0" wp14:anchorId="570BF67C" wp14:editId="00FBD150">
            <wp:extent cx="5731510" cy="2439035"/>
            <wp:effectExtent l="0" t="0" r="2540" b="0"/>
            <wp:docPr id="160203459" name="Picture 160203459"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3459" name="Picture 1" descr="A table with numbers and symbols&#10;&#10;Description automatically generated"/>
                    <pic:cNvPicPr/>
                  </pic:nvPicPr>
                  <pic:blipFill>
                    <a:blip r:embed="rId14"/>
                    <a:stretch>
                      <a:fillRect/>
                    </a:stretch>
                  </pic:blipFill>
                  <pic:spPr>
                    <a:xfrm>
                      <a:off x="0" y="0"/>
                      <a:ext cx="5731510" cy="2439035"/>
                    </a:xfrm>
                    <a:prstGeom prst="rect">
                      <a:avLst/>
                    </a:prstGeom>
                  </pic:spPr>
                </pic:pic>
              </a:graphicData>
            </a:graphic>
          </wp:inline>
        </w:drawing>
      </w:r>
    </w:p>
    <w:p w14:paraId="425D3C16" w14:textId="77777777" w:rsidR="00C21843" w:rsidRDefault="00C21843" w:rsidP="00C21843">
      <w:pPr>
        <w:rPr>
          <w:b/>
          <w:bCs/>
        </w:rPr>
      </w:pPr>
    </w:p>
    <w:p w14:paraId="0DD6EF23" w14:textId="3B5322AF" w:rsidR="00C21843" w:rsidRPr="00E373E2" w:rsidRDefault="00322279" w:rsidP="00322279">
      <w:pPr>
        <w:pStyle w:val="SingleTxtG"/>
      </w:pPr>
      <w:r>
        <w:t>12.</w:t>
      </w:r>
      <w:r>
        <w:tab/>
      </w:r>
      <w:r w:rsidR="00C21843">
        <w:t>This means that a substance with a high M-factor leads to a Class 9 environmentally hazardous classification even at very low concentrations of highly toxic substances in mixtures.</w:t>
      </w:r>
    </w:p>
    <w:p w14:paraId="7926CA0C" w14:textId="5882C568" w:rsidR="00C21843" w:rsidRDefault="00322279" w:rsidP="00322279">
      <w:pPr>
        <w:pStyle w:val="SingleTxtG"/>
      </w:pPr>
      <w:r>
        <w:t>13.</w:t>
      </w:r>
      <w:r>
        <w:tab/>
      </w:r>
      <w:r w:rsidR="00C21843" w:rsidRPr="075A378C">
        <w:t>Due to the conservative approach taken by the summation method, including use of M-factors, it has been suggested that paint manufacturers may wish to complete toxicity tests on their mixtures for classification purposes. However, there are a large number of different paint and ink formulations</w:t>
      </w:r>
      <w:r w:rsidR="00C21843">
        <w:t>.</w:t>
      </w:r>
      <w:r w:rsidR="00C21843" w:rsidRPr="075A378C">
        <w:t xml:space="preserve"> </w:t>
      </w:r>
      <w:r w:rsidR="00C21843">
        <w:t>A</w:t>
      </w:r>
      <w:r w:rsidR="00C21843" w:rsidRPr="075A378C">
        <w:t>s such</w:t>
      </w:r>
      <w:r w:rsidR="00C21843">
        <w:t>,</w:t>
      </w:r>
      <w:r w:rsidR="00C21843" w:rsidRPr="075A378C">
        <w:t xml:space="preserve"> it is not considered feasible to test the mixtures, especially when considering the need to limit tests on animals.</w:t>
      </w:r>
    </w:p>
    <w:p w14:paraId="169E2750" w14:textId="02A6D39A" w:rsidR="00C21843" w:rsidRPr="00E373E2" w:rsidRDefault="00322279" w:rsidP="00322279">
      <w:pPr>
        <w:pStyle w:val="SingleTxtG"/>
        <w:rPr>
          <w:b/>
          <w:bCs/>
        </w:rPr>
      </w:pPr>
      <w:r>
        <w:t>14.</w:t>
      </w:r>
      <w:r>
        <w:tab/>
      </w:r>
      <w:r w:rsidR="00C21843" w:rsidRPr="00B07A07">
        <w:t>WCC acknowledges that these substances are the most toxic to the environment and that any relaxation of the regulations must not lead to an</w:t>
      </w:r>
      <w:r w:rsidR="00C21843" w:rsidRPr="00B07A07">
        <w:rPr>
          <w:rFonts w:eastAsiaTheme="minorEastAsia"/>
        </w:rPr>
        <w:t xml:space="preserve"> increase in the risk from transporting such substances.</w:t>
      </w:r>
      <w:r w:rsidR="00C21843">
        <w:rPr>
          <w:rFonts w:eastAsiaTheme="minorEastAsia"/>
        </w:rPr>
        <w:t xml:space="preserve"> </w:t>
      </w:r>
      <w:r w:rsidR="00C21843" w:rsidRPr="00B07A07">
        <w:rPr>
          <w:rFonts w:eastAsiaTheme="minorEastAsia"/>
        </w:rPr>
        <w:t xml:space="preserve">However, the highly toxic ingredients that give rise to the classification of water-borne paints and inks as environmentally hazardous substances are present in the paints and inks at </w:t>
      </w:r>
      <w:r w:rsidR="00C21843">
        <w:rPr>
          <w:rFonts w:eastAsiaTheme="minorEastAsia"/>
        </w:rPr>
        <w:t xml:space="preserve">very </w:t>
      </w:r>
      <w:r w:rsidR="00C21843" w:rsidRPr="00B07A07">
        <w:rPr>
          <w:rFonts w:eastAsiaTheme="minorEastAsia"/>
        </w:rPr>
        <w:t>low levels</w:t>
      </w:r>
      <w:r w:rsidR="00C21843">
        <w:rPr>
          <w:rFonts w:eastAsiaTheme="minorEastAsia"/>
        </w:rPr>
        <w:t>. T</w:t>
      </w:r>
      <w:r w:rsidR="00C21843" w:rsidRPr="00B07A07">
        <w:rPr>
          <w:rFonts w:eastAsiaTheme="minorEastAsia"/>
        </w:rPr>
        <w:t>he paints are classified</w:t>
      </w:r>
      <w:r w:rsidR="00C21843">
        <w:rPr>
          <w:rFonts w:eastAsiaTheme="minorEastAsia"/>
        </w:rPr>
        <w:t xml:space="preserve"> as environmentally hazardous</w:t>
      </w:r>
      <w:r w:rsidR="00C21843" w:rsidRPr="00B07A07">
        <w:rPr>
          <w:rFonts w:eastAsiaTheme="minorEastAsia"/>
        </w:rPr>
        <w:t xml:space="preserve"> if </w:t>
      </w:r>
      <w:r w:rsidR="00C21843">
        <w:rPr>
          <w:rFonts w:eastAsiaTheme="minorEastAsia"/>
        </w:rPr>
        <w:t>it</w:t>
      </w:r>
      <w:r w:rsidR="00C21843" w:rsidRPr="00B07A07">
        <w:rPr>
          <w:rFonts w:eastAsiaTheme="minorEastAsia"/>
        </w:rPr>
        <w:t xml:space="preserve"> contains 0.025% or more of the substance with an M-factor </w:t>
      </w:r>
      <w:r w:rsidR="00C21843">
        <w:rPr>
          <w:rFonts w:eastAsiaTheme="minorEastAsia"/>
        </w:rPr>
        <w:t>A</w:t>
      </w:r>
      <w:r w:rsidR="00C21843" w:rsidRPr="00B07A07">
        <w:rPr>
          <w:rFonts w:eastAsiaTheme="minorEastAsia"/>
        </w:rPr>
        <w:t xml:space="preserve">cute of 1000 or an M-factor </w:t>
      </w:r>
      <w:r w:rsidR="00C21843">
        <w:rPr>
          <w:rFonts w:eastAsiaTheme="minorEastAsia"/>
        </w:rPr>
        <w:t>C</w:t>
      </w:r>
      <w:r w:rsidR="00C21843" w:rsidRPr="00B07A07">
        <w:rPr>
          <w:rFonts w:eastAsiaTheme="minorEastAsia"/>
        </w:rPr>
        <w:t>hronic of 100.</w:t>
      </w:r>
      <w:r w:rsidR="00C21843">
        <w:rPr>
          <w:rFonts w:eastAsiaTheme="minorEastAsia"/>
        </w:rPr>
        <w:t xml:space="preserve"> Currently</w:t>
      </w:r>
      <w:r w:rsidR="00C21843" w:rsidRPr="00B07A07">
        <w:rPr>
          <w:rFonts w:eastAsiaTheme="minorEastAsia"/>
        </w:rPr>
        <w:t>, mixtures containing only a small concentration of these substances are treated in the same way as the neat substance</w:t>
      </w:r>
      <w:r w:rsidR="00C21843">
        <w:rPr>
          <w:rFonts w:eastAsiaTheme="minorEastAsia"/>
        </w:rPr>
        <w:t>.</w:t>
      </w:r>
      <w:r w:rsidR="00C21843" w:rsidRPr="00B07A07">
        <w:rPr>
          <w:rFonts w:eastAsiaTheme="minorEastAsia"/>
        </w:rPr>
        <w:t xml:space="preserve"> </w:t>
      </w:r>
      <w:r w:rsidR="00C21843">
        <w:rPr>
          <w:rFonts w:eastAsiaTheme="minorEastAsia"/>
        </w:rPr>
        <w:t>H</w:t>
      </w:r>
      <w:r w:rsidR="00C21843" w:rsidRPr="00B07A07">
        <w:rPr>
          <w:rFonts w:eastAsiaTheme="minorEastAsia"/>
        </w:rPr>
        <w:t>owever, due to the quantity of the substance in the mixture</w:t>
      </w:r>
      <w:r w:rsidR="00C21843">
        <w:rPr>
          <w:rFonts w:eastAsiaTheme="minorEastAsia"/>
        </w:rPr>
        <w:t>,</w:t>
      </w:r>
      <w:r w:rsidR="00C21843" w:rsidRPr="00B07A07">
        <w:rPr>
          <w:rFonts w:eastAsiaTheme="minorEastAsia"/>
        </w:rPr>
        <w:t xml:space="preserve"> the risk to the environment from a spill is lower due to the lower concentration of the substance in the mixture.</w:t>
      </w:r>
      <w:r w:rsidR="00C21843">
        <w:rPr>
          <w:rFonts w:eastAsiaTheme="minorEastAsia"/>
        </w:rPr>
        <w:t xml:space="preserve"> </w:t>
      </w:r>
      <w:r w:rsidR="00C21843" w:rsidRPr="00B07A07">
        <w:rPr>
          <w:rFonts w:eastAsiaTheme="minorEastAsia"/>
        </w:rPr>
        <w:t>Rather than set a limit to the M-factor, this proposal instead sets an upper concentration limit for the sum of highly toxic ingredients, a</w:t>
      </w:r>
      <w:r w:rsidR="00C21843">
        <w:rPr>
          <w:rFonts w:eastAsiaTheme="minorEastAsia"/>
        </w:rPr>
        <w:t>s well as</w:t>
      </w:r>
      <w:r w:rsidR="00C21843" w:rsidRPr="00B07A07">
        <w:rPr>
          <w:rFonts w:eastAsiaTheme="minorEastAsia"/>
        </w:rPr>
        <w:t xml:space="preserve"> a limit for the packaging size to ensure that the risk is managed.</w:t>
      </w:r>
      <w:r w:rsidR="00C21843" w:rsidRPr="075A378C">
        <w:rPr>
          <w:b/>
          <w:bCs/>
        </w:rPr>
        <w:t xml:space="preserve"> </w:t>
      </w:r>
    </w:p>
    <w:p w14:paraId="3B0BB07D" w14:textId="65AF8A25" w:rsidR="00C21843" w:rsidRPr="00703602" w:rsidRDefault="00322279" w:rsidP="00322279">
      <w:pPr>
        <w:pStyle w:val="HChG"/>
      </w:pPr>
      <w:r>
        <w:tab/>
        <w:t>IV.</w:t>
      </w:r>
      <w:r>
        <w:tab/>
      </w:r>
      <w:r w:rsidR="00C21843" w:rsidRPr="00703602">
        <w:t>Examples for the application of the formula presented above</w:t>
      </w:r>
    </w:p>
    <w:p w14:paraId="6F4142A8" w14:textId="10630890" w:rsidR="00C21843" w:rsidRDefault="00285864" w:rsidP="00285864">
      <w:pPr>
        <w:pStyle w:val="SingleTxtG"/>
      </w:pPr>
      <w:r>
        <w:t>15.</w:t>
      </w:r>
      <w:r>
        <w:tab/>
      </w:r>
      <w:r w:rsidR="00C21843">
        <w:t>Example 1: A liquid paint mixture contains one environmentally hazardous substance in a concentration of 0.03% assigned to Acute aquatic hazard category 1, M factor is 100.</w:t>
      </w:r>
    </w:p>
    <w:p w14:paraId="67992620" w14:textId="78447FDB" w:rsidR="00C21843" w:rsidRDefault="00C21843" w:rsidP="00285864">
      <w:pPr>
        <w:pStyle w:val="SingleTxtG"/>
      </w:pPr>
      <w:r>
        <w:t>Calculation for UN</w:t>
      </w:r>
      <w:r w:rsidR="009C4807">
        <w:t> </w:t>
      </w:r>
      <w:r>
        <w:t>3082:</w:t>
      </w:r>
    </w:p>
    <w:tbl>
      <w:tblPr>
        <w:tblStyle w:val="TableGrid"/>
        <w:tblW w:w="0" w:type="auto"/>
        <w:tblLook w:val="04A0" w:firstRow="1" w:lastRow="0" w:firstColumn="1" w:lastColumn="0" w:noHBand="0" w:noVBand="1"/>
      </w:tblPr>
      <w:tblGrid>
        <w:gridCol w:w="4045"/>
        <w:gridCol w:w="1965"/>
        <w:gridCol w:w="3006"/>
      </w:tblGrid>
      <w:tr w:rsidR="00C21843" w14:paraId="126AA37D" w14:textId="77777777" w:rsidTr="00A84198">
        <w:tc>
          <w:tcPr>
            <w:tcW w:w="4045" w:type="dxa"/>
          </w:tcPr>
          <w:p w14:paraId="79589674" w14:textId="77777777" w:rsidR="00C21843" w:rsidRDefault="00C21843" w:rsidP="00A84198">
            <w:r>
              <w:t>Sum of the concentration of ingredients classified as:</w:t>
            </w:r>
          </w:p>
        </w:tc>
        <w:tc>
          <w:tcPr>
            <w:tcW w:w="1965" w:type="dxa"/>
          </w:tcPr>
          <w:p w14:paraId="5690D182" w14:textId="77777777" w:rsidR="00C21843" w:rsidRDefault="00C21843" w:rsidP="00A84198">
            <w:pPr>
              <w:jc w:val="center"/>
            </w:pPr>
            <w:r>
              <w:t>Mixture is classified as:</w:t>
            </w:r>
          </w:p>
        </w:tc>
        <w:tc>
          <w:tcPr>
            <w:tcW w:w="3006" w:type="dxa"/>
          </w:tcPr>
          <w:p w14:paraId="0CC23B53" w14:textId="77777777" w:rsidR="00C21843" w:rsidRDefault="00C21843" w:rsidP="00A84198">
            <w:r>
              <w:t>Result:</w:t>
            </w:r>
          </w:p>
        </w:tc>
      </w:tr>
      <w:tr w:rsidR="00C21843" w14:paraId="1A52153E" w14:textId="77777777" w:rsidTr="00A84198">
        <w:tc>
          <w:tcPr>
            <w:tcW w:w="4045" w:type="dxa"/>
          </w:tcPr>
          <w:p w14:paraId="200EBF10" w14:textId="77777777" w:rsidR="00C21843" w:rsidRDefault="00C21843" w:rsidP="00A84198">
            <w:r>
              <w:t xml:space="preserve">Acute 1 x M </w:t>
            </w:r>
            <w:r>
              <w:rPr>
                <w:rFonts w:cstheme="minorHAnsi"/>
              </w:rPr>
              <w:t>≥</w:t>
            </w:r>
            <w:r>
              <w:t xml:space="preserve"> 25%</w:t>
            </w:r>
          </w:p>
        </w:tc>
        <w:tc>
          <w:tcPr>
            <w:tcW w:w="1965" w:type="dxa"/>
          </w:tcPr>
          <w:p w14:paraId="70C49BAE" w14:textId="77777777" w:rsidR="00C21843" w:rsidRDefault="00C21843" w:rsidP="00A84198">
            <w:pPr>
              <w:jc w:val="center"/>
            </w:pPr>
            <w:r>
              <w:t>Acute 1</w:t>
            </w:r>
          </w:p>
        </w:tc>
        <w:tc>
          <w:tcPr>
            <w:tcW w:w="3006" w:type="dxa"/>
          </w:tcPr>
          <w:p w14:paraId="41955E5E" w14:textId="77777777" w:rsidR="00C21843" w:rsidRDefault="00C21843" w:rsidP="00A84198">
            <w:r>
              <w:t xml:space="preserve">0.03 x 100 = 3 = </w:t>
            </w:r>
            <w:r w:rsidRPr="005B119A">
              <w:rPr>
                <w:u w:val="single"/>
              </w:rPr>
              <w:t>Not classified</w:t>
            </w:r>
          </w:p>
        </w:tc>
      </w:tr>
    </w:tbl>
    <w:p w14:paraId="5F6AF9B6" w14:textId="77777777" w:rsidR="00AA6828" w:rsidRDefault="00AA6828" w:rsidP="00285864">
      <w:pPr>
        <w:pStyle w:val="SingleTxtG"/>
        <w:rPr>
          <w:b/>
          <w:bCs/>
        </w:rPr>
      </w:pPr>
    </w:p>
    <w:p w14:paraId="5A059DE0" w14:textId="2108888B" w:rsidR="00C21843" w:rsidRPr="00285864" w:rsidRDefault="00C21843" w:rsidP="00285864">
      <w:pPr>
        <w:pStyle w:val="SingleTxtG"/>
        <w:rPr>
          <w:b/>
          <w:bCs/>
        </w:rPr>
      </w:pPr>
      <w:r w:rsidRPr="00285864">
        <w:rPr>
          <w:b/>
          <w:bCs/>
        </w:rPr>
        <w:t>This mixture is not acute aquatic toxic. Therefore, is not environmentally hazardous.</w:t>
      </w:r>
    </w:p>
    <w:p w14:paraId="55812F83" w14:textId="5599084B" w:rsidR="00C21843" w:rsidRPr="00E373E2" w:rsidRDefault="00285864" w:rsidP="00285864">
      <w:pPr>
        <w:pStyle w:val="SingleTxtG"/>
      </w:pPr>
      <w:r>
        <w:t>16.</w:t>
      </w:r>
      <w:r>
        <w:tab/>
      </w:r>
      <w:r w:rsidR="00C21843">
        <w:t>Example 2: A liquid paint mixture contains one environmentally hazardous substance in a concentration of 0.03% assigned to Chronic hazard category 1, M factor is 100.</w:t>
      </w:r>
      <w:r w:rsidR="00C21843" w:rsidRPr="075A378C">
        <w:rPr>
          <w:b/>
          <w:bCs/>
        </w:rPr>
        <w:t xml:space="preserve"> </w:t>
      </w:r>
    </w:p>
    <w:p w14:paraId="5E777F29" w14:textId="76E9E001" w:rsidR="00C21843" w:rsidRDefault="00C21843" w:rsidP="00AA6828">
      <w:pPr>
        <w:pStyle w:val="SingleTxtG"/>
        <w:pageBreakBefore/>
      </w:pPr>
      <w:r>
        <w:lastRenderedPageBreak/>
        <w:t>Calculation for UN</w:t>
      </w:r>
      <w:r w:rsidR="009C4807">
        <w:t> </w:t>
      </w:r>
      <w:r>
        <w:t>3082:</w:t>
      </w:r>
    </w:p>
    <w:tbl>
      <w:tblPr>
        <w:tblStyle w:val="TableGrid"/>
        <w:tblW w:w="0" w:type="auto"/>
        <w:tblLook w:val="04A0" w:firstRow="1" w:lastRow="0" w:firstColumn="1" w:lastColumn="0" w:noHBand="0" w:noVBand="1"/>
      </w:tblPr>
      <w:tblGrid>
        <w:gridCol w:w="4045"/>
        <w:gridCol w:w="1965"/>
        <w:gridCol w:w="3006"/>
      </w:tblGrid>
      <w:tr w:rsidR="00C21843" w14:paraId="234A4C89" w14:textId="77777777" w:rsidTr="00A84198">
        <w:tc>
          <w:tcPr>
            <w:tcW w:w="4045" w:type="dxa"/>
          </w:tcPr>
          <w:p w14:paraId="29563C69" w14:textId="77777777" w:rsidR="00C21843" w:rsidRDefault="00C21843" w:rsidP="00A84198">
            <w:r>
              <w:t>Sum of the concentration of ingredients classified as:</w:t>
            </w:r>
          </w:p>
        </w:tc>
        <w:tc>
          <w:tcPr>
            <w:tcW w:w="1965" w:type="dxa"/>
          </w:tcPr>
          <w:p w14:paraId="6C584CED" w14:textId="77777777" w:rsidR="00C21843" w:rsidRDefault="00C21843" w:rsidP="00A84198">
            <w:pPr>
              <w:jc w:val="center"/>
            </w:pPr>
            <w:r>
              <w:t>Mixture is classified as:</w:t>
            </w:r>
          </w:p>
        </w:tc>
        <w:tc>
          <w:tcPr>
            <w:tcW w:w="3006" w:type="dxa"/>
          </w:tcPr>
          <w:p w14:paraId="128C1690" w14:textId="77777777" w:rsidR="00C21843" w:rsidRDefault="00C21843" w:rsidP="00A84198">
            <w:r>
              <w:t>Result:</w:t>
            </w:r>
          </w:p>
        </w:tc>
      </w:tr>
      <w:tr w:rsidR="00C21843" w14:paraId="34DA25B1" w14:textId="77777777" w:rsidTr="00A84198">
        <w:tc>
          <w:tcPr>
            <w:tcW w:w="4045" w:type="dxa"/>
          </w:tcPr>
          <w:p w14:paraId="7466DC6A" w14:textId="77777777" w:rsidR="00C21843" w:rsidRDefault="00C21843" w:rsidP="00A84198">
            <w:r>
              <w:t xml:space="preserve">Chronic 1 x M </w:t>
            </w:r>
            <w:r>
              <w:rPr>
                <w:rFonts w:cstheme="minorHAnsi"/>
              </w:rPr>
              <w:t>≥</w:t>
            </w:r>
            <w:r>
              <w:t xml:space="preserve"> 25%</w:t>
            </w:r>
          </w:p>
        </w:tc>
        <w:tc>
          <w:tcPr>
            <w:tcW w:w="1965" w:type="dxa"/>
          </w:tcPr>
          <w:p w14:paraId="2922B4A3" w14:textId="77777777" w:rsidR="00C21843" w:rsidRDefault="00C21843" w:rsidP="00A84198">
            <w:pPr>
              <w:jc w:val="center"/>
            </w:pPr>
            <w:r>
              <w:t>Chronic 1</w:t>
            </w:r>
          </w:p>
        </w:tc>
        <w:tc>
          <w:tcPr>
            <w:tcW w:w="3006" w:type="dxa"/>
          </w:tcPr>
          <w:p w14:paraId="33789ADF" w14:textId="77777777" w:rsidR="00C21843" w:rsidRDefault="00C21843" w:rsidP="00A84198">
            <w:r>
              <w:t xml:space="preserve">0.03 x 100 = 3 = </w:t>
            </w:r>
            <w:r w:rsidRPr="005B119A">
              <w:rPr>
                <w:u w:val="single"/>
              </w:rPr>
              <w:t>Not classified</w:t>
            </w:r>
          </w:p>
        </w:tc>
      </w:tr>
      <w:tr w:rsidR="00C21843" w14:paraId="2DAC0A0E" w14:textId="77777777" w:rsidTr="00A84198">
        <w:tc>
          <w:tcPr>
            <w:tcW w:w="4045" w:type="dxa"/>
          </w:tcPr>
          <w:p w14:paraId="2FE4D87C" w14:textId="77777777" w:rsidR="00C21843" w:rsidRDefault="00C21843" w:rsidP="00A84198">
            <w:r>
              <w:t xml:space="preserve">(M x 10 x Chronic 1) + Chronic 2 </w:t>
            </w:r>
            <w:r>
              <w:rPr>
                <w:rFonts w:cstheme="minorHAnsi"/>
              </w:rPr>
              <w:t>≥</w:t>
            </w:r>
            <w:r>
              <w:t xml:space="preserve"> 25 %</w:t>
            </w:r>
          </w:p>
        </w:tc>
        <w:tc>
          <w:tcPr>
            <w:tcW w:w="1965" w:type="dxa"/>
          </w:tcPr>
          <w:p w14:paraId="7951D713" w14:textId="77777777" w:rsidR="00C21843" w:rsidRDefault="00C21843" w:rsidP="00A84198">
            <w:pPr>
              <w:jc w:val="center"/>
            </w:pPr>
            <w:r>
              <w:t>Chronic 2</w:t>
            </w:r>
          </w:p>
        </w:tc>
        <w:tc>
          <w:tcPr>
            <w:tcW w:w="3006" w:type="dxa"/>
          </w:tcPr>
          <w:p w14:paraId="53B4DF6C" w14:textId="77777777" w:rsidR="00C21843" w:rsidRDefault="00C21843" w:rsidP="00A84198">
            <w:r>
              <w:t>(100 x 10 x 0.03) + 0 = 30 =</w:t>
            </w:r>
          </w:p>
          <w:p w14:paraId="5CEC253F" w14:textId="77777777" w:rsidR="00C21843" w:rsidRPr="005B119A" w:rsidRDefault="00C21843" w:rsidP="00A84198">
            <w:pPr>
              <w:rPr>
                <w:b/>
                <w:bCs/>
                <w:sz w:val="10"/>
                <w:szCs w:val="10"/>
              </w:rPr>
            </w:pPr>
          </w:p>
          <w:p w14:paraId="6A5DDB1E" w14:textId="77777777" w:rsidR="00C21843" w:rsidRPr="005B119A" w:rsidRDefault="00C21843" w:rsidP="00A84198">
            <w:pPr>
              <w:rPr>
                <w:u w:val="single"/>
              </w:rPr>
            </w:pPr>
            <w:r w:rsidRPr="005B119A">
              <w:rPr>
                <w:u w:val="single"/>
              </w:rPr>
              <w:t xml:space="preserve">Classified Chronic 2 (result </w:t>
            </w:r>
            <w:r w:rsidRPr="005B119A">
              <w:rPr>
                <w:rFonts w:cstheme="minorHAnsi"/>
                <w:u w:val="single"/>
              </w:rPr>
              <w:t>≥</w:t>
            </w:r>
            <w:r w:rsidRPr="005B119A">
              <w:rPr>
                <w:u w:val="single"/>
              </w:rPr>
              <w:t xml:space="preserve"> 25)</w:t>
            </w:r>
          </w:p>
        </w:tc>
      </w:tr>
    </w:tbl>
    <w:p w14:paraId="1500881C" w14:textId="77777777" w:rsidR="00AA6828" w:rsidRDefault="00AA6828" w:rsidP="00285864">
      <w:pPr>
        <w:pStyle w:val="SingleTxtG"/>
        <w:rPr>
          <w:b/>
          <w:bCs/>
        </w:rPr>
      </w:pPr>
    </w:p>
    <w:p w14:paraId="3C0A941A" w14:textId="492469ED" w:rsidR="00C21843" w:rsidRPr="00285864" w:rsidRDefault="00C21843" w:rsidP="00285864">
      <w:pPr>
        <w:pStyle w:val="SingleTxtG"/>
        <w:rPr>
          <w:b/>
          <w:bCs/>
        </w:rPr>
      </w:pPr>
      <w:r w:rsidRPr="00285864">
        <w:rPr>
          <w:b/>
          <w:bCs/>
        </w:rPr>
        <w:t xml:space="preserve">This mixture is chronic aquatic toxic 2. Therefore, it is environmentally hazardous (UN3082). </w:t>
      </w:r>
    </w:p>
    <w:p w14:paraId="4AE2E729" w14:textId="605578BA" w:rsidR="00C21843" w:rsidRPr="00E373E2" w:rsidRDefault="00285864" w:rsidP="00285864">
      <w:pPr>
        <w:pStyle w:val="SingleTxtG"/>
      </w:pPr>
      <w:r>
        <w:t>17.</w:t>
      </w:r>
      <w:r>
        <w:tab/>
      </w:r>
      <w:r w:rsidR="00C21843">
        <w:t>Example 3: A liquid paint mixture contains one environmentally hazardous substance in a concentration of 0.03% assigned to both Acute and Chronic hazard category 1, M factor is 100 (acute) and 100 (chronic).</w:t>
      </w:r>
      <w:r w:rsidR="00C21843" w:rsidRPr="075A378C">
        <w:rPr>
          <w:b/>
          <w:bCs/>
        </w:rPr>
        <w:t xml:space="preserve"> </w:t>
      </w:r>
      <w:r w:rsidR="00C21843" w:rsidRPr="005B119A">
        <w:t>Note: The preservative substance OIT – 2-octyl-2H-isothiazol-3-one (updated in 15</w:t>
      </w:r>
      <w:r w:rsidR="00C21843" w:rsidRPr="005B119A">
        <w:rPr>
          <w:vertAlign w:val="superscript"/>
        </w:rPr>
        <w:t>th</w:t>
      </w:r>
      <w:r w:rsidR="00C21843" w:rsidRPr="005B119A">
        <w:t xml:space="preserve"> ATP of CLP) – is one of the substances with this aquatic toxic classification.</w:t>
      </w:r>
    </w:p>
    <w:p w14:paraId="6A1FBDDE" w14:textId="243CD22A" w:rsidR="00C21843" w:rsidRDefault="00C21843" w:rsidP="00285864">
      <w:pPr>
        <w:pStyle w:val="SingleTxtG"/>
      </w:pPr>
      <w:r>
        <w:t>Calculation for UN</w:t>
      </w:r>
      <w:r w:rsidR="00024263">
        <w:t> </w:t>
      </w:r>
      <w:r>
        <w:t>3082:</w:t>
      </w:r>
    </w:p>
    <w:tbl>
      <w:tblPr>
        <w:tblStyle w:val="TableGrid"/>
        <w:tblW w:w="0" w:type="auto"/>
        <w:tblLook w:val="04A0" w:firstRow="1" w:lastRow="0" w:firstColumn="1" w:lastColumn="0" w:noHBand="0" w:noVBand="1"/>
      </w:tblPr>
      <w:tblGrid>
        <w:gridCol w:w="4045"/>
        <w:gridCol w:w="1965"/>
        <w:gridCol w:w="3006"/>
      </w:tblGrid>
      <w:tr w:rsidR="00C21843" w14:paraId="2326ABEB" w14:textId="77777777" w:rsidTr="00A84198">
        <w:tc>
          <w:tcPr>
            <w:tcW w:w="4045" w:type="dxa"/>
          </w:tcPr>
          <w:p w14:paraId="5EC3D460" w14:textId="77777777" w:rsidR="00C21843" w:rsidRDefault="00C21843" w:rsidP="00A84198">
            <w:r>
              <w:t>Sum of the concentration of ingredients classified as:</w:t>
            </w:r>
          </w:p>
        </w:tc>
        <w:tc>
          <w:tcPr>
            <w:tcW w:w="1965" w:type="dxa"/>
          </w:tcPr>
          <w:p w14:paraId="19B741D7" w14:textId="77777777" w:rsidR="00C21843" w:rsidRDefault="00C21843" w:rsidP="00A84198">
            <w:pPr>
              <w:jc w:val="center"/>
            </w:pPr>
            <w:r>
              <w:t>Mixture is classified as:</w:t>
            </w:r>
          </w:p>
        </w:tc>
        <w:tc>
          <w:tcPr>
            <w:tcW w:w="3006" w:type="dxa"/>
          </w:tcPr>
          <w:p w14:paraId="26659C37" w14:textId="77777777" w:rsidR="00C21843" w:rsidRDefault="00C21843" w:rsidP="00A84198">
            <w:r>
              <w:t>Result:</w:t>
            </w:r>
          </w:p>
        </w:tc>
      </w:tr>
      <w:tr w:rsidR="00C21843" w14:paraId="3C974C6F" w14:textId="77777777" w:rsidTr="00A84198">
        <w:tc>
          <w:tcPr>
            <w:tcW w:w="4045" w:type="dxa"/>
          </w:tcPr>
          <w:p w14:paraId="1D9E2A38" w14:textId="77777777" w:rsidR="00C21843" w:rsidRDefault="00C21843" w:rsidP="00A84198">
            <w:r>
              <w:t xml:space="preserve">Acute 1 x M </w:t>
            </w:r>
            <w:r>
              <w:rPr>
                <w:rFonts w:cstheme="minorHAnsi"/>
              </w:rPr>
              <w:t>≥</w:t>
            </w:r>
            <w:r>
              <w:t xml:space="preserve"> 25%</w:t>
            </w:r>
          </w:p>
        </w:tc>
        <w:tc>
          <w:tcPr>
            <w:tcW w:w="1965" w:type="dxa"/>
          </w:tcPr>
          <w:p w14:paraId="57C663A2" w14:textId="77777777" w:rsidR="00C21843" w:rsidRDefault="00C21843" w:rsidP="00A84198">
            <w:pPr>
              <w:jc w:val="center"/>
            </w:pPr>
            <w:r>
              <w:t>Acute 1</w:t>
            </w:r>
          </w:p>
        </w:tc>
        <w:tc>
          <w:tcPr>
            <w:tcW w:w="3006" w:type="dxa"/>
          </w:tcPr>
          <w:p w14:paraId="70E92E04" w14:textId="77777777" w:rsidR="00C21843" w:rsidRDefault="00C21843" w:rsidP="00A84198">
            <w:r>
              <w:t xml:space="preserve">0.03 x 100 = 3 = </w:t>
            </w:r>
            <w:r w:rsidRPr="005B119A">
              <w:rPr>
                <w:u w:val="single"/>
              </w:rPr>
              <w:t>Not classified</w:t>
            </w:r>
          </w:p>
        </w:tc>
      </w:tr>
    </w:tbl>
    <w:p w14:paraId="135C1744" w14:textId="77777777" w:rsidR="00C21843" w:rsidRDefault="00C21843" w:rsidP="00C21843"/>
    <w:tbl>
      <w:tblPr>
        <w:tblStyle w:val="TableGrid"/>
        <w:tblW w:w="0" w:type="auto"/>
        <w:tblLook w:val="04A0" w:firstRow="1" w:lastRow="0" w:firstColumn="1" w:lastColumn="0" w:noHBand="0" w:noVBand="1"/>
      </w:tblPr>
      <w:tblGrid>
        <w:gridCol w:w="4045"/>
        <w:gridCol w:w="1965"/>
        <w:gridCol w:w="3006"/>
      </w:tblGrid>
      <w:tr w:rsidR="00C21843" w14:paraId="36F2D68F" w14:textId="77777777" w:rsidTr="00A84198">
        <w:tc>
          <w:tcPr>
            <w:tcW w:w="4045" w:type="dxa"/>
          </w:tcPr>
          <w:p w14:paraId="4EF5567B" w14:textId="77777777" w:rsidR="00C21843" w:rsidRDefault="00C21843" w:rsidP="00A84198">
            <w:r>
              <w:t>Sum of the concentration of ingredients classified as:</w:t>
            </w:r>
          </w:p>
        </w:tc>
        <w:tc>
          <w:tcPr>
            <w:tcW w:w="1965" w:type="dxa"/>
          </w:tcPr>
          <w:p w14:paraId="3503912A" w14:textId="77777777" w:rsidR="00C21843" w:rsidRDefault="00C21843" w:rsidP="00A84198">
            <w:pPr>
              <w:jc w:val="center"/>
            </w:pPr>
            <w:r>
              <w:t>Mixture is classified as:</w:t>
            </w:r>
          </w:p>
        </w:tc>
        <w:tc>
          <w:tcPr>
            <w:tcW w:w="3006" w:type="dxa"/>
          </w:tcPr>
          <w:p w14:paraId="64E4C1FC" w14:textId="77777777" w:rsidR="00C21843" w:rsidRDefault="00C21843" w:rsidP="00A84198">
            <w:r>
              <w:t>Result:</w:t>
            </w:r>
          </w:p>
        </w:tc>
      </w:tr>
      <w:tr w:rsidR="00C21843" w14:paraId="2798A144" w14:textId="77777777" w:rsidTr="00A84198">
        <w:tc>
          <w:tcPr>
            <w:tcW w:w="4045" w:type="dxa"/>
          </w:tcPr>
          <w:p w14:paraId="1D1E0903" w14:textId="77777777" w:rsidR="00C21843" w:rsidRDefault="00C21843" w:rsidP="00A84198">
            <w:r>
              <w:t xml:space="preserve">Chronic 1 x M </w:t>
            </w:r>
            <w:r>
              <w:rPr>
                <w:rFonts w:cstheme="minorHAnsi"/>
              </w:rPr>
              <w:t>≥</w:t>
            </w:r>
            <w:r>
              <w:t xml:space="preserve"> 25%</w:t>
            </w:r>
          </w:p>
        </w:tc>
        <w:tc>
          <w:tcPr>
            <w:tcW w:w="1965" w:type="dxa"/>
          </w:tcPr>
          <w:p w14:paraId="244C827F" w14:textId="77777777" w:rsidR="00C21843" w:rsidRDefault="00C21843" w:rsidP="00A84198">
            <w:pPr>
              <w:jc w:val="center"/>
            </w:pPr>
            <w:r>
              <w:t>Chronic 1</w:t>
            </w:r>
          </w:p>
        </w:tc>
        <w:tc>
          <w:tcPr>
            <w:tcW w:w="3006" w:type="dxa"/>
          </w:tcPr>
          <w:p w14:paraId="263703C7" w14:textId="77777777" w:rsidR="00C21843" w:rsidRDefault="00C21843" w:rsidP="00A84198">
            <w:r>
              <w:t>0.03 x 100 = 3 = Not classified</w:t>
            </w:r>
          </w:p>
        </w:tc>
      </w:tr>
      <w:tr w:rsidR="00C21843" w14:paraId="505070C0" w14:textId="77777777" w:rsidTr="00A84198">
        <w:tc>
          <w:tcPr>
            <w:tcW w:w="4045" w:type="dxa"/>
          </w:tcPr>
          <w:p w14:paraId="256F7B7B" w14:textId="77777777" w:rsidR="00C21843" w:rsidRDefault="00C21843" w:rsidP="00A84198">
            <w:r>
              <w:t xml:space="preserve">(M x 10 x Chronic 1) + Chronic 2 </w:t>
            </w:r>
            <w:r>
              <w:rPr>
                <w:rFonts w:cstheme="minorHAnsi"/>
              </w:rPr>
              <w:t>≥</w:t>
            </w:r>
            <w:r>
              <w:t xml:space="preserve"> 25 %</w:t>
            </w:r>
          </w:p>
        </w:tc>
        <w:tc>
          <w:tcPr>
            <w:tcW w:w="1965" w:type="dxa"/>
          </w:tcPr>
          <w:p w14:paraId="40E0E5FD" w14:textId="77777777" w:rsidR="00C21843" w:rsidRDefault="00C21843" w:rsidP="00A84198">
            <w:pPr>
              <w:jc w:val="center"/>
            </w:pPr>
            <w:r>
              <w:t>Chronic 2</w:t>
            </w:r>
          </w:p>
        </w:tc>
        <w:tc>
          <w:tcPr>
            <w:tcW w:w="3006" w:type="dxa"/>
          </w:tcPr>
          <w:p w14:paraId="0EE3FF9E" w14:textId="77777777" w:rsidR="00C21843" w:rsidRDefault="00C21843" w:rsidP="00A84198">
            <w:r>
              <w:t>(100 x 10 x 0.03) + 0 = 30 =</w:t>
            </w:r>
          </w:p>
          <w:p w14:paraId="5BD208AB" w14:textId="77777777" w:rsidR="00C21843" w:rsidRDefault="00C21843" w:rsidP="00A84198"/>
          <w:p w14:paraId="23A371C6" w14:textId="77777777" w:rsidR="00C21843" w:rsidRPr="005B119A" w:rsidRDefault="00C21843" w:rsidP="00A84198">
            <w:pPr>
              <w:rPr>
                <w:u w:val="single"/>
              </w:rPr>
            </w:pPr>
            <w:r w:rsidRPr="005B119A">
              <w:rPr>
                <w:u w:val="single"/>
              </w:rPr>
              <w:t xml:space="preserve">Classified Chronic 2 (result </w:t>
            </w:r>
            <w:r w:rsidRPr="005B119A">
              <w:rPr>
                <w:rFonts w:cstheme="minorHAnsi"/>
                <w:u w:val="single"/>
              </w:rPr>
              <w:t>≥</w:t>
            </w:r>
            <w:r w:rsidRPr="005B119A">
              <w:rPr>
                <w:u w:val="single"/>
              </w:rPr>
              <w:t xml:space="preserve"> 25).</w:t>
            </w:r>
          </w:p>
        </w:tc>
      </w:tr>
    </w:tbl>
    <w:p w14:paraId="4DF115C4" w14:textId="77777777" w:rsidR="00AA6828" w:rsidRDefault="00AA6828" w:rsidP="00285864">
      <w:pPr>
        <w:pStyle w:val="SingleTxtG"/>
        <w:rPr>
          <w:b/>
          <w:bCs/>
        </w:rPr>
      </w:pPr>
    </w:p>
    <w:p w14:paraId="39025BF4" w14:textId="507259EF" w:rsidR="00C21843" w:rsidRPr="00285864" w:rsidRDefault="00C21843" w:rsidP="00285864">
      <w:pPr>
        <w:pStyle w:val="SingleTxtG"/>
        <w:rPr>
          <w:b/>
          <w:bCs/>
        </w:rPr>
      </w:pPr>
      <w:r w:rsidRPr="00285864">
        <w:rPr>
          <w:b/>
          <w:bCs/>
        </w:rPr>
        <w:t>This mixture is chronic aquatic toxic 2. Therefore, it is environmentally hazardous (UN3082).</w:t>
      </w:r>
    </w:p>
    <w:p w14:paraId="3572C565" w14:textId="1D64C877" w:rsidR="00C21843" w:rsidRDefault="00285864" w:rsidP="00285864">
      <w:pPr>
        <w:pStyle w:val="SingleTxtG"/>
      </w:pPr>
      <w:r>
        <w:t>18.</w:t>
      </w:r>
      <w:r>
        <w:tab/>
      </w:r>
      <w:r w:rsidR="00C21843">
        <w:t>Example 4:</w:t>
      </w:r>
      <w:r w:rsidR="00C21843" w:rsidRPr="075A378C">
        <w:rPr>
          <w:b/>
          <w:bCs/>
        </w:rPr>
        <w:t xml:space="preserve"> </w:t>
      </w:r>
      <w:r w:rsidR="00C21843">
        <w:t>A liquid paint mixture contains a mixture of environmentally hazardous substances in:</w:t>
      </w:r>
    </w:p>
    <w:p w14:paraId="0F0B7302" w14:textId="77777777" w:rsidR="00C21843" w:rsidRPr="0058190B" w:rsidRDefault="00C21843" w:rsidP="00285864">
      <w:pPr>
        <w:pStyle w:val="Bullet1G"/>
      </w:pPr>
      <w:r>
        <w:t>A</w:t>
      </w:r>
      <w:r w:rsidRPr="0058190B">
        <w:t xml:space="preserve"> concentration of 0.01% assigned to both Acute and Chronic hazard category 1, M factor is 100 (acute) and 100 (chronic), and</w:t>
      </w:r>
    </w:p>
    <w:p w14:paraId="707DA75C" w14:textId="7DA97BCD" w:rsidR="00C21843" w:rsidRDefault="00C21843" w:rsidP="00285864">
      <w:pPr>
        <w:pStyle w:val="Bullet1G"/>
      </w:pPr>
      <w:r>
        <w:t>A</w:t>
      </w:r>
      <w:r w:rsidRPr="0058190B">
        <w:t xml:space="preserve"> concentration of 0.02% assigned to Chronic hazard category 1, M factor is 1000</w:t>
      </w:r>
      <w:r>
        <w:t>.</w:t>
      </w:r>
    </w:p>
    <w:p w14:paraId="1F8A577B" w14:textId="4C57510D" w:rsidR="00C21843" w:rsidRDefault="00C21843" w:rsidP="00285864">
      <w:pPr>
        <w:pStyle w:val="SingleTxtG"/>
      </w:pPr>
      <w:r>
        <w:t>Calculation for UN</w:t>
      </w:r>
      <w:r w:rsidR="00024263">
        <w:t> </w:t>
      </w:r>
      <w:r>
        <w:t>3082</w:t>
      </w:r>
      <w:r w:rsidR="00370F68">
        <w:t>:</w:t>
      </w:r>
    </w:p>
    <w:tbl>
      <w:tblPr>
        <w:tblStyle w:val="TableGrid"/>
        <w:tblW w:w="0" w:type="auto"/>
        <w:tblLook w:val="04A0" w:firstRow="1" w:lastRow="0" w:firstColumn="1" w:lastColumn="0" w:noHBand="0" w:noVBand="1"/>
      </w:tblPr>
      <w:tblGrid>
        <w:gridCol w:w="4045"/>
        <w:gridCol w:w="1965"/>
        <w:gridCol w:w="3006"/>
      </w:tblGrid>
      <w:tr w:rsidR="00C21843" w14:paraId="6D7B4330" w14:textId="77777777" w:rsidTr="00A84198">
        <w:tc>
          <w:tcPr>
            <w:tcW w:w="4045" w:type="dxa"/>
          </w:tcPr>
          <w:p w14:paraId="194AC242" w14:textId="77777777" w:rsidR="00C21843" w:rsidRDefault="00C21843" w:rsidP="00A84198">
            <w:r>
              <w:t>Sum of the concentration of ingredients classified as:</w:t>
            </w:r>
          </w:p>
        </w:tc>
        <w:tc>
          <w:tcPr>
            <w:tcW w:w="1965" w:type="dxa"/>
          </w:tcPr>
          <w:p w14:paraId="640B16C5" w14:textId="77777777" w:rsidR="00C21843" w:rsidRDefault="00C21843" w:rsidP="00A84198">
            <w:pPr>
              <w:jc w:val="center"/>
            </w:pPr>
            <w:r>
              <w:t>Mixture is classified as:</w:t>
            </w:r>
          </w:p>
        </w:tc>
        <w:tc>
          <w:tcPr>
            <w:tcW w:w="3006" w:type="dxa"/>
          </w:tcPr>
          <w:p w14:paraId="187577A2" w14:textId="77777777" w:rsidR="00C21843" w:rsidRDefault="00C21843" w:rsidP="00A84198">
            <w:r>
              <w:t>Result:</w:t>
            </w:r>
          </w:p>
        </w:tc>
      </w:tr>
      <w:tr w:rsidR="00C21843" w14:paraId="0161B16F" w14:textId="77777777" w:rsidTr="00A84198">
        <w:tc>
          <w:tcPr>
            <w:tcW w:w="4045" w:type="dxa"/>
          </w:tcPr>
          <w:p w14:paraId="2CCD7144" w14:textId="77777777" w:rsidR="00C21843" w:rsidRDefault="00C21843" w:rsidP="00A84198">
            <w:r>
              <w:t xml:space="preserve">Acute 1 x M </w:t>
            </w:r>
            <w:r>
              <w:rPr>
                <w:rFonts w:cstheme="minorHAnsi"/>
              </w:rPr>
              <w:t>≥</w:t>
            </w:r>
            <w:r>
              <w:t xml:space="preserve"> 25%</w:t>
            </w:r>
          </w:p>
        </w:tc>
        <w:tc>
          <w:tcPr>
            <w:tcW w:w="1965" w:type="dxa"/>
          </w:tcPr>
          <w:p w14:paraId="607EF5AC" w14:textId="77777777" w:rsidR="00C21843" w:rsidRDefault="00C21843" w:rsidP="00A84198">
            <w:pPr>
              <w:jc w:val="center"/>
            </w:pPr>
            <w:r>
              <w:t>Acute 1</w:t>
            </w:r>
          </w:p>
        </w:tc>
        <w:tc>
          <w:tcPr>
            <w:tcW w:w="3006" w:type="dxa"/>
          </w:tcPr>
          <w:p w14:paraId="01A3BBA1" w14:textId="77777777" w:rsidR="00C21843" w:rsidRDefault="00C21843" w:rsidP="00A84198">
            <w:r>
              <w:t xml:space="preserve">0.01 x 100 = 1 = </w:t>
            </w:r>
            <w:r w:rsidRPr="00F51ED0">
              <w:rPr>
                <w:u w:val="single"/>
              </w:rPr>
              <w:t>Not classified</w:t>
            </w:r>
          </w:p>
        </w:tc>
      </w:tr>
    </w:tbl>
    <w:p w14:paraId="1BE0ADAB" w14:textId="77777777" w:rsidR="00C21843" w:rsidRDefault="00C21843" w:rsidP="00C21843"/>
    <w:tbl>
      <w:tblPr>
        <w:tblStyle w:val="TableGrid"/>
        <w:tblW w:w="0" w:type="auto"/>
        <w:tblLook w:val="04A0" w:firstRow="1" w:lastRow="0" w:firstColumn="1" w:lastColumn="0" w:noHBand="0" w:noVBand="1"/>
      </w:tblPr>
      <w:tblGrid>
        <w:gridCol w:w="4045"/>
        <w:gridCol w:w="1965"/>
        <w:gridCol w:w="3006"/>
      </w:tblGrid>
      <w:tr w:rsidR="00C21843" w14:paraId="7944CA41" w14:textId="77777777" w:rsidTr="00A84198">
        <w:tc>
          <w:tcPr>
            <w:tcW w:w="4045" w:type="dxa"/>
          </w:tcPr>
          <w:p w14:paraId="15733CE5" w14:textId="77777777" w:rsidR="00C21843" w:rsidRDefault="00C21843" w:rsidP="00A84198">
            <w:r>
              <w:t>Sum of the concentration of ingredients classified as:</w:t>
            </w:r>
          </w:p>
        </w:tc>
        <w:tc>
          <w:tcPr>
            <w:tcW w:w="1965" w:type="dxa"/>
          </w:tcPr>
          <w:p w14:paraId="00F3D820" w14:textId="77777777" w:rsidR="00C21843" w:rsidRDefault="00C21843" w:rsidP="00A84198">
            <w:pPr>
              <w:jc w:val="center"/>
            </w:pPr>
            <w:r>
              <w:t>Mixture is classified as:</w:t>
            </w:r>
          </w:p>
        </w:tc>
        <w:tc>
          <w:tcPr>
            <w:tcW w:w="3006" w:type="dxa"/>
          </w:tcPr>
          <w:p w14:paraId="25B704ED" w14:textId="77777777" w:rsidR="00C21843" w:rsidRDefault="00C21843" w:rsidP="00A84198">
            <w:r>
              <w:t>Result:</w:t>
            </w:r>
          </w:p>
        </w:tc>
      </w:tr>
      <w:tr w:rsidR="00C21843" w14:paraId="4D2A39A0" w14:textId="77777777" w:rsidTr="00A84198">
        <w:tc>
          <w:tcPr>
            <w:tcW w:w="4045" w:type="dxa"/>
          </w:tcPr>
          <w:p w14:paraId="5F101E9D" w14:textId="77777777" w:rsidR="00C21843" w:rsidRDefault="00C21843" w:rsidP="00A84198">
            <w:r>
              <w:t xml:space="preserve">Chronic 1 x M </w:t>
            </w:r>
            <w:r>
              <w:rPr>
                <w:rFonts w:cstheme="minorHAnsi"/>
              </w:rPr>
              <w:t>≥</w:t>
            </w:r>
            <w:r>
              <w:t xml:space="preserve"> 25%</w:t>
            </w:r>
          </w:p>
        </w:tc>
        <w:tc>
          <w:tcPr>
            <w:tcW w:w="1965" w:type="dxa"/>
          </w:tcPr>
          <w:p w14:paraId="087368BF" w14:textId="77777777" w:rsidR="00C21843" w:rsidRDefault="00C21843" w:rsidP="00A84198">
            <w:pPr>
              <w:jc w:val="center"/>
            </w:pPr>
            <w:r>
              <w:t>Chronic 1</w:t>
            </w:r>
          </w:p>
        </w:tc>
        <w:tc>
          <w:tcPr>
            <w:tcW w:w="3006" w:type="dxa"/>
          </w:tcPr>
          <w:p w14:paraId="4E861697" w14:textId="77777777" w:rsidR="00C21843" w:rsidRDefault="00C21843" w:rsidP="00A84198">
            <w:r>
              <w:t xml:space="preserve">Sub1(0.01 x 100) + Sub2(0.02x1000) = 21 = </w:t>
            </w:r>
          </w:p>
          <w:p w14:paraId="091D8955" w14:textId="77777777" w:rsidR="00C21843" w:rsidRDefault="00C21843" w:rsidP="00A84198">
            <w:r>
              <w:t>not classified</w:t>
            </w:r>
          </w:p>
        </w:tc>
      </w:tr>
      <w:tr w:rsidR="00C21843" w14:paraId="2431F703" w14:textId="77777777" w:rsidTr="00A84198">
        <w:tc>
          <w:tcPr>
            <w:tcW w:w="4045" w:type="dxa"/>
          </w:tcPr>
          <w:p w14:paraId="67F18E5B" w14:textId="77777777" w:rsidR="00C21843" w:rsidRDefault="00C21843" w:rsidP="00A84198">
            <w:r>
              <w:t xml:space="preserve">(M x 10 x Chronic 1) + Chronic 2 </w:t>
            </w:r>
            <w:r>
              <w:rPr>
                <w:rFonts w:cstheme="minorHAnsi"/>
              </w:rPr>
              <w:t>≥</w:t>
            </w:r>
            <w:r>
              <w:t xml:space="preserve"> 25 %</w:t>
            </w:r>
          </w:p>
        </w:tc>
        <w:tc>
          <w:tcPr>
            <w:tcW w:w="1965" w:type="dxa"/>
          </w:tcPr>
          <w:p w14:paraId="38EF3417" w14:textId="77777777" w:rsidR="00C21843" w:rsidRDefault="00C21843" w:rsidP="00A84198">
            <w:pPr>
              <w:jc w:val="center"/>
            </w:pPr>
            <w:r>
              <w:t>Chronic 2</w:t>
            </w:r>
          </w:p>
        </w:tc>
        <w:tc>
          <w:tcPr>
            <w:tcW w:w="3006" w:type="dxa"/>
          </w:tcPr>
          <w:p w14:paraId="4BAE39EF" w14:textId="77777777" w:rsidR="00C21843" w:rsidRDefault="00C21843" w:rsidP="00A84198">
            <w:r>
              <w:t>Sub1(100 x 10 x 0.01) + Sub2(1000x10x0.02) = 210 =</w:t>
            </w:r>
          </w:p>
          <w:p w14:paraId="75F16F05" w14:textId="77777777" w:rsidR="00C21843" w:rsidRDefault="00C21843" w:rsidP="00A84198"/>
          <w:p w14:paraId="4A3D13EB" w14:textId="77777777" w:rsidR="00C21843" w:rsidRPr="00F51ED0" w:rsidRDefault="00C21843" w:rsidP="00A84198">
            <w:pPr>
              <w:rPr>
                <w:u w:val="single"/>
              </w:rPr>
            </w:pPr>
            <w:r w:rsidRPr="005B119A">
              <w:rPr>
                <w:u w:val="single"/>
              </w:rPr>
              <w:t>Classified</w:t>
            </w:r>
          </w:p>
        </w:tc>
      </w:tr>
    </w:tbl>
    <w:p w14:paraId="19C7D119" w14:textId="77777777" w:rsidR="00AA6828" w:rsidRDefault="00AA6828" w:rsidP="00285864">
      <w:pPr>
        <w:pStyle w:val="SingleTxtG"/>
        <w:rPr>
          <w:b/>
          <w:bCs/>
        </w:rPr>
      </w:pPr>
    </w:p>
    <w:p w14:paraId="2BDE035C" w14:textId="4CCD379D" w:rsidR="00C21843" w:rsidRPr="00285864" w:rsidRDefault="00C21843" w:rsidP="00AA6828">
      <w:pPr>
        <w:pStyle w:val="SingleTxtG"/>
        <w:pageBreakBefore/>
        <w:rPr>
          <w:b/>
          <w:bCs/>
        </w:rPr>
      </w:pPr>
      <w:r w:rsidRPr="00285864">
        <w:rPr>
          <w:b/>
          <w:bCs/>
        </w:rPr>
        <w:lastRenderedPageBreak/>
        <w:t>This mixture is chronic aquatic toxic 2. Therefore, it is environmentally hazardous (UN</w:t>
      </w:r>
      <w:r w:rsidR="00024263">
        <w:rPr>
          <w:b/>
          <w:bCs/>
        </w:rPr>
        <w:t> </w:t>
      </w:r>
      <w:r w:rsidRPr="00285864">
        <w:rPr>
          <w:b/>
          <w:bCs/>
        </w:rPr>
        <w:t>3082).</w:t>
      </w:r>
    </w:p>
    <w:p w14:paraId="7CCE4168" w14:textId="53AD40EE" w:rsidR="00C21843" w:rsidRDefault="00285864" w:rsidP="00285864">
      <w:pPr>
        <w:pStyle w:val="SingleTxtG"/>
      </w:pPr>
      <w:r>
        <w:t>19.</w:t>
      </w:r>
      <w:r>
        <w:tab/>
      </w:r>
      <w:r w:rsidR="00C21843" w:rsidRPr="00703602">
        <w:t xml:space="preserve">Example </w:t>
      </w:r>
      <w:r w:rsidR="00C21843">
        <w:t>5:</w:t>
      </w:r>
      <w:r w:rsidR="00C21843" w:rsidRPr="00703602">
        <w:t xml:space="preserve"> </w:t>
      </w:r>
      <w:r w:rsidR="00C21843">
        <w:t>A liquid paint mixture contains a mixture of environmentally hazardous substances in:</w:t>
      </w:r>
    </w:p>
    <w:p w14:paraId="0FB036E2" w14:textId="4AB7ABF9" w:rsidR="00C21843" w:rsidRDefault="00285864" w:rsidP="00285864">
      <w:pPr>
        <w:pStyle w:val="SingleTxtG"/>
      </w:pPr>
      <w:r>
        <w:tab/>
        <w:t>(a)</w:t>
      </w:r>
      <w:r>
        <w:tab/>
      </w:r>
      <w:r w:rsidR="00C21843">
        <w:t>A concentration of 0.3% assigned to both Acute and Chronic hazard category</w:t>
      </w:r>
      <w:r w:rsidR="00B1160D">
        <w:t> </w:t>
      </w:r>
      <w:r w:rsidR="00C21843">
        <w:t>1, M factor is 10 (acute) and 10 (chronic), and</w:t>
      </w:r>
    </w:p>
    <w:p w14:paraId="76363891" w14:textId="499C9C47" w:rsidR="00C21843" w:rsidRDefault="00285864" w:rsidP="00285864">
      <w:pPr>
        <w:pStyle w:val="SingleTxtG"/>
      </w:pPr>
      <w:r>
        <w:tab/>
        <w:t>(</w:t>
      </w:r>
      <w:r w:rsidR="0029148E">
        <w:t>b)</w:t>
      </w:r>
      <w:r w:rsidR="0029148E">
        <w:tab/>
      </w:r>
      <w:r w:rsidR="00C21843">
        <w:t>A concentration of 0.8% assigned to both Acute and Chronic hazard category</w:t>
      </w:r>
      <w:r w:rsidR="00B1160D">
        <w:t> </w:t>
      </w:r>
      <w:r w:rsidR="00C21843">
        <w:t xml:space="preserve">1, M factor is 10 (acute) and 10 (chronic). </w:t>
      </w:r>
    </w:p>
    <w:p w14:paraId="3FC53704" w14:textId="77777777" w:rsidR="0012033B" w:rsidRDefault="0012033B" w:rsidP="0012033B">
      <w:pPr>
        <w:pStyle w:val="SingleTxtG"/>
        <w:keepNext/>
      </w:pPr>
    </w:p>
    <w:p w14:paraId="3BEDCF1B" w14:textId="77DB5E58" w:rsidR="00C21843" w:rsidRDefault="00C21843" w:rsidP="0012033B">
      <w:pPr>
        <w:pStyle w:val="SingleTxtG"/>
        <w:keepNext/>
      </w:pPr>
      <w:r>
        <w:t>Calculation for UN</w:t>
      </w:r>
      <w:r w:rsidR="00024263">
        <w:t> </w:t>
      </w:r>
      <w:r>
        <w:t>3082:</w:t>
      </w:r>
    </w:p>
    <w:tbl>
      <w:tblPr>
        <w:tblStyle w:val="TableGrid"/>
        <w:tblW w:w="0" w:type="auto"/>
        <w:tblLook w:val="04A0" w:firstRow="1" w:lastRow="0" w:firstColumn="1" w:lastColumn="0" w:noHBand="0" w:noVBand="1"/>
      </w:tblPr>
      <w:tblGrid>
        <w:gridCol w:w="4045"/>
        <w:gridCol w:w="1965"/>
        <w:gridCol w:w="3006"/>
      </w:tblGrid>
      <w:tr w:rsidR="00C21843" w14:paraId="24A5AEF9" w14:textId="77777777" w:rsidTr="00A84198">
        <w:trPr>
          <w:trHeight w:val="300"/>
        </w:trPr>
        <w:tc>
          <w:tcPr>
            <w:tcW w:w="4045" w:type="dxa"/>
          </w:tcPr>
          <w:p w14:paraId="2D2F2191" w14:textId="77777777" w:rsidR="00C21843" w:rsidRDefault="00C21843" w:rsidP="00A84198">
            <w:r>
              <w:t>Sum of the concentration of ingredients classified as:</w:t>
            </w:r>
          </w:p>
        </w:tc>
        <w:tc>
          <w:tcPr>
            <w:tcW w:w="1965" w:type="dxa"/>
          </w:tcPr>
          <w:p w14:paraId="04277A97" w14:textId="77777777" w:rsidR="00C21843" w:rsidRDefault="00C21843" w:rsidP="00A84198">
            <w:pPr>
              <w:jc w:val="center"/>
            </w:pPr>
            <w:r>
              <w:t>Mixture is classified as:</w:t>
            </w:r>
          </w:p>
        </w:tc>
        <w:tc>
          <w:tcPr>
            <w:tcW w:w="3006" w:type="dxa"/>
          </w:tcPr>
          <w:p w14:paraId="7996AE32" w14:textId="77777777" w:rsidR="00C21843" w:rsidRDefault="00C21843" w:rsidP="00A84198">
            <w:r>
              <w:t>Result</w:t>
            </w:r>
          </w:p>
        </w:tc>
      </w:tr>
      <w:tr w:rsidR="00C21843" w14:paraId="1E6D766F" w14:textId="77777777" w:rsidTr="00A84198">
        <w:trPr>
          <w:trHeight w:val="300"/>
        </w:trPr>
        <w:tc>
          <w:tcPr>
            <w:tcW w:w="4045" w:type="dxa"/>
          </w:tcPr>
          <w:p w14:paraId="03365536" w14:textId="77777777" w:rsidR="00C21843" w:rsidRDefault="00C21843" w:rsidP="00A84198">
            <w:r>
              <w:t xml:space="preserve">Acute 1 x M </w:t>
            </w:r>
            <w:r w:rsidRPr="67062AEE">
              <w:rPr>
                <w:rFonts w:cstheme="minorBidi"/>
              </w:rPr>
              <w:t>≥</w:t>
            </w:r>
            <w:r>
              <w:t xml:space="preserve"> 25%</w:t>
            </w:r>
          </w:p>
        </w:tc>
        <w:tc>
          <w:tcPr>
            <w:tcW w:w="1965" w:type="dxa"/>
          </w:tcPr>
          <w:p w14:paraId="566FA86C" w14:textId="77777777" w:rsidR="00C21843" w:rsidRDefault="00C21843" w:rsidP="00A84198">
            <w:pPr>
              <w:jc w:val="center"/>
            </w:pPr>
            <w:r>
              <w:t>Acute 1</w:t>
            </w:r>
          </w:p>
        </w:tc>
        <w:tc>
          <w:tcPr>
            <w:tcW w:w="3006" w:type="dxa"/>
          </w:tcPr>
          <w:p w14:paraId="149D0CBC" w14:textId="77777777" w:rsidR="00C21843" w:rsidRDefault="00C21843" w:rsidP="00A84198">
            <w:r>
              <w:t>Sub1(0.3 x 10) + Sub2(0.8 x 10) = 11 =</w:t>
            </w:r>
          </w:p>
          <w:p w14:paraId="67FE3613" w14:textId="77777777" w:rsidR="00C21843" w:rsidRDefault="00C21843" w:rsidP="00A84198">
            <w:r>
              <w:t>Not classified</w:t>
            </w:r>
          </w:p>
        </w:tc>
      </w:tr>
    </w:tbl>
    <w:p w14:paraId="686539A4" w14:textId="77777777" w:rsidR="00C21843" w:rsidRDefault="00C21843" w:rsidP="00C21843"/>
    <w:tbl>
      <w:tblPr>
        <w:tblStyle w:val="TableGrid"/>
        <w:tblW w:w="0" w:type="auto"/>
        <w:tblLook w:val="04A0" w:firstRow="1" w:lastRow="0" w:firstColumn="1" w:lastColumn="0" w:noHBand="0" w:noVBand="1"/>
      </w:tblPr>
      <w:tblGrid>
        <w:gridCol w:w="4045"/>
        <w:gridCol w:w="1965"/>
        <w:gridCol w:w="3006"/>
      </w:tblGrid>
      <w:tr w:rsidR="00C21843" w14:paraId="2FECB2D8" w14:textId="77777777" w:rsidTr="00A84198">
        <w:trPr>
          <w:trHeight w:val="300"/>
        </w:trPr>
        <w:tc>
          <w:tcPr>
            <w:tcW w:w="4045" w:type="dxa"/>
          </w:tcPr>
          <w:p w14:paraId="0E61470F" w14:textId="77777777" w:rsidR="00C21843" w:rsidRDefault="00C21843" w:rsidP="00A84198">
            <w:r>
              <w:t>Sum of the concentration of ingredients classified as:</w:t>
            </w:r>
          </w:p>
        </w:tc>
        <w:tc>
          <w:tcPr>
            <w:tcW w:w="1965" w:type="dxa"/>
          </w:tcPr>
          <w:p w14:paraId="44EFD54D" w14:textId="77777777" w:rsidR="00C21843" w:rsidRDefault="00C21843" w:rsidP="00A84198">
            <w:pPr>
              <w:jc w:val="center"/>
            </w:pPr>
            <w:r>
              <w:t>Mixture is classified as:</w:t>
            </w:r>
          </w:p>
        </w:tc>
        <w:tc>
          <w:tcPr>
            <w:tcW w:w="3006" w:type="dxa"/>
          </w:tcPr>
          <w:p w14:paraId="3FD6D66C" w14:textId="77777777" w:rsidR="00C21843" w:rsidRDefault="00C21843" w:rsidP="00A84198">
            <w:r>
              <w:t>Result</w:t>
            </w:r>
          </w:p>
        </w:tc>
      </w:tr>
      <w:tr w:rsidR="00C21843" w14:paraId="63D1A4DB" w14:textId="77777777" w:rsidTr="00A84198">
        <w:trPr>
          <w:trHeight w:val="300"/>
        </w:trPr>
        <w:tc>
          <w:tcPr>
            <w:tcW w:w="4045" w:type="dxa"/>
          </w:tcPr>
          <w:p w14:paraId="2695D87E" w14:textId="77777777" w:rsidR="00C21843" w:rsidRDefault="00C21843" w:rsidP="00A84198">
            <w:r>
              <w:t xml:space="preserve">Chronic 1 x M </w:t>
            </w:r>
            <w:r w:rsidRPr="67062AEE">
              <w:rPr>
                <w:rFonts w:cstheme="minorBidi"/>
              </w:rPr>
              <w:t>≥</w:t>
            </w:r>
            <w:r>
              <w:t xml:space="preserve"> 25%</w:t>
            </w:r>
          </w:p>
        </w:tc>
        <w:tc>
          <w:tcPr>
            <w:tcW w:w="1965" w:type="dxa"/>
          </w:tcPr>
          <w:p w14:paraId="5D9F3350" w14:textId="77777777" w:rsidR="00C21843" w:rsidRDefault="00C21843" w:rsidP="00A84198">
            <w:pPr>
              <w:jc w:val="center"/>
            </w:pPr>
            <w:r>
              <w:t>Chronic 1</w:t>
            </w:r>
          </w:p>
        </w:tc>
        <w:tc>
          <w:tcPr>
            <w:tcW w:w="3006" w:type="dxa"/>
          </w:tcPr>
          <w:p w14:paraId="3F80603A" w14:textId="77777777" w:rsidR="00C21843" w:rsidRDefault="00C21843" w:rsidP="00A84198">
            <w:r>
              <w:t xml:space="preserve">Sub1(0.3 x 10) + Sub2(0.8x10) = 11 = </w:t>
            </w:r>
          </w:p>
          <w:p w14:paraId="3AF85495" w14:textId="77777777" w:rsidR="00C21843" w:rsidRDefault="00C21843" w:rsidP="00A84198">
            <w:r>
              <w:t>Not classified</w:t>
            </w:r>
          </w:p>
        </w:tc>
      </w:tr>
      <w:tr w:rsidR="00C21843" w14:paraId="45282EEA" w14:textId="77777777" w:rsidTr="00A84198">
        <w:trPr>
          <w:trHeight w:val="300"/>
        </w:trPr>
        <w:tc>
          <w:tcPr>
            <w:tcW w:w="4045" w:type="dxa"/>
          </w:tcPr>
          <w:p w14:paraId="7CAE3F65" w14:textId="77777777" w:rsidR="00C21843" w:rsidRDefault="00C21843" w:rsidP="00A84198">
            <w:r>
              <w:t xml:space="preserve">(M x 10 x Chronic 1) + Chronic 2 </w:t>
            </w:r>
            <w:r w:rsidRPr="67062AEE">
              <w:rPr>
                <w:rFonts w:cstheme="minorBidi"/>
              </w:rPr>
              <w:t>≥</w:t>
            </w:r>
            <w:r>
              <w:t xml:space="preserve"> 25 %</w:t>
            </w:r>
          </w:p>
        </w:tc>
        <w:tc>
          <w:tcPr>
            <w:tcW w:w="1965" w:type="dxa"/>
          </w:tcPr>
          <w:p w14:paraId="43C2FDBA" w14:textId="77777777" w:rsidR="00C21843" w:rsidRDefault="00C21843" w:rsidP="00A84198">
            <w:pPr>
              <w:jc w:val="center"/>
            </w:pPr>
            <w:r>
              <w:t>Chronic 2</w:t>
            </w:r>
          </w:p>
        </w:tc>
        <w:tc>
          <w:tcPr>
            <w:tcW w:w="3006" w:type="dxa"/>
          </w:tcPr>
          <w:p w14:paraId="2A8CA21C" w14:textId="77777777" w:rsidR="00C21843" w:rsidRDefault="00C21843" w:rsidP="00A84198">
            <w:r>
              <w:t>Sub1(10 x 10 x 0.3) + Sub2(10x10x0.8) = 110 =</w:t>
            </w:r>
          </w:p>
          <w:p w14:paraId="7033E855" w14:textId="77777777" w:rsidR="00C21843" w:rsidRDefault="00C21843" w:rsidP="00A84198"/>
          <w:p w14:paraId="1264EEC1" w14:textId="77777777" w:rsidR="00C21843" w:rsidRPr="00F51ED0" w:rsidRDefault="00C21843" w:rsidP="00A84198">
            <w:pPr>
              <w:rPr>
                <w:u w:val="single"/>
              </w:rPr>
            </w:pPr>
            <w:r w:rsidRPr="005B119A">
              <w:rPr>
                <w:u w:val="single"/>
              </w:rPr>
              <w:t xml:space="preserve">Classified Chronic 2 (result </w:t>
            </w:r>
            <w:r w:rsidRPr="005B119A">
              <w:rPr>
                <w:rFonts w:cstheme="minorHAnsi"/>
                <w:u w:val="single"/>
              </w:rPr>
              <w:t>≥</w:t>
            </w:r>
            <w:r w:rsidRPr="005B119A">
              <w:rPr>
                <w:u w:val="single"/>
              </w:rPr>
              <w:t xml:space="preserve"> 25).</w:t>
            </w:r>
          </w:p>
        </w:tc>
      </w:tr>
    </w:tbl>
    <w:p w14:paraId="6944CC70" w14:textId="77777777" w:rsidR="00AA6828" w:rsidRDefault="00AA6828" w:rsidP="0012033B">
      <w:pPr>
        <w:pStyle w:val="SingleTxtG"/>
        <w:rPr>
          <w:b/>
          <w:bCs/>
        </w:rPr>
      </w:pPr>
    </w:p>
    <w:p w14:paraId="319CA7D1" w14:textId="18242C2F" w:rsidR="00C21843" w:rsidRPr="0012033B" w:rsidRDefault="00C21843" w:rsidP="0012033B">
      <w:pPr>
        <w:pStyle w:val="SingleTxtG"/>
        <w:rPr>
          <w:b/>
          <w:bCs/>
        </w:rPr>
      </w:pPr>
      <w:r w:rsidRPr="0012033B">
        <w:rPr>
          <w:b/>
          <w:bCs/>
        </w:rPr>
        <w:t>This mixture is chronic aquatic toxic 2. Therefore, it is environmentally hazardous (UN</w:t>
      </w:r>
      <w:r w:rsidR="00B1160D">
        <w:rPr>
          <w:b/>
          <w:bCs/>
        </w:rPr>
        <w:t> </w:t>
      </w:r>
      <w:r w:rsidRPr="0012033B">
        <w:rPr>
          <w:b/>
          <w:bCs/>
        </w:rPr>
        <w:t>3082).</w:t>
      </w:r>
    </w:p>
    <w:p w14:paraId="3B0A8416" w14:textId="14A0F9AD" w:rsidR="00C21843" w:rsidRPr="00703602" w:rsidRDefault="0012033B" w:rsidP="0012033B">
      <w:pPr>
        <w:pStyle w:val="HChG"/>
      </w:pPr>
      <w:r>
        <w:tab/>
        <w:t>V.</w:t>
      </w:r>
      <w:r>
        <w:tab/>
      </w:r>
      <w:r w:rsidR="00C21843" w:rsidRPr="00703602">
        <w:t>Conclusion</w:t>
      </w:r>
    </w:p>
    <w:p w14:paraId="6DF92C2C" w14:textId="6C8C1CD1" w:rsidR="00C21843" w:rsidRDefault="0012033B" w:rsidP="0012033B">
      <w:pPr>
        <w:pStyle w:val="SingleTxtG"/>
      </w:pPr>
      <w:r>
        <w:t>20.</w:t>
      </w:r>
      <w:r>
        <w:tab/>
      </w:r>
      <w:r w:rsidR="00C21843">
        <w:t xml:space="preserve">WCC’s proposal is to exempt mixtures classified as UN 3082 that contain &lt; 1% of highly toxic substances to the environment (with an M-factor &gt; 1) from UN-approved packaging requirements in pack sizes up to and including 30 </w:t>
      </w:r>
      <w:proofErr w:type="spellStart"/>
      <w:r w:rsidR="00C21843">
        <w:t>liters</w:t>
      </w:r>
      <w:proofErr w:type="spellEnd"/>
      <w:r w:rsidR="00C21843">
        <w:t>. This criteria is based on an upper concentration limit of the sum of highly toxic substances being less then 1% instead of a limit to the M-factor to m</w:t>
      </w:r>
      <w:r w:rsidR="00C21843" w:rsidRPr="67062AEE">
        <w:t>ake the calculation easier on mixture leve</w:t>
      </w:r>
      <w:r w:rsidR="00C21843">
        <w:t xml:space="preserve">l; to </w:t>
      </w:r>
      <w:r w:rsidR="00C21843" w:rsidRPr="67062AEE">
        <w:t>exclude higher concentrations of highly toxic substance from the packaging exemption</w:t>
      </w:r>
      <w:r w:rsidR="00C21843">
        <w:t xml:space="preserve">; and to align with </w:t>
      </w:r>
      <w:r w:rsidR="00C21843" w:rsidRPr="67062AEE">
        <w:t xml:space="preserve">the former </w:t>
      </w:r>
      <w:r w:rsidR="00C21843">
        <w:t xml:space="preserve">1% limit for </w:t>
      </w:r>
      <w:r w:rsidR="00C21843" w:rsidRPr="67062AEE">
        <w:t xml:space="preserve">severe </w:t>
      </w:r>
      <w:r w:rsidR="00C21843">
        <w:t>m</w:t>
      </w:r>
      <w:r w:rsidR="00C21843" w:rsidRPr="67062AEE">
        <w:t xml:space="preserve">arine </w:t>
      </w:r>
      <w:r w:rsidR="00C21843">
        <w:t>p</w:t>
      </w:r>
      <w:r w:rsidR="00C21843" w:rsidRPr="67062AEE">
        <w:t>ollutant (PP) from</w:t>
      </w:r>
      <w:r w:rsidR="00C21843">
        <w:t xml:space="preserve"> the</w:t>
      </w:r>
      <w:r w:rsidR="00C21843" w:rsidRPr="67062AEE">
        <w:t xml:space="preserve"> IMDG </w:t>
      </w:r>
      <w:r w:rsidR="00C21843">
        <w:t>C</w:t>
      </w:r>
      <w:r w:rsidR="00C21843" w:rsidRPr="67062AEE">
        <w:t>ode</w:t>
      </w:r>
      <w:r w:rsidR="00C21843">
        <w:t>.</w:t>
      </w:r>
    </w:p>
    <w:p w14:paraId="0B208834" w14:textId="77777777" w:rsidR="00C21843" w:rsidRDefault="00C21843" w:rsidP="00C21843"/>
    <w:tbl>
      <w:tblPr>
        <w:tblStyle w:val="TableGrid"/>
        <w:tblW w:w="0" w:type="auto"/>
        <w:tblLook w:val="04A0" w:firstRow="1" w:lastRow="0" w:firstColumn="1" w:lastColumn="0" w:noHBand="0" w:noVBand="1"/>
      </w:tblPr>
      <w:tblGrid>
        <w:gridCol w:w="1705"/>
        <w:gridCol w:w="3060"/>
        <w:gridCol w:w="4251"/>
      </w:tblGrid>
      <w:tr w:rsidR="00C21843" w14:paraId="4E580ECA" w14:textId="77777777" w:rsidTr="00A84198">
        <w:tc>
          <w:tcPr>
            <w:tcW w:w="1705" w:type="dxa"/>
          </w:tcPr>
          <w:p w14:paraId="7A15DBE0" w14:textId="77777777" w:rsidR="00C21843" w:rsidRPr="001951AC" w:rsidRDefault="00C21843" w:rsidP="00A84198">
            <w:pPr>
              <w:rPr>
                <w:b/>
                <w:bCs/>
              </w:rPr>
            </w:pPr>
            <w:r w:rsidRPr="001951AC">
              <w:rPr>
                <w:b/>
                <w:bCs/>
              </w:rPr>
              <w:t>Example</w:t>
            </w:r>
          </w:p>
        </w:tc>
        <w:tc>
          <w:tcPr>
            <w:tcW w:w="3060" w:type="dxa"/>
          </w:tcPr>
          <w:p w14:paraId="33A107ED" w14:textId="77777777" w:rsidR="00C21843" w:rsidRPr="001951AC" w:rsidRDefault="00C21843" w:rsidP="00A84198">
            <w:pPr>
              <w:rPr>
                <w:b/>
                <w:bCs/>
              </w:rPr>
            </w:pPr>
            <w:r w:rsidRPr="67062AEE">
              <w:rPr>
                <w:b/>
                <w:bCs/>
              </w:rPr>
              <w:t>Contain &lt;</w:t>
            </w:r>
            <w:r>
              <w:rPr>
                <w:b/>
                <w:bCs/>
              </w:rPr>
              <w:t xml:space="preserve"> </w:t>
            </w:r>
            <w:r w:rsidRPr="67062AEE">
              <w:rPr>
                <w:b/>
                <w:bCs/>
              </w:rPr>
              <w:t>1% (sum of conc.)</w:t>
            </w:r>
          </w:p>
        </w:tc>
        <w:tc>
          <w:tcPr>
            <w:tcW w:w="4251" w:type="dxa"/>
          </w:tcPr>
          <w:p w14:paraId="43B9EA23" w14:textId="77777777" w:rsidR="00C21843" w:rsidRPr="001951AC" w:rsidRDefault="00C21843" w:rsidP="00A84198">
            <w:pPr>
              <w:rPr>
                <w:b/>
                <w:bCs/>
              </w:rPr>
            </w:pPr>
            <w:r w:rsidRPr="2B516D33">
              <w:rPr>
                <w:b/>
                <w:bCs/>
              </w:rPr>
              <w:t>UN approved packaging under our proposal</w:t>
            </w:r>
          </w:p>
        </w:tc>
      </w:tr>
      <w:tr w:rsidR="00C21843" w14:paraId="4C39CA27" w14:textId="77777777" w:rsidTr="00A84198">
        <w:tc>
          <w:tcPr>
            <w:tcW w:w="1705" w:type="dxa"/>
          </w:tcPr>
          <w:p w14:paraId="233C3F90" w14:textId="77777777" w:rsidR="00C21843" w:rsidRDefault="00C21843" w:rsidP="00A84198">
            <w:r>
              <w:t>Example 2</w:t>
            </w:r>
          </w:p>
          <w:p w14:paraId="595F4B88" w14:textId="3EBFD021" w:rsidR="00C21843" w:rsidRDefault="00C21843" w:rsidP="00A84198">
            <w:r>
              <w:t>UN</w:t>
            </w:r>
            <w:r w:rsidR="00B1160D">
              <w:t> </w:t>
            </w:r>
            <w:r>
              <w:t>3082</w:t>
            </w:r>
          </w:p>
        </w:tc>
        <w:tc>
          <w:tcPr>
            <w:tcW w:w="3060" w:type="dxa"/>
          </w:tcPr>
          <w:p w14:paraId="37E1808A" w14:textId="77777777" w:rsidR="00C21843" w:rsidRDefault="00C21843" w:rsidP="00A84198">
            <w:r>
              <w:t>0.03% Chronic cat. 1, M = 100</w:t>
            </w:r>
          </w:p>
        </w:tc>
        <w:tc>
          <w:tcPr>
            <w:tcW w:w="4251" w:type="dxa"/>
          </w:tcPr>
          <w:p w14:paraId="610D09B2" w14:textId="77777777" w:rsidR="00C21843" w:rsidRDefault="00C21843" w:rsidP="00A84198">
            <w:r>
              <w:t>No (0.03% &lt; 1% high toxic to environment substance)</w:t>
            </w:r>
          </w:p>
        </w:tc>
      </w:tr>
      <w:tr w:rsidR="00C21843" w14:paraId="5BD322DB" w14:textId="77777777" w:rsidTr="00A84198">
        <w:tc>
          <w:tcPr>
            <w:tcW w:w="1705" w:type="dxa"/>
          </w:tcPr>
          <w:p w14:paraId="600D27DD" w14:textId="77777777" w:rsidR="00C21843" w:rsidRPr="00CF0BF6" w:rsidRDefault="00C21843" w:rsidP="00A84198">
            <w:r w:rsidRPr="00CF0BF6">
              <w:t>Example 3</w:t>
            </w:r>
          </w:p>
          <w:p w14:paraId="73BF2020" w14:textId="5FA05FA6" w:rsidR="00C21843" w:rsidRPr="00CF0BF6" w:rsidRDefault="00C21843" w:rsidP="00A84198">
            <w:r w:rsidRPr="00CF0BF6">
              <w:t>UN</w:t>
            </w:r>
            <w:r w:rsidR="00B1160D">
              <w:t> </w:t>
            </w:r>
            <w:r w:rsidRPr="00CF0BF6">
              <w:t>3082</w:t>
            </w:r>
          </w:p>
        </w:tc>
        <w:tc>
          <w:tcPr>
            <w:tcW w:w="3060" w:type="dxa"/>
          </w:tcPr>
          <w:p w14:paraId="06405979" w14:textId="77777777" w:rsidR="00C21843" w:rsidRPr="00CF0BF6" w:rsidRDefault="00C21843" w:rsidP="00A84198">
            <w:r w:rsidRPr="00CF0BF6">
              <w:t>0.03% Acute cat. 1 (M = 100); Chronic cat. 1 (M = 100)</w:t>
            </w:r>
          </w:p>
        </w:tc>
        <w:tc>
          <w:tcPr>
            <w:tcW w:w="4251" w:type="dxa"/>
          </w:tcPr>
          <w:p w14:paraId="6DB53585" w14:textId="77777777" w:rsidR="00C21843" w:rsidRPr="00CF0BF6" w:rsidRDefault="00C21843" w:rsidP="00A84198">
            <w:r w:rsidRPr="00CF0BF6">
              <w:t>No (0.03% &lt; 1% high toxic to environment substance)</w:t>
            </w:r>
          </w:p>
        </w:tc>
      </w:tr>
      <w:tr w:rsidR="00C21843" w14:paraId="364167F2" w14:textId="77777777" w:rsidTr="00A84198">
        <w:tc>
          <w:tcPr>
            <w:tcW w:w="1705" w:type="dxa"/>
          </w:tcPr>
          <w:p w14:paraId="4DED08FE" w14:textId="77777777" w:rsidR="00C21843" w:rsidRPr="00CF0BF6" w:rsidRDefault="00C21843" w:rsidP="00A84198">
            <w:r w:rsidRPr="00CF0BF6">
              <w:t xml:space="preserve">Example 4 </w:t>
            </w:r>
          </w:p>
          <w:p w14:paraId="197EE586" w14:textId="26823F18" w:rsidR="00C21843" w:rsidRPr="00CF0BF6" w:rsidRDefault="00C21843" w:rsidP="00A84198">
            <w:r w:rsidRPr="00CF0BF6">
              <w:t>UN</w:t>
            </w:r>
            <w:r w:rsidR="00B1160D">
              <w:t> </w:t>
            </w:r>
            <w:r w:rsidRPr="00CF0BF6">
              <w:t>3082</w:t>
            </w:r>
          </w:p>
        </w:tc>
        <w:tc>
          <w:tcPr>
            <w:tcW w:w="3060" w:type="dxa"/>
          </w:tcPr>
          <w:p w14:paraId="3437F2B6" w14:textId="77777777" w:rsidR="00C21843" w:rsidRPr="00CF0BF6" w:rsidRDefault="00C21843" w:rsidP="00A84198">
            <w:r w:rsidRPr="00CF0BF6">
              <w:t>Substance 1: 0.01% Acute cat. 1 (M = 100); Chronic cat. 1 (M = 100)</w:t>
            </w:r>
          </w:p>
          <w:p w14:paraId="61671053" w14:textId="77777777" w:rsidR="00C21843" w:rsidRPr="00CF0BF6" w:rsidRDefault="00C21843" w:rsidP="00A84198">
            <w:r w:rsidRPr="00CF0BF6">
              <w:t>Substance 2: 0.02% Chronic cat. 1 (M = 1000)</w:t>
            </w:r>
          </w:p>
        </w:tc>
        <w:tc>
          <w:tcPr>
            <w:tcW w:w="4251" w:type="dxa"/>
          </w:tcPr>
          <w:p w14:paraId="49EA22AF" w14:textId="77777777" w:rsidR="00C21843" w:rsidRPr="00CF0BF6" w:rsidRDefault="00C21843" w:rsidP="00A84198">
            <w:r w:rsidRPr="00CF0BF6">
              <w:t>No (0.01 + 0.02%) = 0.03% &lt;1% high toxic to environment substance)</w:t>
            </w:r>
          </w:p>
        </w:tc>
      </w:tr>
      <w:tr w:rsidR="00C21843" w14:paraId="468A7636" w14:textId="77777777" w:rsidTr="00A84198">
        <w:trPr>
          <w:trHeight w:val="300"/>
        </w:trPr>
        <w:tc>
          <w:tcPr>
            <w:tcW w:w="1705" w:type="dxa"/>
          </w:tcPr>
          <w:p w14:paraId="063D76A0" w14:textId="77777777" w:rsidR="00C21843" w:rsidRDefault="00C21843" w:rsidP="00A84198">
            <w:r>
              <w:t>Example 5</w:t>
            </w:r>
          </w:p>
          <w:p w14:paraId="7EFC8514" w14:textId="6DBB42C0" w:rsidR="00C21843" w:rsidRDefault="00C21843" w:rsidP="00A84198">
            <w:r>
              <w:t>UN</w:t>
            </w:r>
            <w:r w:rsidR="00B1160D">
              <w:t> </w:t>
            </w:r>
            <w:r>
              <w:t>3082</w:t>
            </w:r>
          </w:p>
        </w:tc>
        <w:tc>
          <w:tcPr>
            <w:tcW w:w="3060" w:type="dxa"/>
          </w:tcPr>
          <w:p w14:paraId="388A4FDF" w14:textId="77777777" w:rsidR="00C21843" w:rsidRPr="00CF0BF6" w:rsidRDefault="00C21843" w:rsidP="00A84198">
            <w:r w:rsidRPr="00CF0BF6">
              <w:t>Substance 1: 0.</w:t>
            </w:r>
            <w:r>
              <w:t>3</w:t>
            </w:r>
            <w:r w:rsidRPr="00CF0BF6">
              <w:t>% Acute cat. 1 (M = 10); Chronic cat. 1 (M = 10)</w:t>
            </w:r>
          </w:p>
          <w:p w14:paraId="2D26DE60" w14:textId="43FCA115" w:rsidR="00C21843" w:rsidRDefault="00C21843" w:rsidP="00A84198">
            <w:r w:rsidRPr="00CF0BF6">
              <w:t>Substance 2: 0.</w:t>
            </w:r>
            <w:r>
              <w:t>8</w:t>
            </w:r>
            <w:r w:rsidRPr="00CF0BF6">
              <w:t xml:space="preserve">% </w:t>
            </w:r>
            <w:r>
              <w:t>Acute cat. 1 (M =</w:t>
            </w:r>
            <w:r w:rsidR="00B1160D">
              <w:t xml:space="preserve"> </w:t>
            </w:r>
            <w:r>
              <w:t xml:space="preserve">10); </w:t>
            </w:r>
            <w:r w:rsidRPr="00CF0BF6">
              <w:t xml:space="preserve">Chronic cat. 1 (M = </w:t>
            </w:r>
            <w:r>
              <w:t>1</w:t>
            </w:r>
            <w:r w:rsidRPr="00CF0BF6">
              <w:t>0)</w:t>
            </w:r>
          </w:p>
        </w:tc>
        <w:tc>
          <w:tcPr>
            <w:tcW w:w="4251" w:type="dxa"/>
          </w:tcPr>
          <w:p w14:paraId="472DE3D6" w14:textId="77777777" w:rsidR="00C21843" w:rsidRDefault="00C21843" w:rsidP="00A84198">
            <w:r>
              <w:t>Yes (0.3 + 0.8 = 1.1% which is above sum of concentration limit)</w:t>
            </w:r>
          </w:p>
        </w:tc>
      </w:tr>
    </w:tbl>
    <w:p w14:paraId="48E5DDEB" w14:textId="77777777" w:rsidR="00C21843" w:rsidRDefault="00C21843" w:rsidP="00C21843"/>
    <w:p w14:paraId="357F5438" w14:textId="52BADC5E" w:rsidR="00C21843" w:rsidRPr="00703602" w:rsidRDefault="0012033B" w:rsidP="0012033B">
      <w:pPr>
        <w:pStyle w:val="HChG"/>
      </w:pPr>
      <w:r>
        <w:lastRenderedPageBreak/>
        <w:tab/>
        <w:t>VI.</w:t>
      </w:r>
      <w:r>
        <w:tab/>
      </w:r>
      <w:r w:rsidR="00C21843" w:rsidRPr="00703602">
        <w:t xml:space="preserve">Additional </w:t>
      </w:r>
      <w:r w:rsidR="00B1160D">
        <w:t>c</w:t>
      </w:r>
      <w:r w:rsidR="00C21843" w:rsidRPr="00703602">
        <w:t>onsiderations</w:t>
      </w:r>
    </w:p>
    <w:p w14:paraId="42B52805" w14:textId="7387E4AF" w:rsidR="00C21843" w:rsidRDefault="0012033B" w:rsidP="0012033B">
      <w:pPr>
        <w:pStyle w:val="SingleTxtG"/>
      </w:pPr>
      <w:r>
        <w:t>21.</w:t>
      </w:r>
      <w:r>
        <w:tab/>
      </w:r>
      <w:r w:rsidR="00C21843">
        <w:t>Limited data was available on substances when Class 9 environmentally hazardous classification was introduced in 2009 (as well as information on M-factors). This has increased over the years due to the proliferation of high M-factors.</w:t>
      </w:r>
    </w:p>
    <w:p w14:paraId="6A184122" w14:textId="0FDBE584" w:rsidR="00C21843" w:rsidRDefault="0012033B" w:rsidP="0012033B">
      <w:pPr>
        <w:pStyle w:val="SingleTxtG"/>
      </w:pPr>
      <w:r>
        <w:t>22.</w:t>
      </w:r>
      <w:r>
        <w:tab/>
      </w:r>
      <w:r w:rsidR="00C21843">
        <w:t xml:space="preserve">High M-factors have led to the environmentally hazardous classification for a mixture at disproportionately low levels (e.g. 0.025%) when compared to mixture classification for corrosive (5%) or toxic (oral at 33.3%; dermal at 30%; and inhalation at 5%). UN 3077 and UN 3082 only exist in PG III (less danger), whereas corrosive and toxic have the full range of PGs (PG I for severe danger; PG II for medium danger; and PG III for less danger). The environmentally hazardous classification does not take precedence over Classes 1-8 and is an additional hazard, whereas corrosive and toxic are not. Consequently, this classification has inadvertently become “over-prioritized” through the link between GHS &amp; transport regulations, primarily due to M-Factors. </w:t>
      </w:r>
    </w:p>
    <w:p w14:paraId="3EF4D8CF" w14:textId="4A96F269" w:rsidR="00CA0772" w:rsidRDefault="0012033B" w:rsidP="00C21843">
      <w:pPr>
        <w:pStyle w:val="SingleTxtG"/>
      </w:pPr>
      <w:r>
        <w:t>23.</w:t>
      </w:r>
      <w:r>
        <w:tab/>
      </w:r>
      <w:r w:rsidR="00C21843">
        <w:t>In transport classification for health hazards, only acute toxic classification is taken into account and not chronic toxic classification. In contrast, for environmentally hazardous classification, both acute and chronic (1 and 2) are seen as dangerous in transport.</w:t>
      </w:r>
    </w:p>
    <w:p w14:paraId="34F3B1EC" w14:textId="7464598C" w:rsidR="00DF6C2D" w:rsidRDefault="00DF6C2D" w:rsidP="00DF6C2D">
      <w:pPr>
        <w:rPr>
          <w:lang w:val="en-US"/>
        </w:rPr>
        <w:sectPr w:rsidR="00DF6C2D" w:rsidSect="00AE1BA4">
          <w:headerReference w:type="even" r:id="rId15"/>
          <w:headerReference w:type="default" r:id="rId16"/>
          <w:footerReference w:type="even" r:id="rId17"/>
          <w:footerReference w:type="default" r:id="rId18"/>
          <w:footerReference w:type="first" r:id="rId19"/>
          <w:endnotePr>
            <w:numFmt w:val="decimal"/>
          </w:endnotePr>
          <w:pgSz w:w="11907" w:h="16840" w:code="9"/>
          <w:pgMar w:top="1417" w:right="1134" w:bottom="1134" w:left="1134" w:header="850" w:footer="567" w:gutter="0"/>
          <w:cols w:space="720"/>
          <w:titlePg/>
          <w:docGrid w:linePitch="272"/>
        </w:sectPr>
      </w:pPr>
    </w:p>
    <w:p w14:paraId="76B4E683" w14:textId="77777777" w:rsidR="006C7245" w:rsidRDefault="002F586A" w:rsidP="002F586A">
      <w:pPr>
        <w:pStyle w:val="NoSpacing"/>
        <w:rPr>
          <w:b/>
          <w:bCs/>
          <w:sz w:val="28"/>
          <w:szCs w:val="28"/>
        </w:rPr>
      </w:pPr>
      <w:r w:rsidRPr="00BA431B">
        <w:rPr>
          <w:b/>
          <w:bCs/>
          <w:sz w:val="28"/>
          <w:szCs w:val="28"/>
        </w:rPr>
        <w:lastRenderedPageBreak/>
        <w:t>Annex B</w:t>
      </w:r>
    </w:p>
    <w:p w14:paraId="0B4F67F6" w14:textId="11CF554D" w:rsidR="002F586A" w:rsidRDefault="006C7245" w:rsidP="006C7245">
      <w:pPr>
        <w:pStyle w:val="HChG"/>
        <w:rPr>
          <w:lang w:val="en-US"/>
        </w:rPr>
      </w:pPr>
      <w:r>
        <w:tab/>
      </w:r>
      <w:r>
        <w:tab/>
      </w:r>
      <w:r w:rsidR="002F586A" w:rsidRPr="00BA431B">
        <w:t xml:space="preserve">Impact </w:t>
      </w:r>
      <w:r w:rsidR="002F586A" w:rsidRPr="00BA431B">
        <w:rPr>
          <w:lang w:val="en-US"/>
        </w:rPr>
        <w:t xml:space="preserve">of GHS/CLP classification changes on documentation and transportation, with </w:t>
      </w:r>
      <w:r w:rsidR="002F586A">
        <w:rPr>
          <w:lang w:val="en-US"/>
        </w:rPr>
        <w:t xml:space="preserve">pictorial </w:t>
      </w:r>
      <w:r w:rsidR="002F586A" w:rsidRPr="00BA431B">
        <w:rPr>
          <w:lang w:val="en-US"/>
        </w:rPr>
        <w:t>example</w:t>
      </w:r>
      <w:r w:rsidR="002F586A">
        <w:rPr>
          <w:lang w:val="en-US"/>
        </w:rPr>
        <w:t>s</w:t>
      </w:r>
      <w:r w:rsidR="002F586A" w:rsidRPr="00BA431B">
        <w:rPr>
          <w:lang w:val="en-US"/>
        </w:rPr>
        <w:t xml:space="preserve"> in Annex C</w:t>
      </w:r>
    </w:p>
    <w:p w14:paraId="323BF045" w14:textId="157363B3" w:rsidR="002F586A" w:rsidRPr="00BA377B" w:rsidRDefault="006C7245" w:rsidP="006C7245">
      <w:pPr>
        <w:pStyle w:val="SingleTxtG"/>
        <w:rPr>
          <w:lang w:val="en-US"/>
        </w:rPr>
      </w:pPr>
      <w:r>
        <w:rPr>
          <w:lang w:val="en-US"/>
        </w:rPr>
        <w:t>1.</w:t>
      </w:r>
      <w:r>
        <w:rPr>
          <w:lang w:val="en-US"/>
        </w:rPr>
        <w:tab/>
      </w:r>
      <w:r w:rsidR="002F586A" w:rsidRPr="005F6537">
        <w:rPr>
          <w:lang w:val="en-US"/>
        </w:rPr>
        <w:t xml:space="preserve">The following table shows </w:t>
      </w:r>
      <w:r w:rsidR="002F586A">
        <w:rPr>
          <w:lang w:val="en-US"/>
        </w:rPr>
        <w:t>the</w:t>
      </w:r>
      <w:r w:rsidR="002F586A" w:rsidRPr="005F6537">
        <w:rPr>
          <w:lang w:val="en-US"/>
        </w:rPr>
        <w:t xml:space="preserve"> safety measures </w:t>
      </w:r>
      <w:r w:rsidR="002F586A">
        <w:rPr>
          <w:lang w:val="en-US"/>
        </w:rPr>
        <w:t xml:space="preserve">that </w:t>
      </w:r>
      <w:r w:rsidR="002F586A" w:rsidRPr="005F6537">
        <w:rPr>
          <w:lang w:val="en-US"/>
        </w:rPr>
        <w:t>need to be taken to transport paint, paint related material</w:t>
      </w:r>
      <w:r w:rsidR="002F586A">
        <w:rPr>
          <w:lang w:val="en-US"/>
        </w:rPr>
        <w:t>,</w:t>
      </w:r>
      <w:r w:rsidR="002F586A" w:rsidRPr="005F6537">
        <w:rPr>
          <w:lang w:val="en-US"/>
        </w:rPr>
        <w:t xml:space="preserve"> and printing ink before and after the regulation for reclassification to </w:t>
      </w:r>
      <w:r w:rsidR="002F586A">
        <w:rPr>
          <w:lang w:val="en-US"/>
        </w:rPr>
        <w:t>C</w:t>
      </w:r>
      <w:r w:rsidR="002F586A" w:rsidRPr="005F6537">
        <w:rPr>
          <w:lang w:val="en-US"/>
        </w:rPr>
        <w:t xml:space="preserve">lass 9 takes place. </w:t>
      </w:r>
    </w:p>
    <w:p w14:paraId="22E1FC86" w14:textId="1A6822D5" w:rsidR="002F586A" w:rsidRPr="00BA377B" w:rsidRDefault="006C7245" w:rsidP="006C7245">
      <w:pPr>
        <w:pStyle w:val="SingleTxtG"/>
        <w:rPr>
          <w:lang w:val="en-US"/>
        </w:rPr>
      </w:pPr>
      <w:r>
        <w:rPr>
          <w:lang w:val="en-US"/>
        </w:rPr>
        <w:t>2.</w:t>
      </w:r>
      <w:r>
        <w:rPr>
          <w:lang w:val="en-US"/>
        </w:rPr>
        <w:tab/>
      </w:r>
      <w:r w:rsidR="002F586A" w:rsidRPr="005F6537">
        <w:rPr>
          <w:lang w:val="en-US"/>
        </w:rPr>
        <w:t>The table shows that many safety measures were already in place before 15</w:t>
      </w:r>
      <w:r w:rsidR="002F586A" w:rsidRPr="005F6537">
        <w:rPr>
          <w:vertAlign w:val="superscript"/>
          <w:lang w:val="en-US"/>
        </w:rPr>
        <w:t>th</w:t>
      </w:r>
      <w:r w:rsidR="002F586A" w:rsidRPr="005F6537">
        <w:rPr>
          <w:lang w:val="en-US"/>
        </w:rPr>
        <w:t xml:space="preserve"> ATP, </w:t>
      </w:r>
      <w:r w:rsidR="002F586A">
        <w:rPr>
          <w:lang w:val="en-US"/>
        </w:rPr>
        <w:t>which</w:t>
      </w:r>
      <w:r w:rsidR="002F586A" w:rsidRPr="005F6537">
        <w:rPr>
          <w:lang w:val="en-US"/>
        </w:rPr>
        <w:t xml:space="preserve"> adhere</w:t>
      </w:r>
      <w:r w:rsidR="002F586A">
        <w:rPr>
          <w:lang w:val="en-US"/>
        </w:rPr>
        <w:t>d</w:t>
      </w:r>
      <w:r w:rsidR="002F586A" w:rsidRPr="005F6537">
        <w:rPr>
          <w:lang w:val="en-US"/>
        </w:rPr>
        <w:t xml:space="preserve"> </w:t>
      </w:r>
      <w:r w:rsidR="002F586A">
        <w:rPr>
          <w:lang w:val="en-US"/>
        </w:rPr>
        <w:t>to</w:t>
      </w:r>
      <w:r w:rsidR="002F586A" w:rsidRPr="005F6537">
        <w:rPr>
          <w:lang w:val="en-US"/>
        </w:rPr>
        <w:t xml:space="preserve"> existing dangerous goods regulations </w:t>
      </w:r>
      <w:r w:rsidR="002F586A">
        <w:rPr>
          <w:lang w:val="en-US"/>
        </w:rPr>
        <w:t xml:space="preserve">and were </w:t>
      </w:r>
      <w:r w:rsidR="002F586A" w:rsidRPr="005F6537">
        <w:rPr>
          <w:lang w:val="en-US"/>
        </w:rPr>
        <w:t xml:space="preserve">already implemented by </w:t>
      </w:r>
      <w:r w:rsidR="002F586A">
        <w:rPr>
          <w:lang w:val="en-US"/>
        </w:rPr>
        <w:t>i</w:t>
      </w:r>
      <w:r w:rsidR="002F586A" w:rsidRPr="005F6537">
        <w:rPr>
          <w:lang w:val="en-US"/>
        </w:rPr>
        <w:t>ndustry</w:t>
      </w:r>
      <w:r w:rsidR="002F586A">
        <w:rPr>
          <w:lang w:val="en-US"/>
        </w:rPr>
        <w:t>.</w:t>
      </w:r>
      <w:r w:rsidR="002F586A" w:rsidRPr="005F6537">
        <w:rPr>
          <w:lang w:val="en-US"/>
        </w:rPr>
        <w:t xml:space="preserve"> </w:t>
      </w:r>
      <w:r w:rsidR="002F586A">
        <w:rPr>
          <w:lang w:val="en-US"/>
        </w:rPr>
        <w:t>A</w:t>
      </w:r>
      <w:r w:rsidR="002F586A" w:rsidRPr="005F6537">
        <w:rPr>
          <w:lang w:val="en-US"/>
        </w:rPr>
        <w:t xml:space="preserve">dditional measures were </w:t>
      </w:r>
      <w:r w:rsidR="002F586A">
        <w:rPr>
          <w:lang w:val="en-US"/>
        </w:rPr>
        <w:t xml:space="preserve">also </w:t>
      </w:r>
      <w:r w:rsidR="002F586A" w:rsidRPr="005F6537">
        <w:rPr>
          <w:lang w:val="en-US"/>
        </w:rPr>
        <w:t xml:space="preserve">introduced </w:t>
      </w:r>
      <w:r w:rsidR="002F586A">
        <w:rPr>
          <w:lang w:val="en-US"/>
        </w:rPr>
        <w:t>after implementation of 15</w:t>
      </w:r>
      <w:r w:rsidR="002F586A" w:rsidRPr="005F4405">
        <w:rPr>
          <w:vertAlign w:val="superscript"/>
          <w:lang w:val="en-US"/>
        </w:rPr>
        <w:t>th</w:t>
      </w:r>
      <w:r w:rsidR="002F586A">
        <w:rPr>
          <w:lang w:val="en-US"/>
        </w:rPr>
        <w:t xml:space="preserve"> ATP</w:t>
      </w:r>
      <w:r w:rsidR="002F586A" w:rsidRPr="005F6537">
        <w:rPr>
          <w:lang w:val="en-US"/>
        </w:rPr>
        <w:t xml:space="preserve"> in accordance with Class 9 </w:t>
      </w:r>
      <w:r w:rsidR="002F586A">
        <w:rPr>
          <w:lang w:val="en-US"/>
        </w:rPr>
        <w:t>e</w:t>
      </w:r>
      <w:r w:rsidR="002F586A" w:rsidRPr="005F6537">
        <w:rPr>
          <w:lang w:val="en-US"/>
        </w:rPr>
        <w:t xml:space="preserve">nvironmentally </w:t>
      </w:r>
      <w:r w:rsidR="002F586A">
        <w:rPr>
          <w:lang w:val="en-US"/>
        </w:rPr>
        <w:t>h</w:t>
      </w:r>
      <w:r w:rsidR="002F586A" w:rsidRPr="005F6537">
        <w:rPr>
          <w:lang w:val="en-US"/>
        </w:rPr>
        <w:t>azardous mixture requirements (and in line with the transitional measures in ADR/RID 2023).</w:t>
      </w:r>
    </w:p>
    <w:p w14:paraId="179E3539" w14:textId="2CEB55D0" w:rsidR="002F586A" w:rsidRPr="005F6537" w:rsidRDefault="006C7245" w:rsidP="006C7245">
      <w:pPr>
        <w:pStyle w:val="SingleTxtG"/>
        <w:rPr>
          <w:lang w:val="en-US"/>
        </w:rPr>
      </w:pPr>
      <w:r>
        <w:rPr>
          <w:lang w:val="en-US"/>
        </w:rPr>
        <w:t>3.</w:t>
      </w:r>
      <w:r>
        <w:rPr>
          <w:lang w:val="en-US"/>
        </w:rPr>
        <w:tab/>
      </w:r>
      <w:r w:rsidR="002F586A" w:rsidRPr="005F6537">
        <w:rPr>
          <w:lang w:val="en-US"/>
        </w:rPr>
        <w:t xml:space="preserve">Annex C illustrates the </w:t>
      </w:r>
      <w:r w:rsidR="002F586A">
        <w:rPr>
          <w:lang w:val="en-US"/>
        </w:rPr>
        <w:t xml:space="preserve">situations </w:t>
      </w:r>
      <w:r w:rsidR="002F586A" w:rsidRPr="005F6537">
        <w:rPr>
          <w:lang w:val="en-US"/>
        </w:rPr>
        <w:t xml:space="preserve">before-and-after due to the additional measures </w:t>
      </w:r>
      <w:r w:rsidR="002F586A">
        <w:rPr>
          <w:lang w:val="en-US"/>
        </w:rPr>
        <w:t xml:space="preserve">that </w:t>
      </w:r>
      <w:r w:rsidR="002F586A" w:rsidRPr="005F6537">
        <w:rPr>
          <w:lang w:val="en-US"/>
        </w:rPr>
        <w:t>need</w:t>
      </w:r>
      <w:r w:rsidR="002F586A">
        <w:rPr>
          <w:lang w:val="en-US"/>
        </w:rPr>
        <w:t>ed</w:t>
      </w:r>
      <w:r w:rsidR="002F586A" w:rsidRPr="005F6537">
        <w:rPr>
          <w:lang w:val="en-US"/>
        </w:rPr>
        <w:t xml:space="preserve"> to be taken.</w:t>
      </w:r>
    </w:p>
    <w:p w14:paraId="0037B322" w14:textId="77777777" w:rsidR="002F586A" w:rsidRPr="00BA431B" w:rsidRDefault="002F586A" w:rsidP="002F586A">
      <w:pPr>
        <w:pStyle w:val="NoSpacing"/>
      </w:pPr>
    </w:p>
    <w:tbl>
      <w:tblPr>
        <w:tblStyle w:val="TableGrid"/>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8"/>
        <w:gridCol w:w="5072"/>
        <w:gridCol w:w="3716"/>
        <w:gridCol w:w="2460"/>
      </w:tblGrid>
      <w:tr w:rsidR="00B40DC9" w:rsidRPr="00B40DC9" w14:paraId="1A3C4DE5" w14:textId="77777777" w:rsidTr="00B40DC9">
        <w:trPr>
          <w:tblHeader/>
        </w:trPr>
        <w:tc>
          <w:tcPr>
            <w:tcW w:w="2528" w:type="dxa"/>
            <w:tcBorders>
              <w:top w:val="single" w:sz="4" w:space="0" w:color="auto"/>
              <w:bottom w:val="single" w:sz="12" w:space="0" w:color="auto"/>
            </w:tcBorders>
            <w:shd w:val="clear" w:color="auto" w:fill="auto"/>
            <w:vAlign w:val="bottom"/>
          </w:tcPr>
          <w:p w14:paraId="73DFD00D" w14:textId="77777777" w:rsidR="002F586A" w:rsidRPr="00B40DC9" w:rsidRDefault="002F586A" w:rsidP="00B40DC9">
            <w:pPr>
              <w:suppressAutoHyphens w:val="0"/>
              <w:spacing w:before="80" w:after="80" w:line="200" w:lineRule="exact"/>
              <w:ind w:right="113"/>
              <w:rPr>
                <w:i/>
                <w:sz w:val="16"/>
              </w:rPr>
            </w:pPr>
            <w:r w:rsidRPr="00B40DC9">
              <w:rPr>
                <w:i/>
                <w:sz w:val="16"/>
              </w:rPr>
              <w:t>Safety measures to be taken to transport paint, paint related material and printing inks</w:t>
            </w:r>
          </w:p>
        </w:tc>
        <w:tc>
          <w:tcPr>
            <w:tcW w:w="5072" w:type="dxa"/>
            <w:tcBorders>
              <w:top w:val="single" w:sz="4" w:space="0" w:color="auto"/>
              <w:bottom w:val="single" w:sz="12" w:space="0" w:color="auto"/>
            </w:tcBorders>
            <w:shd w:val="clear" w:color="auto" w:fill="auto"/>
            <w:vAlign w:val="bottom"/>
          </w:tcPr>
          <w:p w14:paraId="6C3D8579" w14:textId="77777777" w:rsidR="002F586A" w:rsidRPr="00B40DC9" w:rsidRDefault="002F586A" w:rsidP="00B40DC9">
            <w:pPr>
              <w:suppressAutoHyphens w:val="0"/>
              <w:spacing w:before="80" w:after="80" w:line="200" w:lineRule="exact"/>
              <w:ind w:right="113"/>
              <w:rPr>
                <w:i/>
                <w:sz w:val="16"/>
              </w:rPr>
            </w:pPr>
            <w:r w:rsidRPr="00B40DC9">
              <w:rPr>
                <w:i/>
                <w:sz w:val="16"/>
              </w:rPr>
              <w:t>Measures in place before implementation of 15</w:t>
            </w:r>
            <w:r w:rsidRPr="00B40DC9">
              <w:rPr>
                <w:i/>
                <w:sz w:val="16"/>
                <w:vertAlign w:val="superscript"/>
              </w:rPr>
              <w:t>th</w:t>
            </w:r>
            <w:r w:rsidRPr="00B40DC9">
              <w:rPr>
                <w:i/>
                <w:sz w:val="16"/>
              </w:rPr>
              <w:t xml:space="preserve"> ATP</w:t>
            </w:r>
          </w:p>
        </w:tc>
        <w:tc>
          <w:tcPr>
            <w:tcW w:w="3716" w:type="dxa"/>
            <w:tcBorders>
              <w:top w:val="single" w:sz="4" w:space="0" w:color="auto"/>
              <w:bottom w:val="single" w:sz="12" w:space="0" w:color="auto"/>
            </w:tcBorders>
            <w:shd w:val="clear" w:color="auto" w:fill="auto"/>
            <w:vAlign w:val="bottom"/>
          </w:tcPr>
          <w:p w14:paraId="0F3659D6" w14:textId="77777777" w:rsidR="002F586A" w:rsidRPr="00B40DC9" w:rsidRDefault="002F586A" w:rsidP="00B40DC9">
            <w:pPr>
              <w:suppressAutoHyphens w:val="0"/>
              <w:spacing w:before="80" w:after="80" w:line="200" w:lineRule="exact"/>
              <w:ind w:right="113"/>
              <w:rPr>
                <w:i/>
                <w:sz w:val="16"/>
              </w:rPr>
            </w:pPr>
            <w:r w:rsidRPr="00B40DC9">
              <w:rPr>
                <w:i/>
                <w:sz w:val="16"/>
              </w:rPr>
              <w:t>Additional measures to put into place after implementation of 15</w:t>
            </w:r>
            <w:r w:rsidRPr="00B40DC9">
              <w:rPr>
                <w:i/>
                <w:sz w:val="16"/>
                <w:vertAlign w:val="superscript"/>
              </w:rPr>
              <w:t>th</w:t>
            </w:r>
            <w:r w:rsidRPr="00B40DC9">
              <w:rPr>
                <w:i/>
                <w:sz w:val="16"/>
              </w:rPr>
              <w:t xml:space="preserve"> ATP and classification as UN 3082</w:t>
            </w:r>
          </w:p>
        </w:tc>
        <w:tc>
          <w:tcPr>
            <w:tcW w:w="2460" w:type="dxa"/>
            <w:tcBorders>
              <w:top w:val="single" w:sz="4" w:space="0" w:color="auto"/>
              <w:bottom w:val="single" w:sz="12" w:space="0" w:color="auto"/>
            </w:tcBorders>
            <w:shd w:val="clear" w:color="auto" w:fill="auto"/>
            <w:vAlign w:val="bottom"/>
          </w:tcPr>
          <w:p w14:paraId="3321295B" w14:textId="77777777" w:rsidR="002F586A" w:rsidRPr="00B40DC9" w:rsidRDefault="002F586A" w:rsidP="00B40DC9">
            <w:pPr>
              <w:suppressAutoHyphens w:val="0"/>
              <w:spacing w:before="80" w:after="80" w:line="200" w:lineRule="exact"/>
              <w:ind w:right="113"/>
              <w:rPr>
                <w:bCs/>
                <w:i/>
                <w:sz w:val="16"/>
              </w:rPr>
            </w:pPr>
            <w:r w:rsidRPr="00B40DC9">
              <w:rPr>
                <w:bCs/>
                <w:i/>
                <w:sz w:val="16"/>
              </w:rPr>
              <w:t>Adherence (</w:t>
            </w:r>
            <w:r w:rsidRPr="00B40DC9">
              <w:rPr>
                <w:bCs/>
                <w:i/>
                <w:iCs/>
                <w:sz w:val="16"/>
              </w:rPr>
              <w:t>bold italics</w:t>
            </w:r>
            <w:r w:rsidRPr="00B40DC9">
              <w:rPr>
                <w:bCs/>
                <w:i/>
                <w:sz w:val="16"/>
              </w:rPr>
              <w:t xml:space="preserve"> indicates the additional new safety measures implemented due to UN 3082 Class 9 Environmentally Hazardous classification)</w:t>
            </w:r>
          </w:p>
        </w:tc>
      </w:tr>
      <w:tr w:rsidR="00B40DC9" w:rsidRPr="00B40DC9" w14:paraId="2D4303C9" w14:textId="77777777" w:rsidTr="00B40DC9">
        <w:trPr>
          <w:trHeight w:hRule="exact" w:val="113"/>
        </w:trPr>
        <w:tc>
          <w:tcPr>
            <w:tcW w:w="2528" w:type="dxa"/>
            <w:tcBorders>
              <w:top w:val="single" w:sz="12" w:space="0" w:color="auto"/>
            </w:tcBorders>
            <w:shd w:val="clear" w:color="auto" w:fill="auto"/>
          </w:tcPr>
          <w:p w14:paraId="5AB70655" w14:textId="77777777" w:rsidR="00B40DC9" w:rsidRPr="00B40DC9" w:rsidRDefault="00B40DC9" w:rsidP="00B40DC9">
            <w:pPr>
              <w:suppressAutoHyphens w:val="0"/>
              <w:spacing w:before="40" w:after="120"/>
              <w:ind w:right="113"/>
            </w:pPr>
          </w:p>
        </w:tc>
        <w:tc>
          <w:tcPr>
            <w:tcW w:w="5072" w:type="dxa"/>
            <w:tcBorders>
              <w:top w:val="single" w:sz="12" w:space="0" w:color="auto"/>
            </w:tcBorders>
            <w:shd w:val="clear" w:color="auto" w:fill="auto"/>
          </w:tcPr>
          <w:p w14:paraId="3A7ABF06" w14:textId="77777777" w:rsidR="00B40DC9" w:rsidRPr="00B40DC9" w:rsidRDefault="00B40DC9" w:rsidP="00B40DC9">
            <w:pPr>
              <w:suppressAutoHyphens w:val="0"/>
              <w:spacing w:before="40" w:after="120"/>
              <w:ind w:right="113"/>
            </w:pPr>
          </w:p>
        </w:tc>
        <w:tc>
          <w:tcPr>
            <w:tcW w:w="3716" w:type="dxa"/>
            <w:tcBorders>
              <w:top w:val="single" w:sz="12" w:space="0" w:color="auto"/>
            </w:tcBorders>
            <w:shd w:val="clear" w:color="auto" w:fill="auto"/>
          </w:tcPr>
          <w:p w14:paraId="11FF2259" w14:textId="77777777" w:rsidR="00B40DC9" w:rsidRPr="00B40DC9" w:rsidRDefault="00B40DC9" w:rsidP="00B40DC9">
            <w:pPr>
              <w:suppressAutoHyphens w:val="0"/>
              <w:spacing w:before="40" w:after="120"/>
              <w:ind w:right="113"/>
            </w:pPr>
          </w:p>
        </w:tc>
        <w:tc>
          <w:tcPr>
            <w:tcW w:w="2460" w:type="dxa"/>
            <w:tcBorders>
              <w:top w:val="single" w:sz="12" w:space="0" w:color="auto"/>
            </w:tcBorders>
            <w:shd w:val="clear" w:color="auto" w:fill="auto"/>
          </w:tcPr>
          <w:p w14:paraId="03D569A8" w14:textId="77777777" w:rsidR="00B40DC9" w:rsidRPr="00B40DC9" w:rsidRDefault="00B40DC9" w:rsidP="00B40DC9">
            <w:pPr>
              <w:suppressAutoHyphens w:val="0"/>
              <w:spacing w:before="40" w:after="120"/>
              <w:ind w:right="113"/>
              <w:rPr>
                <w:bCs/>
              </w:rPr>
            </w:pPr>
          </w:p>
        </w:tc>
      </w:tr>
      <w:tr w:rsidR="00B40DC9" w:rsidRPr="00B40DC9" w14:paraId="6CD3B6EA" w14:textId="77777777" w:rsidTr="00B40DC9">
        <w:tc>
          <w:tcPr>
            <w:tcW w:w="2528" w:type="dxa"/>
            <w:shd w:val="clear" w:color="auto" w:fill="auto"/>
          </w:tcPr>
          <w:p w14:paraId="168508C2" w14:textId="77777777" w:rsidR="002F586A" w:rsidRPr="00B40DC9" w:rsidRDefault="002F586A" w:rsidP="00B40DC9">
            <w:pPr>
              <w:suppressAutoHyphens w:val="0"/>
              <w:spacing w:before="40" w:after="120"/>
              <w:ind w:right="113"/>
            </w:pPr>
            <w:r w:rsidRPr="00B40DC9">
              <w:t>Posting of CLP/GHS Labeling on packaging</w:t>
            </w:r>
          </w:p>
        </w:tc>
        <w:tc>
          <w:tcPr>
            <w:tcW w:w="5072" w:type="dxa"/>
            <w:shd w:val="clear" w:color="auto" w:fill="auto"/>
          </w:tcPr>
          <w:p w14:paraId="08ADC7A8" w14:textId="77777777" w:rsidR="002F586A" w:rsidRPr="00B40DC9" w:rsidRDefault="002F586A" w:rsidP="00B40DC9">
            <w:pPr>
              <w:suppressAutoHyphens w:val="0"/>
              <w:spacing w:before="40" w:after="120"/>
              <w:ind w:right="113"/>
            </w:pPr>
            <w:r w:rsidRPr="00B40DC9">
              <w:t>In place</w:t>
            </w:r>
          </w:p>
        </w:tc>
        <w:tc>
          <w:tcPr>
            <w:tcW w:w="3716" w:type="dxa"/>
            <w:shd w:val="clear" w:color="auto" w:fill="auto"/>
          </w:tcPr>
          <w:p w14:paraId="0DD12EF5" w14:textId="77777777" w:rsidR="002F586A" w:rsidRPr="00B40DC9" w:rsidRDefault="002F586A" w:rsidP="00B40DC9">
            <w:pPr>
              <w:suppressAutoHyphens w:val="0"/>
              <w:spacing w:before="40" w:after="120"/>
              <w:ind w:right="113"/>
            </w:pPr>
            <w:r w:rsidRPr="00B40DC9">
              <w:t>Addition: Env. Haz- Pict. and additional H- and P-Phrases</w:t>
            </w:r>
          </w:p>
        </w:tc>
        <w:tc>
          <w:tcPr>
            <w:tcW w:w="2460" w:type="dxa"/>
            <w:shd w:val="clear" w:color="auto" w:fill="auto"/>
          </w:tcPr>
          <w:p w14:paraId="2D0325F3" w14:textId="77777777" w:rsidR="002F586A" w:rsidRPr="00B40DC9" w:rsidRDefault="002F586A" w:rsidP="00B40DC9">
            <w:pPr>
              <w:suppressAutoHyphens w:val="0"/>
              <w:spacing w:before="40" w:after="120"/>
              <w:ind w:right="113"/>
              <w:rPr>
                <w:bCs/>
                <w:i/>
                <w:iCs/>
              </w:rPr>
            </w:pPr>
            <w:r w:rsidRPr="00B40DC9">
              <w:rPr>
                <w:bCs/>
                <w:i/>
                <w:iCs/>
              </w:rPr>
              <w:t>Full adherence</w:t>
            </w:r>
          </w:p>
        </w:tc>
      </w:tr>
      <w:tr w:rsidR="00B40DC9" w:rsidRPr="00B40DC9" w14:paraId="1EEF8FF1" w14:textId="77777777" w:rsidTr="00B40DC9">
        <w:tc>
          <w:tcPr>
            <w:tcW w:w="2528" w:type="dxa"/>
            <w:shd w:val="clear" w:color="auto" w:fill="auto"/>
          </w:tcPr>
          <w:p w14:paraId="111D0E78" w14:textId="77777777" w:rsidR="002F586A" w:rsidRPr="00B40DC9" w:rsidRDefault="002F586A" w:rsidP="00B40DC9">
            <w:pPr>
              <w:suppressAutoHyphens w:val="0"/>
              <w:spacing w:before="40" w:after="120"/>
              <w:ind w:right="113"/>
            </w:pPr>
            <w:r w:rsidRPr="00B40DC9">
              <w:t>Sections 2 and 14 of the SDS</w:t>
            </w:r>
          </w:p>
        </w:tc>
        <w:tc>
          <w:tcPr>
            <w:tcW w:w="5072" w:type="dxa"/>
            <w:shd w:val="clear" w:color="auto" w:fill="auto"/>
          </w:tcPr>
          <w:p w14:paraId="22C0D4F5" w14:textId="15469F83" w:rsidR="002F586A" w:rsidRPr="00B40DC9" w:rsidRDefault="002F586A" w:rsidP="00B40DC9">
            <w:pPr>
              <w:suppressAutoHyphens w:val="0"/>
              <w:spacing w:before="40" w:after="120"/>
              <w:ind w:right="113"/>
              <w:rPr>
                <w:i/>
              </w:rPr>
            </w:pPr>
            <w:r w:rsidRPr="00B40DC9">
              <w:t xml:space="preserve">No mentioning of environmental hazard in section 2; </w:t>
            </w:r>
            <w:r w:rsidRPr="00B40DC9">
              <w:br/>
              <w:t xml:space="preserve">no dangerous goods specifications in section 14 </w:t>
            </w:r>
            <w:r w:rsidRPr="00B40DC9">
              <w:rPr>
                <w:i/>
              </w:rPr>
              <w:t xml:space="preserve">(see figures </w:t>
            </w:r>
            <w:r w:rsidR="00ED2BA8">
              <w:rPr>
                <w:i/>
              </w:rPr>
              <w:t>IV</w:t>
            </w:r>
            <w:r w:rsidRPr="00B40DC9">
              <w:rPr>
                <w:i/>
              </w:rPr>
              <w:t xml:space="preserve"> &amp; </w:t>
            </w:r>
            <w:r w:rsidR="00ED2BA8">
              <w:rPr>
                <w:i/>
              </w:rPr>
              <w:t>V</w:t>
            </w:r>
            <w:r w:rsidRPr="00B40DC9">
              <w:rPr>
                <w:i/>
              </w:rPr>
              <w:t xml:space="preserve"> in Annex C)</w:t>
            </w:r>
          </w:p>
        </w:tc>
        <w:tc>
          <w:tcPr>
            <w:tcW w:w="3716" w:type="dxa"/>
            <w:shd w:val="clear" w:color="auto" w:fill="auto"/>
          </w:tcPr>
          <w:p w14:paraId="5AB679CB" w14:textId="3E0C3F12" w:rsidR="002F586A" w:rsidRPr="00B40DC9" w:rsidRDefault="002F586A" w:rsidP="00B40DC9">
            <w:pPr>
              <w:suppressAutoHyphens w:val="0"/>
              <w:spacing w:before="40" w:after="120"/>
              <w:ind w:right="113"/>
              <w:rPr>
                <w:i/>
              </w:rPr>
            </w:pPr>
            <w:r w:rsidRPr="00B40DC9">
              <w:t xml:space="preserve">Additional information on environmental hazard in section 2; dangerous goods specifications in section 14 </w:t>
            </w:r>
            <w:r w:rsidRPr="00B40DC9">
              <w:rPr>
                <w:i/>
              </w:rPr>
              <w:t xml:space="preserve">(see figures </w:t>
            </w:r>
            <w:r w:rsidR="00ED2BA8">
              <w:rPr>
                <w:i/>
              </w:rPr>
              <w:t>VI</w:t>
            </w:r>
            <w:r w:rsidRPr="00B40DC9">
              <w:rPr>
                <w:i/>
              </w:rPr>
              <w:t xml:space="preserve"> &amp; </w:t>
            </w:r>
            <w:r w:rsidR="00ED2BA8">
              <w:rPr>
                <w:i/>
              </w:rPr>
              <w:t>VII</w:t>
            </w:r>
            <w:r w:rsidRPr="00B40DC9">
              <w:rPr>
                <w:i/>
              </w:rPr>
              <w:t xml:space="preserve"> in Annex C)</w:t>
            </w:r>
          </w:p>
        </w:tc>
        <w:tc>
          <w:tcPr>
            <w:tcW w:w="2460" w:type="dxa"/>
            <w:shd w:val="clear" w:color="auto" w:fill="auto"/>
          </w:tcPr>
          <w:p w14:paraId="256B42D4" w14:textId="77777777" w:rsidR="002F586A" w:rsidRPr="00B40DC9" w:rsidRDefault="002F586A" w:rsidP="00B40DC9">
            <w:pPr>
              <w:suppressAutoHyphens w:val="0"/>
              <w:spacing w:before="40" w:after="120"/>
              <w:ind w:right="113"/>
              <w:rPr>
                <w:bCs/>
                <w:i/>
                <w:iCs/>
              </w:rPr>
            </w:pPr>
            <w:r w:rsidRPr="00B40DC9">
              <w:rPr>
                <w:bCs/>
                <w:i/>
                <w:iCs/>
              </w:rPr>
              <w:t>Full adherence</w:t>
            </w:r>
          </w:p>
        </w:tc>
      </w:tr>
      <w:tr w:rsidR="00B40DC9" w:rsidRPr="00B40DC9" w14:paraId="4DBE31E2" w14:textId="77777777" w:rsidTr="00B40DC9">
        <w:tc>
          <w:tcPr>
            <w:tcW w:w="2528" w:type="dxa"/>
            <w:shd w:val="clear" w:color="auto" w:fill="auto"/>
          </w:tcPr>
          <w:p w14:paraId="6771CA9E" w14:textId="77777777" w:rsidR="002F586A" w:rsidRPr="00B40DC9" w:rsidRDefault="002F586A" w:rsidP="00B40DC9">
            <w:pPr>
              <w:suppressAutoHyphens w:val="0"/>
              <w:spacing w:before="40" w:after="120"/>
              <w:ind w:right="113"/>
            </w:pPr>
            <w:r w:rsidRPr="00B40DC9">
              <w:t>Use of packaging of good quality</w:t>
            </w:r>
          </w:p>
        </w:tc>
        <w:tc>
          <w:tcPr>
            <w:tcW w:w="5072" w:type="dxa"/>
            <w:shd w:val="clear" w:color="auto" w:fill="auto"/>
          </w:tcPr>
          <w:p w14:paraId="137706D6" w14:textId="77777777" w:rsidR="002F586A" w:rsidRPr="00B40DC9" w:rsidRDefault="002F586A" w:rsidP="00B40DC9">
            <w:pPr>
              <w:suppressAutoHyphens w:val="0"/>
              <w:spacing w:before="40" w:after="120"/>
              <w:ind w:right="113"/>
            </w:pPr>
            <w:r w:rsidRPr="00B40DC9">
              <w:t xml:space="preserve">In place </w:t>
            </w:r>
            <w:r w:rsidRPr="00B40DC9">
              <w:rPr>
                <w:rFonts w:eastAsia="Wingdings"/>
              </w:rPr>
              <w:t>à</w:t>
            </w:r>
            <w:r w:rsidRPr="00B40DC9">
              <w:t xml:space="preserve"> Currently used packaging is in full accordance with 4.1.1.1 of the dangerous goods regulations</w:t>
            </w:r>
          </w:p>
        </w:tc>
        <w:tc>
          <w:tcPr>
            <w:tcW w:w="3716" w:type="dxa"/>
            <w:shd w:val="clear" w:color="auto" w:fill="auto"/>
          </w:tcPr>
          <w:p w14:paraId="584E07BF" w14:textId="77777777" w:rsidR="002F586A" w:rsidRPr="00B40DC9" w:rsidRDefault="002F586A" w:rsidP="00B40DC9">
            <w:pPr>
              <w:suppressAutoHyphens w:val="0"/>
              <w:spacing w:before="40" w:after="120"/>
              <w:ind w:right="113"/>
            </w:pPr>
            <w:r w:rsidRPr="00B40DC9">
              <w:t>Packaging needs to be UN-approved</w:t>
            </w:r>
          </w:p>
        </w:tc>
        <w:tc>
          <w:tcPr>
            <w:tcW w:w="2460" w:type="dxa"/>
            <w:shd w:val="clear" w:color="auto" w:fill="auto"/>
          </w:tcPr>
          <w:p w14:paraId="448C1995" w14:textId="77777777" w:rsidR="002F586A" w:rsidRPr="00B40DC9" w:rsidRDefault="002F586A" w:rsidP="00B40DC9">
            <w:pPr>
              <w:suppressAutoHyphens w:val="0"/>
              <w:spacing w:before="40" w:after="120"/>
              <w:ind w:right="113"/>
            </w:pPr>
            <w:r w:rsidRPr="00B40DC9">
              <w:t>Adherence not possible due to non-existing UN-packaging</w:t>
            </w:r>
          </w:p>
        </w:tc>
      </w:tr>
      <w:tr w:rsidR="00B40DC9" w:rsidRPr="00B40DC9" w14:paraId="112A7DEF" w14:textId="77777777" w:rsidTr="00B40DC9">
        <w:tc>
          <w:tcPr>
            <w:tcW w:w="2528" w:type="dxa"/>
            <w:shd w:val="clear" w:color="auto" w:fill="auto"/>
          </w:tcPr>
          <w:p w14:paraId="148C9341" w14:textId="77777777" w:rsidR="002F586A" w:rsidRPr="00B40DC9" w:rsidRDefault="002F586A" w:rsidP="00B40DC9">
            <w:pPr>
              <w:suppressAutoHyphens w:val="0"/>
              <w:spacing w:before="40" w:after="120"/>
              <w:ind w:right="113"/>
            </w:pPr>
            <w:r w:rsidRPr="00B40DC9">
              <w:t>Use of Transport Labels and Marks on outer/single packaging</w:t>
            </w:r>
          </w:p>
        </w:tc>
        <w:tc>
          <w:tcPr>
            <w:tcW w:w="5072" w:type="dxa"/>
            <w:shd w:val="clear" w:color="auto" w:fill="auto"/>
          </w:tcPr>
          <w:p w14:paraId="6FF9EA85" w14:textId="69087460" w:rsidR="002F586A" w:rsidRPr="00B40DC9" w:rsidRDefault="002F586A" w:rsidP="00B40DC9">
            <w:pPr>
              <w:suppressAutoHyphens w:val="0"/>
              <w:spacing w:before="40" w:after="120"/>
              <w:ind w:right="113"/>
            </w:pPr>
            <w:r w:rsidRPr="00B40DC9">
              <w:t>Not applicable</w:t>
            </w:r>
            <w:r w:rsidRPr="00B40DC9">
              <w:rPr>
                <w:i/>
              </w:rPr>
              <w:t xml:space="preserve"> (see figure </w:t>
            </w:r>
            <w:r w:rsidR="00ED2BA8">
              <w:rPr>
                <w:i/>
              </w:rPr>
              <w:t>I</w:t>
            </w:r>
            <w:r w:rsidRPr="00B40DC9">
              <w:rPr>
                <w:i/>
              </w:rPr>
              <w:t xml:space="preserve"> in Annex C)</w:t>
            </w:r>
          </w:p>
        </w:tc>
        <w:tc>
          <w:tcPr>
            <w:tcW w:w="3716" w:type="dxa"/>
            <w:shd w:val="clear" w:color="auto" w:fill="auto"/>
          </w:tcPr>
          <w:p w14:paraId="61A6DC36" w14:textId="3A95BF80" w:rsidR="002F586A" w:rsidRPr="00B40DC9" w:rsidRDefault="002F586A" w:rsidP="00B40DC9">
            <w:pPr>
              <w:suppressAutoHyphens w:val="0"/>
              <w:spacing w:before="40" w:after="120"/>
              <w:ind w:right="113"/>
            </w:pPr>
            <w:proofErr w:type="spellStart"/>
            <w:r w:rsidRPr="00B40DC9">
              <w:rPr>
                <w:lang w:val="es-ES"/>
              </w:rPr>
              <w:t>Class</w:t>
            </w:r>
            <w:proofErr w:type="spellEnd"/>
            <w:r w:rsidRPr="00B40DC9">
              <w:rPr>
                <w:lang w:val="es-ES"/>
              </w:rPr>
              <w:t xml:space="preserve"> 9 </w:t>
            </w:r>
            <w:proofErr w:type="spellStart"/>
            <w:r w:rsidRPr="00B40DC9">
              <w:rPr>
                <w:lang w:val="es-ES"/>
              </w:rPr>
              <w:t>Label</w:t>
            </w:r>
            <w:proofErr w:type="spellEnd"/>
            <w:r w:rsidRPr="00B40DC9">
              <w:rPr>
                <w:lang w:val="es-ES"/>
              </w:rPr>
              <w:t xml:space="preserve"> + UN-</w:t>
            </w:r>
            <w:proofErr w:type="spellStart"/>
            <w:r w:rsidRPr="00B40DC9">
              <w:rPr>
                <w:lang w:val="es-ES"/>
              </w:rPr>
              <w:t>Number</w:t>
            </w:r>
            <w:proofErr w:type="spellEnd"/>
            <w:r w:rsidRPr="00B40DC9">
              <w:rPr>
                <w:lang w:val="es-ES"/>
              </w:rPr>
              <w:t xml:space="preserve"> + </w:t>
            </w:r>
            <w:proofErr w:type="spellStart"/>
            <w:r w:rsidRPr="00B40DC9">
              <w:rPr>
                <w:lang w:val="es-ES"/>
              </w:rPr>
              <w:t>Env</w:t>
            </w:r>
            <w:proofErr w:type="spellEnd"/>
            <w:r w:rsidRPr="00B40DC9">
              <w:rPr>
                <w:lang w:val="es-ES"/>
              </w:rPr>
              <w:t xml:space="preserve">. Haz. </w:t>
            </w:r>
            <w:r w:rsidRPr="00B40DC9">
              <w:t xml:space="preserve">Mark + mode of transport specific marking </w:t>
            </w:r>
            <w:r w:rsidRPr="00B40DC9">
              <w:rPr>
                <w:i/>
                <w:iCs/>
              </w:rPr>
              <w:t xml:space="preserve">(see figures </w:t>
            </w:r>
            <w:r w:rsidR="00ED2BA8">
              <w:rPr>
                <w:i/>
                <w:iCs/>
              </w:rPr>
              <w:t>II</w:t>
            </w:r>
            <w:r w:rsidRPr="00B40DC9">
              <w:rPr>
                <w:i/>
                <w:iCs/>
              </w:rPr>
              <w:t xml:space="preserve"> &amp; </w:t>
            </w:r>
            <w:r w:rsidR="00ED2BA8">
              <w:rPr>
                <w:i/>
                <w:iCs/>
              </w:rPr>
              <w:t>III</w:t>
            </w:r>
            <w:r w:rsidRPr="00B40DC9">
              <w:rPr>
                <w:i/>
                <w:iCs/>
              </w:rPr>
              <w:t xml:space="preserve"> in Annex C)</w:t>
            </w:r>
          </w:p>
        </w:tc>
        <w:tc>
          <w:tcPr>
            <w:tcW w:w="2460" w:type="dxa"/>
            <w:shd w:val="clear" w:color="auto" w:fill="auto"/>
          </w:tcPr>
          <w:p w14:paraId="595AF309" w14:textId="77777777" w:rsidR="002F586A" w:rsidRPr="00B40DC9" w:rsidRDefault="002F586A" w:rsidP="00B40DC9">
            <w:pPr>
              <w:suppressAutoHyphens w:val="0"/>
              <w:spacing w:before="40" w:after="120"/>
              <w:ind w:right="113"/>
              <w:rPr>
                <w:bCs/>
                <w:i/>
                <w:iCs/>
              </w:rPr>
            </w:pPr>
            <w:r w:rsidRPr="00B40DC9">
              <w:rPr>
                <w:bCs/>
                <w:i/>
                <w:iCs/>
              </w:rPr>
              <w:t>Full adherence</w:t>
            </w:r>
          </w:p>
        </w:tc>
      </w:tr>
      <w:tr w:rsidR="00B40DC9" w:rsidRPr="00B40DC9" w14:paraId="7C2EB96C" w14:textId="77777777" w:rsidTr="00B40DC9">
        <w:tc>
          <w:tcPr>
            <w:tcW w:w="2528" w:type="dxa"/>
            <w:shd w:val="clear" w:color="auto" w:fill="auto"/>
          </w:tcPr>
          <w:p w14:paraId="262DEF40" w14:textId="77777777" w:rsidR="002F586A" w:rsidRPr="00B40DC9" w:rsidRDefault="002F586A" w:rsidP="00B40DC9">
            <w:pPr>
              <w:suppressAutoHyphens w:val="0"/>
              <w:spacing w:before="40" w:after="120"/>
              <w:ind w:right="113"/>
            </w:pPr>
            <w:r w:rsidRPr="00B40DC9">
              <w:t xml:space="preserve">Building of safe and stable loading units </w:t>
            </w:r>
          </w:p>
        </w:tc>
        <w:tc>
          <w:tcPr>
            <w:tcW w:w="5072" w:type="dxa"/>
            <w:shd w:val="clear" w:color="auto" w:fill="auto"/>
          </w:tcPr>
          <w:p w14:paraId="4B403148" w14:textId="77777777" w:rsidR="002F586A" w:rsidRPr="00B40DC9" w:rsidRDefault="002F586A" w:rsidP="00B40DC9">
            <w:pPr>
              <w:suppressAutoHyphens w:val="0"/>
              <w:spacing w:before="40" w:after="120"/>
              <w:ind w:right="113"/>
            </w:pPr>
            <w:r w:rsidRPr="00B40DC9">
              <w:t>Adherence with international, EU, and national regulations already in place. Examples of industry common practices are:</w:t>
            </w:r>
          </w:p>
          <w:p w14:paraId="78AF787C" w14:textId="77777777" w:rsidR="002F586A" w:rsidRPr="00B40DC9" w:rsidRDefault="002F586A" w:rsidP="00B40DC9">
            <w:pPr>
              <w:suppressAutoHyphens w:val="0"/>
              <w:spacing w:before="40" w:after="120"/>
              <w:ind w:right="113"/>
            </w:pPr>
            <w:r w:rsidRPr="00B40DC9">
              <w:t>Shrink wrapping with high-tensile wrapping foil.</w:t>
            </w:r>
          </w:p>
          <w:p w14:paraId="7EAE2B5F" w14:textId="77777777" w:rsidR="002F586A" w:rsidRPr="00B40DC9" w:rsidRDefault="002F586A" w:rsidP="00B40DC9">
            <w:pPr>
              <w:suppressAutoHyphens w:val="0"/>
              <w:spacing w:before="40" w:after="120"/>
              <w:ind w:right="113"/>
            </w:pPr>
            <w:r w:rsidRPr="00B40DC9">
              <w:lastRenderedPageBreak/>
              <w:t>Strapping with high-tensile strapping-cord</w:t>
            </w:r>
          </w:p>
          <w:p w14:paraId="7AC2E54D" w14:textId="77777777" w:rsidR="002F586A" w:rsidRPr="00B40DC9" w:rsidRDefault="002F586A" w:rsidP="00B40DC9">
            <w:pPr>
              <w:suppressAutoHyphens w:val="0"/>
              <w:spacing w:before="40" w:after="120"/>
              <w:ind w:right="113"/>
            </w:pPr>
            <w:r w:rsidRPr="00B40DC9">
              <w:t>Use of high-tensile adhesive tape</w:t>
            </w:r>
          </w:p>
          <w:p w14:paraId="21E3BCAD" w14:textId="608779C1" w:rsidR="002F586A" w:rsidRPr="00B40DC9" w:rsidRDefault="002F586A" w:rsidP="00B40DC9">
            <w:pPr>
              <w:suppressAutoHyphens w:val="0"/>
              <w:spacing w:before="40" w:after="120"/>
              <w:ind w:right="113"/>
            </w:pPr>
            <w:r w:rsidRPr="00B40DC9">
              <w:rPr>
                <w:i/>
              </w:rPr>
              <w:t xml:space="preserve">(see figures </w:t>
            </w:r>
            <w:r w:rsidR="00ED2BA8">
              <w:rPr>
                <w:i/>
              </w:rPr>
              <w:t>III</w:t>
            </w:r>
            <w:r w:rsidRPr="00B40DC9">
              <w:rPr>
                <w:i/>
              </w:rPr>
              <w:t xml:space="preserve"> &amp; </w:t>
            </w:r>
            <w:r w:rsidR="00ED2BA8">
              <w:rPr>
                <w:i/>
              </w:rPr>
              <w:t>IV</w:t>
            </w:r>
            <w:r w:rsidRPr="00B40DC9">
              <w:rPr>
                <w:i/>
              </w:rPr>
              <w:t xml:space="preserve"> in Annex C)</w:t>
            </w:r>
          </w:p>
        </w:tc>
        <w:tc>
          <w:tcPr>
            <w:tcW w:w="3716" w:type="dxa"/>
            <w:shd w:val="clear" w:color="auto" w:fill="auto"/>
          </w:tcPr>
          <w:p w14:paraId="38C9FC82" w14:textId="77777777" w:rsidR="002F586A" w:rsidRPr="00B40DC9" w:rsidRDefault="002F586A" w:rsidP="00B40DC9">
            <w:pPr>
              <w:suppressAutoHyphens w:val="0"/>
              <w:spacing w:before="40" w:after="120"/>
              <w:ind w:right="113"/>
            </w:pPr>
            <w:r w:rsidRPr="00B40DC9">
              <w:lastRenderedPageBreak/>
              <w:t>No additional measures to be taken</w:t>
            </w:r>
          </w:p>
        </w:tc>
        <w:tc>
          <w:tcPr>
            <w:tcW w:w="2460" w:type="dxa"/>
            <w:shd w:val="clear" w:color="auto" w:fill="auto"/>
          </w:tcPr>
          <w:p w14:paraId="37E8E1E4" w14:textId="77777777" w:rsidR="002F586A" w:rsidRPr="00B40DC9" w:rsidRDefault="002F586A" w:rsidP="00B40DC9">
            <w:pPr>
              <w:suppressAutoHyphens w:val="0"/>
              <w:spacing w:before="40" w:after="120"/>
              <w:ind w:right="113"/>
              <w:rPr>
                <w:bCs/>
              </w:rPr>
            </w:pPr>
            <w:r w:rsidRPr="00B40DC9">
              <w:t>Full adherence</w:t>
            </w:r>
          </w:p>
        </w:tc>
      </w:tr>
      <w:tr w:rsidR="00B40DC9" w:rsidRPr="00B40DC9" w14:paraId="511790F3" w14:textId="77777777" w:rsidTr="00B40DC9">
        <w:tc>
          <w:tcPr>
            <w:tcW w:w="2528" w:type="dxa"/>
            <w:shd w:val="clear" w:color="auto" w:fill="auto"/>
          </w:tcPr>
          <w:p w14:paraId="278C5D05" w14:textId="77777777" w:rsidR="002F586A" w:rsidRPr="00B40DC9" w:rsidRDefault="002F586A" w:rsidP="00B40DC9">
            <w:pPr>
              <w:suppressAutoHyphens w:val="0"/>
              <w:spacing w:before="40" w:after="120"/>
              <w:ind w:right="113"/>
            </w:pPr>
            <w:r w:rsidRPr="00B40DC9">
              <w:t xml:space="preserve">Load securing </w:t>
            </w:r>
          </w:p>
        </w:tc>
        <w:tc>
          <w:tcPr>
            <w:tcW w:w="5072" w:type="dxa"/>
            <w:shd w:val="clear" w:color="auto" w:fill="auto"/>
          </w:tcPr>
          <w:p w14:paraId="4ED95B29" w14:textId="77777777" w:rsidR="002F586A" w:rsidRPr="00B40DC9" w:rsidRDefault="002F586A" w:rsidP="00B40DC9">
            <w:pPr>
              <w:suppressAutoHyphens w:val="0"/>
              <w:spacing w:before="40" w:after="120"/>
              <w:ind w:right="113"/>
            </w:pPr>
            <w:r w:rsidRPr="00B40DC9">
              <w:t>Adherence with international, EU, and national regulations already in place (examples):</w:t>
            </w:r>
          </w:p>
          <w:p w14:paraId="038B25A4" w14:textId="77777777" w:rsidR="002F586A" w:rsidRPr="00B40DC9" w:rsidRDefault="002F586A" w:rsidP="00B40DC9">
            <w:pPr>
              <w:suppressAutoHyphens w:val="0"/>
              <w:spacing w:before="40" w:after="120"/>
              <w:ind w:right="113"/>
            </w:pPr>
            <w:r w:rsidRPr="00B40DC9">
              <w:t>CTU-Code</w:t>
            </w:r>
          </w:p>
          <w:p w14:paraId="0C2FADB8" w14:textId="77777777" w:rsidR="002F586A" w:rsidRPr="00B40DC9" w:rsidRDefault="002F586A" w:rsidP="00B40DC9">
            <w:pPr>
              <w:suppressAutoHyphens w:val="0"/>
              <w:spacing w:before="40" w:after="120"/>
              <w:ind w:right="113"/>
            </w:pPr>
            <w:r w:rsidRPr="00B40DC9">
              <w:t>EN 12195</w:t>
            </w:r>
          </w:p>
          <w:p w14:paraId="1C28149B" w14:textId="77777777" w:rsidR="002F586A" w:rsidRPr="00B40DC9" w:rsidRDefault="002F586A" w:rsidP="00B40DC9">
            <w:pPr>
              <w:suppressAutoHyphens w:val="0"/>
              <w:spacing w:before="40" w:after="120"/>
              <w:ind w:right="113"/>
            </w:pPr>
            <w:r w:rsidRPr="00B40DC9">
              <w:t>VDI 2700 (Germany)</w:t>
            </w:r>
          </w:p>
          <w:p w14:paraId="48AB50F4" w14:textId="77777777" w:rsidR="002F586A" w:rsidRPr="00B40DC9" w:rsidRDefault="002F586A" w:rsidP="00B40DC9">
            <w:pPr>
              <w:suppressAutoHyphens w:val="0"/>
              <w:spacing w:before="40" w:after="120"/>
              <w:ind w:right="113"/>
            </w:pPr>
            <w:r w:rsidRPr="00B40DC9">
              <w:t>49 CFR, Part 177, Subpart B (USA)</w:t>
            </w:r>
          </w:p>
        </w:tc>
        <w:tc>
          <w:tcPr>
            <w:tcW w:w="3716" w:type="dxa"/>
            <w:shd w:val="clear" w:color="auto" w:fill="auto"/>
          </w:tcPr>
          <w:p w14:paraId="6F4D87E4" w14:textId="77777777" w:rsidR="002F586A" w:rsidRPr="00B40DC9" w:rsidRDefault="002F586A" w:rsidP="00B40DC9">
            <w:pPr>
              <w:suppressAutoHyphens w:val="0"/>
              <w:spacing w:before="40" w:after="120"/>
              <w:ind w:right="113"/>
            </w:pPr>
            <w:r w:rsidRPr="00B40DC9">
              <w:t>No additional measures to be taken</w:t>
            </w:r>
          </w:p>
        </w:tc>
        <w:tc>
          <w:tcPr>
            <w:tcW w:w="2460" w:type="dxa"/>
            <w:shd w:val="clear" w:color="auto" w:fill="auto"/>
          </w:tcPr>
          <w:p w14:paraId="0C631B36" w14:textId="77777777" w:rsidR="002F586A" w:rsidRPr="00B40DC9" w:rsidRDefault="002F586A" w:rsidP="00B40DC9">
            <w:pPr>
              <w:suppressAutoHyphens w:val="0"/>
              <w:spacing w:before="40" w:after="120"/>
              <w:ind w:right="113"/>
            </w:pPr>
            <w:r w:rsidRPr="00B40DC9">
              <w:t>Full adherence</w:t>
            </w:r>
          </w:p>
        </w:tc>
      </w:tr>
      <w:tr w:rsidR="00B40DC9" w:rsidRPr="00B40DC9" w14:paraId="3945BA63" w14:textId="77777777" w:rsidTr="00B40DC9">
        <w:tc>
          <w:tcPr>
            <w:tcW w:w="2528" w:type="dxa"/>
            <w:shd w:val="clear" w:color="auto" w:fill="auto"/>
          </w:tcPr>
          <w:p w14:paraId="1020AC2C" w14:textId="77777777" w:rsidR="002F586A" w:rsidRPr="00B40DC9" w:rsidRDefault="002F586A" w:rsidP="00B40DC9">
            <w:pPr>
              <w:suppressAutoHyphens w:val="0"/>
              <w:spacing w:before="40" w:after="120"/>
              <w:ind w:right="113"/>
              <w:rPr>
                <w:bCs/>
              </w:rPr>
            </w:pPr>
            <w:r w:rsidRPr="00B40DC9">
              <w:rPr>
                <w:bCs/>
              </w:rPr>
              <w:t>Safety measures to be taken to transport paint, paint related material and printing inks</w:t>
            </w:r>
          </w:p>
          <w:p w14:paraId="5079CB0E" w14:textId="77777777" w:rsidR="002F586A" w:rsidRPr="00B40DC9" w:rsidRDefault="002F586A" w:rsidP="00B40DC9">
            <w:pPr>
              <w:suppressAutoHyphens w:val="0"/>
              <w:spacing w:before="40" w:after="120"/>
              <w:ind w:right="113"/>
            </w:pPr>
          </w:p>
        </w:tc>
        <w:tc>
          <w:tcPr>
            <w:tcW w:w="5072" w:type="dxa"/>
            <w:shd w:val="clear" w:color="auto" w:fill="auto"/>
          </w:tcPr>
          <w:p w14:paraId="6B6FC554" w14:textId="77777777" w:rsidR="002F586A" w:rsidRPr="00B40DC9" w:rsidRDefault="002F586A" w:rsidP="00B40DC9">
            <w:pPr>
              <w:suppressAutoHyphens w:val="0"/>
              <w:spacing w:before="40" w:after="120"/>
              <w:ind w:right="113"/>
              <w:rPr>
                <w:bCs/>
              </w:rPr>
            </w:pPr>
            <w:r w:rsidRPr="00B40DC9">
              <w:rPr>
                <w:bCs/>
              </w:rPr>
              <w:t>Measures in place before implementation of 15</w:t>
            </w:r>
            <w:r w:rsidRPr="00B40DC9">
              <w:rPr>
                <w:bCs/>
                <w:vertAlign w:val="superscript"/>
              </w:rPr>
              <w:t>th</w:t>
            </w:r>
            <w:r w:rsidRPr="00B40DC9">
              <w:rPr>
                <w:bCs/>
              </w:rPr>
              <w:t xml:space="preserve"> ATP</w:t>
            </w:r>
          </w:p>
          <w:p w14:paraId="39F22146" w14:textId="77777777" w:rsidR="002F586A" w:rsidRPr="00B40DC9" w:rsidRDefault="002F586A" w:rsidP="00B40DC9">
            <w:pPr>
              <w:suppressAutoHyphens w:val="0"/>
              <w:spacing w:before="40" w:after="120"/>
              <w:ind w:right="113"/>
            </w:pPr>
          </w:p>
        </w:tc>
        <w:tc>
          <w:tcPr>
            <w:tcW w:w="3716" w:type="dxa"/>
            <w:shd w:val="clear" w:color="auto" w:fill="auto"/>
          </w:tcPr>
          <w:p w14:paraId="18F35AB7" w14:textId="77777777" w:rsidR="002F586A" w:rsidRPr="00B40DC9" w:rsidRDefault="002F586A" w:rsidP="00B40DC9">
            <w:pPr>
              <w:suppressAutoHyphens w:val="0"/>
              <w:spacing w:before="40" w:after="120"/>
              <w:ind w:right="113"/>
              <w:rPr>
                <w:bCs/>
              </w:rPr>
            </w:pPr>
            <w:r w:rsidRPr="00B40DC9">
              <w:rPr>
                <w:bCs/>
              </w:rPr>
              <w:t>Additional measures to put into place after implementation of 15</w:t>
            </w:r>
            <w:r w:rsidRPr="00B40DC9">
              <w:rPr>
                <w:bCs/>
                <w:vertAlign w:val="superscript"/>
              </w:rPr>
              <w:t>th</w:t>
            </w:r>
            <w:r w:rsidRPr="00B40DC9">
              <w:rPr>
                <w:bCs/>
              </w:rPr>
              <w:t xml:space="preserve"> ATP and classification as UN 3082</w:t>
            </w:r>
          </w:p>
          <w:p w14:paraId="4AEBE19E" w14:textId="77777777" w:rsidR="002F586A" w:rsidRPr="00B40DC9" w:rsidRDefault="002F586A" w:rsidP="00B40DC9">
            <w:pPr>
              <w:suppressAutoHyphens w:val="0"/>
              <w:spacing w:before="40" w:after="120"/>
              <w:ind w:right="113"/>
            </w:pPr>
          </w:p>
        </w:tc>
        <w:tc>
          <w:tcPr>
            <w:tcW w:w="2460" w:type="dxa"/>
            <w:shd w:val="clear" w:color="auto" w:fill="auto"/>
          </w:tcPr>
          <w:p w14:paraId="563B3AA5" w14:textId="77777777" w:rsidR="002F586A" w:rsidRPr="00B40DC9" w:rsidRDefault="002F586A" w:rsidP="00B40DC9">
            <w:pPr>
              <w:suppressAutoHyphens w:val="0"/>
              <w:spacing w:before="40" w:after="120"/>
              <w:ind w:right="113"/>
            </w:pPr>
            <w:r w:rsidRPr="00B40DC9">
              <w:rPr>
                <w:bCs/>
              </w:rPr>
              <w:t>Adherence (Bold text shows the additional new safety measures implemented due to UN 3082 Class 9 Environmentally Hazardous classification)</w:t>
            </w:r>
          </w:p>
        </w:tc>
      </w:tr>
      <w:tr w:rsidR="00B40DC9" w:rsidRPr="00B40DC9" w14:paraId="445F2E95" w14:textId="77777777" w:rsidTr="00B40DC9">
        <w:tc>
          <w:tcPr>
            <w:tcW w:w="2528" w:type="dxa"/>
            <w:shd w:val="clear" w:color="auto" w:fill="auto"/>
          </w:tcPr>
          <w:p w14:paraId="430C37C3" w14:textId="77777777" w:rsidR="002F586A" w:rsidRPr="00B40DC9" w:rsidRDefault="002F586A" w:rsidP="00B40DC9">
            <w:pPr>
              <w:suppressAutoHyphens w:val="0"/>
              <w:spacing w:before="40" w:after="120"/>
              <w:ind w:right="113"/>
            </w:pPr>
            <w:r w:rsidRPr="00B40DC9">
              <w:t>Placarding and marking of CTU’s</w:t>
            </w:r>
          </w:p>
        </w:tc>
        <w:tc>
          <w:tcPr>
            <w:tcW w:w="5072" w:type="dxa"/>
            <w:shd w:val="clear" w:color="auto" w:fill="auto"/>
          </w:tcPr>
          <w:p w14:paraId="46C41ED6" w14:textId="77777777" w:rsidR="002F586A" w:rsidRPr="00B40DC9" w:rsidRDefault="002F586A" w:rsidP="00B40DC9">
            <w:pPr>
              <w:suppressAutoHyphens w:val="0"/>
              <w:spacing w:before="40" w:after="120"/>
              <w:ind w:right="113"/>
            </w:pPr>
            <w:r w:rsidRPr="00B40DC9">
              <w:t>Not applicable</w:t>
            </w:r>
          </w:p>
        </w:tc>
        <w:tc>
          <w:tcPr>
            <w:tcW w:w="3716" w:type="dxa"/>
            <w:shd w:val="clear" w:color="auto" w:fill="auto"/>
          </w:tcPr>
          <w:p w14:paraId="6CDFE044" w14:textId="77777777" w:rsidR="002F586A" w:rsidRPr="00B40DC9" w:rsidRDefault="002F586A" w:rsidP="00B40DC9">
            <w:pPr>
              <w:suppressAutoHyphens w:val="0"/>
              <w:spacing w:before="40" w:after="120"/>
              <w:ind w:right="113"/>
            </w:pPr>
            <w:r w:rsidRPr="00B40DC9">
              <w:t>Full compliance with Placarding and Marking requirements/provisions</w:t>
            </w:r>
          </w:p>
        </w:tc>
        <w:tc>
          <w:tcPr>
            <w:tcW w:w="2460" w:type="dxa"/>
            <w:shd w:val="clear" w:color="auto" w:fill="auto"/>
          </w:tcPr>
          <w:p w14:paraId="63AB7973" w14:textId="77777777" w:rsidR="002F586A" w:rsidRPr="00B40DC9" w:rsidRDefault="002F586A" w:rsidP="00B40DC9">
            <w:pPr>
              <w:suppressAutoHyphens w:val="0"/>
              <w:spacing w:before="40" w:after="120"/>
              <w:ind w:right="113"/>
              <w:rPr>
                <w:i/>
                <w:iCs/>
              </w:rPr>
            </w:pPr>
            <w:r w:rsidRPr="00B40DC9">
              <w:rPr>
                <w:i/>
                <w:iCs/>
              </w:rPr>
              <w:t>Full adherence</w:t>
            </w:r>
          </w:p>
        </w:tc>
      </w:tr>
      <w:tr w:rsidR="00B40DC9" w:rsidRPr="00B40DC9" w14:paraId="0A464460" w14:textId="77777777" w:rsidTr="00B40DC9">
        <w:tc>
          <w:tcPr>
            <w:tcW w:w="2528" w:type="dxa"/>
            <w:shd w:val="clear" w:color="auto" w:fill="auto"/>
          </w:tcPr>
          <w:p w14:paraId="128AE2FF" w14:textId="77777777" w:rsidR="002F586A" w:rsidRPr="00B40DC9" w:rsidRDefault="002F586A" w:rsidP="00B40DC9">
            <w:pPr>
              <w:suppressAutoHyphens w:val="0"/>
              <w:spacing w:before="40" w:after="120"/>
              <w:ind w:right="113"/>
            </w:pPr>
            <w:r w:rsidRPr="00B40DC9">
              <w:t>DG-qualification of drivers</w:t>
            </w:r>
          </w:p>
        </w:tc>
        <w:tc>
          <w:tcPr>
            <w:tcW w:w="5072" w:type="dxa"/>
            <w:shd w:val="clear" w:color="auto" w:fill="auto"/>
          </w:tcPr>
          <w:p w14:paraId="75331472" w14:textId="77777777" w:rsidR="002F586A" w:rsidRPr="00B40DC9" w:rsidRDefault="002F586A" w:rsidP="00B40DC9">
            <w:pPr>
              <w:suppressAutoHyphens w:val="0"/>
              <w:spacing w:before="40" w:after="120"/>
              <w:ind w:right="113"/>
            </w:pPr>
            <w:r w:rsidRPr="00B40DC9">
              <w:t xml:space="preserve">Not applicable </w:t>
            </w:r>
          </w:p>
        </w:tc>
        <w:tc>
          <w:tcPr>
            <w:tcW w:w="3716" w:type="dxa"/>
            <w:shd w:val="clear" w:color="auto" w:fill="auto"/>
          </w:tcPr>
          <w:p w14:paraId="43A44204" w14:textId="77777777" w:rsidR="002F586A" w:rsidRPr="00B40DC9" w:rsidRDefault="002F586A" w:rsidP="00B40DC9">
            <w:pPr>
              <w:suppressAutoHyphens w:val="0"/>
              <w:spacing w:before="40" w:after="120"/>
              <w:ind w:right="113"/>
            </w:pPr>
            <w:r w:rsidRPr="00B40DC9">
              <w:t>Full DG-qualification required</w:t>
            </w:r>
          </w:p>
        </w:tc>
        <w:tc>
          <w:tcPr>
            <w:tcW w:w="2460" w:type="dxa"/>
            <w:shd w:val="clear" w:color="auto" w:fill="auto"/>
          </w:tcPr>
          <w:p w14:paraId="0F855CD0" w14:textId="77777777" w:rsidR="002F586A" w:rsidRPr="00B40DC9" w:rsidRDefault="002F586A" w:rsidP="00B40DC9">
            <w:pPr>
              <w:suppressAutoHyphens w:val="0"/>
              <w:spacing w:before="40" w:after="120"/>
              <w:ind w:right="113"/>
              <w:rPr>
                <w:i/>
                <w:iCs/>
              </w:rPr>
            </w:pPr>
            <w:r w:rsidRPr="00B40DC9">
              <w:rPr>
                <w:i/>
                <w:iCs/>
              </w:rPr>
              <w:t>Full adherence</w:t>
            </w:r>
          </w:p>
        </w:tc>
      </w:tr>
      <w:tr w:rsidR="00B40DC9" w:rsidRPr="00B40DC9" w14:paraId="5EC98296" w14:textId="77777777" w:rsidTr="00B40DC9">
        <w:tc>
          <w:tcPr>
            <w:tcW w:w="2528" w:type="dxa"/>
            <w:shd w:val="clear" w:color="auto" w:fill="auto"/>
          </w:tcPr>
          <w:p w14:paraId="44B9BBD1" w14:textId="77777777" w:rsidR="002F586A" w:rsidRPr="00B40DC9" w:rsidRDefault="002F586A" w:rsidP="00B40DC9">
            <w:pPr>
              <w:suppressAutoHyphens w:val="0"/>
              <w:spacing w:before="40" w:after="120"/>
              <w:ind w:right="113"/>
            </w:pPr>
            <w:r w:rsidRPr="00B40DC9">
              <w:t xml:space="preserve">Vehicle emergency response equipment </w:t>
            </w:r>
          </w:p>
        </w:tc>
        <w:tc>
          <w:tcPr>
            <w:tcW w:w="5072" w:type="dxa"/>
            <w:shd w:val="clear" w:color="auto" w:fill="auto"/>
          </w:tcPr>
          <w:p w14:paraId="24670975" w14:textId="77777777" w:rsidR="002F586A" w:rsidRPr="00B40DC9" w:rsidRDefault="002F586A" w:rsidP="00B40DC9">
            <w:pPr>
              <w:suppressAutoHyphens w:val="0"/>
              <w:spacing w:before="40" w:after="120"/>
              <w:ind w:right="113"/>
            </w:pPr>
            <w:r w:rsidRPr="00B40DC9">
              <w:t xml:space="preserve">Not applicable </w:t>
            </w:r>
          </w:p>
        </w:tc>
        <w:tc>
          <w:tcPr>
            <w:tcW w:w="3716" w:type="dxa"/>
            <w:shd w:val="clear" w:color="auto" w:fill="auto"/>
          </w:tcPr>
          <w:p w14:paraId="1FE2A0C0" w14:textId="77777777" w:rsidR="002F586A" w:rsidRPr="00B40DC9" w:rsidRDefault="002F586A" w:rsidP="00B40DC9">
            <w:pPr>
              <w:suppressAutoHyphens w:val="0"/>
              <w:spacing w:before="40" w:after="120"/>
              <w:ind w:right="113"/>
            </w:pPr>
            <w:r w:rsidRPr="00B40DC9">
              <w:t>Full DG-equipment required</w:t>
            </w:r>
          </w:p>
        </w:tc>
        <w:tc>
          <w:tcPr>
            <w:tcW w:w="2460" w:type="dxa"/>
            <w:shd w:val="clear" w:color="auto" w:fill="auto"/>
          </w:tcPr>
          <w:p w14:paraId="543DB805" w14:textId="77777777" w:rsidR="002F586A" w:rsidRPr="00B40DC9" w:rsidRDefault="002F586A" w:rsidP="00B40DC9">
            <w:pPr>
              <w:suppressAutoHyphens w:val="0"/>
              <w:spacing w:before="40" w:after="120"/>
              <w:ind w:right="113"/>
              <w:rPr>
                <w:i/>
                <w:iCs/>
              </w:rPr>
            </w:pPr>
            <w:r w:rsidRPr="00B40DC9">
              <w:rPr>
                <w:i/>
                <w:iCs/>
              </w:rPr>
              <w:t>Full adherence</w:t>
            </w:r>
          </w:p>
        </w:tc>
      </w:tr>
      <w:tr w:rsidR="00B40DC9" w:rsidRPr="00B40DC9" w14:paraId="4E0F0848" w14:textId="77777777" w:rsidTr="00B40DC9">
        <w:tc>
          <w:tcPr>
            <w:tcW w:w="2528" w:type="dxa"/>
            <w:shd w:val="clear" w:color="auto" w:fill="auto"/>
          </w:tcPr>
          <w:p w14:paraId="73A3AE79" w14:textId="77777777" w:rsidR="002F586A" w:rsidRPr="00B40DC9" w:rsidRDefault="002F586A" w:rsidP="00B40DC9">
            <w:pPr>
              <w:suppressAutoHyphens w:val="0"/>
              <w:spacing w:before="40" w:after="120"/>
              <w:ind w:right="113"/>
            </w:pPr>
            <w:r w:rsidRPr="00B40DC9">
              <w:t>Construction and registration of vehicles</w:t>
            </w:r>
          </w:p>
        </w:tc>
        <w:tc>
          <w:tcPr>
            <w:tcW w:w="5072" w:type="dxa"/>
            <w:shd w:val="clear" w:color="auto" w:fill="auto"/>
          </w:tcPr>
          <w:p w14:paraId="69694D11" w14:textId="77777777" w:rsidR="002F586A" w:rsidRPr="00B40DC9" w:rsidRDefault="002F586A" w:rsidP="00B40DC9">
            <w:pPr>
              <w:suppressAutoHyphens w:val="0"/>
              <w:spacing w:before="40" w:after="120"/>
              <w:ind w:right="113"/>
            </w:pPr>
            <w:r w:rsidRPr="00B40DC9">
              <w:t xml:space="preserve">Not applicable </w:t>
            </w:r>
          </w:p>
        </w:tc>
        <w:tc>
          <w:tcPr>
            <w:tcW w:w="3716" w:type="dxa"/>
            <w:shd w:val="clear" w:color="auto" w:fill="auto"/>
          </w:tcPr>
          <w:p w14:paraId="07BE81C9" w14:textId="77777777" w:rsidR="002F586A" w:rsidRPr="00B40DC9" w:rsidRDefault="002F586A" w:rsidP="00B40DC9">
            <w:pPr>
              <w:suppressAutoHyphens w:val="0"/>
              <w:spacing w:before="40" w:after="120"/>
              <w:ind w:right="113"/>
            </w:pPr>
            <w:r w:rsidRPr="00B40DC9">
              <w:t>Full compliance with DG regulations required</w:t>
            </w:r>
          </w:p>
        </w:tc>
        <w:tc>
          <w:tcPr>
            <w:tcW w:w="2460" w:type="dxa"/>
            <w:shd w:val="clear" w:color="auto" w:fill="auto"/>
          </w:tcPr>
          <w:p w14:paraId="3285B21E" w14:textId="77777777" w:rsidR="002F586A" w:rsidRPr="00B40DC9" w:rsidRDefault="002F586A" w:rsidP="00B40DC9">
            <w:pPr>
              <w:suppressAutoHyphens w:val="0"/>
              <w:spacing w:before="40" w:after="120"/>
              <w:ind w:right="113"/>
              <w:rPr>
                <w:i/>
                <w:iCs/>
              </w:rPr>
            </w:pPr>
            <w:r w:rsidRPr="00B40DC9">
              <w:rPr>
                <w:i/>
                <w:iCs/>
              </w:rPr>
              <w:t>Full adherence</w:t>
            </w:r>
          </w:p>
        </w:tc>
      </w:tr>
      <w:tr w:rsidR="00B40DC9" w:rsidRPr="00B40DC9" w14:paraId="6E49A10D" w14:textId="77777777" w:rsidTr="00B40DC9">
        <w:tc>
          <w:tcPr>
            <w:tcW w:w="2528" w:type="dxa"/>
            <w:tcBorders>
              <w:bottom w:val="single" w:sz="12" w:space="0" w:color="auto"/>
            </w:tcBorders>
            <w:shd w:val="clear" w:color="auto" w:fill="auto"/>
          </w:tcPr>
          <w:p w14:paraId="31BD94C3" w14:textId="77777777" w:rsidR="002F586A" w:rsidRPr="00B40DC9" w:rsidRDefault="002F586A" w:rsidP="00B40DC9">
            <w:pPr>
              <w:suppressAutoHyphens w:val="0"/>
              <w:spacing w:before="40" w:after="120"/>
              <w:ind w:right="113"/>
            </w:pPr>
            <w:r w:rsidRPr="00B40DC9">
              <w:t>Transport documentation</w:t>
            </w:r>
          </w:p>
        </w:tc>
        <w:tc>
          <w:tcPr>
            <w:tcW w:w="5072" w:type="dxa"/>
            <w:tcBorders>
              <w:bottom w:val="single" w:sz="12" w:space="0" w:color="auto"/>
            </w:tcBorders>
            <w:shd w:val="clear" w:color="auto" w:fill="auto"/>
          </w:tcPr>
          <w:p w14:paraId="5100D82D" w14:textId="77777777" w:rsidR="002F586A" w:rsidRPr="00B40DC9" w:rsidRDefault="002F586A" w:rsidP="00B40DC9">
            <w:pPr>
              <w:suppressAutoHyphens w:val="0"/>
              <w:spacing w:before="40" w:after="120"/>
              <w:ind w:right="113"/>
            </w:pPr>
            <w:r w:rsidRPr="00B40DC9">
              <w:t>Not applicable (except for standard transport documents such as delivery note or CMR etc.)</w:t>
            </w:r>
          </w:p>
        </w:tc>
        <w:tc>
          <w:tcPr>
            <w:tcW w:w="3716" w:type="dxa"/>
            <w:tcBorders>
              <w:bottom w:val="single" w:sz="12" w:space="0" w:color="auto"/>
            </w:tcBorders>
            <w:shd w:val="clear" w:color="auto" w:fill="auto"/>
          </w:tcPr>
          <w:p w14:paraId="2872204C" w14:textId="77777777" w:rsidR="002F586A" w:rsidRPr="00B40DC9" w:rsidRDefault="002F586A" w:rsidP="00B40DC9">
            <w:pPr>
              <w:suppressAutoHyphens w:val="0"/>
              <w:spacing w:before="40" w:after="120"/>
              <w:ind w:right="113"/>
            </w:pPr>
            <w:r w:rsidRPr="00B40DC9">
              <w:t>Full DG-documentation needed, in addition to standard transport documentation</w:t>
            </w:r>
          </w:p>
        </w:tc>
        <w:tc>
          <w:tcPr>
            <w:tcW w:w="2460" w:type="dxa"/>
            <w:tcBorders>
              <w:bottom w:val="single" w:sz="12" w:space="0" w:color="auto"/>
            </w:tcBorders>
            <w:shd w:val="clear" w:color="auto" w:fill="auto"/>
          </w:tcPr>
          <w:p w14:paraId="3D4DD74E" w14:textId="77777777" w:rsidR="002F586A" w:rsidRPr="00B40DC9" w:rsidRDefault="002F586A" w:rsidP="00B40DC9">
            <w:pPr>
              <w:suppressAutoHyphens w:val="0"/>
              <w:spacing w:before="40" w:after="120"/>
              <w:ind w:right="113"/>
              <w:rPr>
                <w:i/>
                <w:iCs/>
              </w:rPr>
            </w:pPr>
            <w:r w:rsidRPr="00B40DC9">
              <w:rPr>
                <w:i/>
                <w:iCs/>
              </w:rPr>
              <w:t>Full adherence</w:t>
            </w:r>
          </w:p>
        </w:tc>
      </w:tr>
    </w:tbl>
    <w:p w14:paraId="40488A95" w14:textId="4487E0D4" w:rsidR="00C160E3" w:rsidRDefault="00C160E3">
      <w:pPr>
        <w:rPr>
          <w:lang w:val="en-US"/>
        </w:rPr>
      </w:pPr>
    </w:p>
    <w:p w14:paraId="6EF8F5DD" w14:textId="77777777" w:rsidR="004B52A3" w:rsidRDefault="004B52A3" w:rsidP="00C160E3">
      <w:pPr>
        <w:rPr>
          <w:lang w:val="en-US"/>
        </w:rPr>
        <w:sectPr w:rsidR="004B52A3" w:rsidSect="00935F72">
          <w:headerReference w:type="even" r:id="rId20"/>
          <w:headerReference w:type="default" r:id="rId21"/>
          <w:footerReference w:type="even" r:id="rId22"/>
          <w:footerReference w:type="default" r:id="rId23"/>
          <w:endnotePr>
            <w:numFmt w:val="decimal"/>
          </w:endnotePr>
          <w:pgSz w:w="16840" w:h="11907" w:orient="landscape" w:code="9"/>
          <w:pgMar w:top="1134" w:right="1417" w:bottom="1134" w:left="1134" w:header="567" w:footer="567" w:gutter="0"/>
          <w:cols w:space="720"/>
          <w:docGrid w:linePitch="272"/>
        </w:sectPr>
      </w:pPr>
    </w:p>
    <w:p w14:paraId="07A3AA47" w14:textId="77777777" w:rsidR="006C7245" w:rsidRDefault="00443835" w:rsidP="00443835">
      <w:pPr>
        <w:tabs>
          <w:tab w:val="left" w:pos="708"/>
        </w:tabs>
        <w:rPr>
          <w:b/>
          <w:bCs/>
          <w:sz w:val="28"/>
          <w:szCs w:val="28"/>
        </w:rPr>
      </w:pPr>
      <w:r w:rsidRPr="006418C0">
        <w:rPr>
          <w:b/>
          <w:bCs/>
          <w:sz w:val="28"/>
          <w:szCs w:val="28"/>
        </w:rPr>
        <w:lastRenderedPageBreak/>
        <w:t>Annex C</w:t>
      </w:r>
    </w:p>
    <w:p w14:paraId="06C7FDF8" w14:textId="55861A99" w:rsidR="00443835" w:rsidRDefault="006C7245" w:rsidP="006C7245">
      <w:pPr>
        <w:pStyle w:val="HChG"/>
      </w:pPr>
      <w:r>
        <w:tab/>
      </w:r>
      <w:r>
        <w:tab/>
      </w:r>
      <w:r w:rsidR="00443835" w:rsidRPr="006418C0">
        <w:t xml:space="preserve">Pictures illustrating the current situation </w:t>
      </w:r>
      <w:r w:rsidR="00443835">
        <w:t>for transporting paints</w:t>
      </w:r>
    </w:p>
    <w:p w14:paraId="1F63BAA3" w14:textId="366D1FB6" w:rsidR="00443835" w:rsidRPr="00BA377B" w:rsidRDefault="00866F99" w:rsidP="00866F99">
      <w:pPr>
        <w:pStyle w:val="SingleTxtG"/>
        <w:rPr>
          <w:lang w:val="en-US"/>
        </w:rPr>
      </w:pPr>
      <w:r>
        <w:rPr>
          <w:lang w:val="en-US"/>
        </w:rPr>
        <w:t>1.</w:t>
      </w:r>
      <w:r>
        <w:rPr>
          <w:lang w:val="en-US"/>
        </w:rPr>
        <w:tab/>
      </w:r>
      <w:r w:rsidR="00443835" w:rsidRPr="00BA377B">
        <w:rPr>
          <w:lang w:val="en-US"/>
        </w:rPr>
        <w:t xml:space="preserve">Annex C contains </w:t>
      </w:r>
      <w:r w:rsidR="00443835">
        <w:rPr>
          <w:lang w:val="en-US"/>
        </w:rPr>
        <w:t xml:space="preserve">pictorial </w:t>
      </w:r>
      <w:r w:rsidR="00443835" w:rsidRPr="00BA377B">
        <w:rPr>
          <w:lang w:val="en-US"/>
        </w:rPr>
        <w:t>example</w:t>
      </w:r>
      <w:r w:rsidR="00443835">
        <w:rPr>
          <w:lang w:val="en-US"/>
        </w:rPr>
        <w:t>s</w:t>
      </w:r>
      <w:r w:rsidR="00443835" w:rsidRPr="00BA377B">
        <w:rPr>
          <w:lang w:val="en-US"/>
        </w:rPr>
        <w:t xml:space="preserve"> that are referenced in the table in Annex B. Please consider Annex B</w:t>
      </w:r>
      <w:r w:rsidR="00443835">
        <w:rPr>
          <w:lang w:val="en-US"/>
        </w:rPr>
        <w:t xml:space="preserve"> when reviewing these pictures.</w:t>
      </w:r>
    </w:p>
    <w:p w14:paraId="4FFBB05E" w14:textId="77777777" w:rsidR="00443835" w:rsidRPr="00027E0F" w:rsidRDefault="00443835" w:rsidP="00443835">
      <w:pPr>
        <w:rPr>
          <w:lang w:val="en-US"/>
        </w:rPr>
      </w:pPr>
    </w:p>
    <w:p w14:paraId="05A9E5FC" w14:textId="77777777" w:rsidR="00443835" w:rsidRDefault="00443835" w:rsidP="00443835">
      <w:pPr>
        <w:keepNext/>
        <w:jc w:val="center"/>
      </w:pPr>
      <w:r>
        <w:rPr>
          <w:noProof/>
        </w:rPr>
        <w:drawing>
          <wp:inline distT="0" distB="0" distL="0" distR="0" wp14:anchorId="3F9DEB3C" wp14:editId="28563D02">
            <wp:extent cx="5756910" cy="2655570"/>
            <wp:effectExtent l="0" t="0" r="0" b="0"/>
            <wp:docPr id="10" name="Picture 10" descr="A plastic container with black l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A plastic container with black lid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910" cy="2655570"/>
                    </a:xfrm>
                    <a:prstGeom prst="rect">
                      <a:avLst/>
                    </a:prstGeom>
                    <a:noFill/>
                    <a:ln>
                      <a:noFill/>
                    </a:ln>
                  </pic:spPr>
                </pic:pic>
              </a:graphicData>
            </a:graphic>
          </wp:inline>
        </w:drawing>
      </w:r>
    </w:p>
    <w:p w14:paraId="56CE7FC9" w14:textId="20E0D14A" w:rsidR="00866F99" w:rsidRDefault="00443835" w:rsidP="00866F99">
      <w:pPr>
        <w:pStyle w:val="SingleTxtG"/>
        <w:rPr>
          <w:lang w:val="en-US"/>
        </w:rPr>
      </w:pPr>
      <w:r w:rsidRPr="00FC5CC6">
        <w:rPr>
          <w:lang w:val="en-US"/>
        </w:rPr>
        <w:t xml:space="preserve">Figure </w:t>
      </w:r>
      <w:r w:rsidR="00866F99">
        <w:t>I</w:t>
      </w:r>
    </w:p>
    <w:p w14:paraId="61E8B43C" w14:textId="24500079" w:rsidR="00443835" w:rsidRPr="00866F99" w:rsidRDefault="00443835" w:rsidP="00866F99">
      <w:pPr>
        <w:pStyle w:val="SingleTxtG"/>
        <w:rPr>
          <w:b/>
          <w:bCs/>
          <w:lang w:val="en-US"/>
        </w:rPr>
      </w:pPr>
      <w:r w:rsidRPr="00866F99">
        <w:rPr>
          <w:b/>
          <w:bCs/>
          <w:lang w:val="en-US"/>
        </w:rPr>
        <w:t>Unmarked and unlabeled shipment before classification change.</w:t>
      </w:r>
    </w:p>
    <w:p w14:paraId="37574AC6" w14:textId="77777777" w:rsidR="00443835" w:rsidRPr="00FF174F" w:rsidRDefault="00443835" w:rsidP="00443835">
      <w:pPr>
        <w:rPr>
          <w:lang w:val="en-US"/>
        </w:rPr>
      </w:pPr>
    </w:p>
    <w:p w14:paraId="2ADC53C4" w14:textId="77777777" w:rsidR="00443835" w:rsidRDefault="00443835" w:rsidP="00443835">
      <w:pPr>
        <w:keepNext/>
        <w:jc w:val="center"/>
      </w:pPr>
      <w:r>
        <w:rPr>
          <w:noProof/>
        </w:rPr>
        <w:drawing>
          <wp:inline distT="0" distB="0" distL="0" distR="0" wp14:anchorId="0F6F31E6" wp14:editId="37D9F290">
            <wp:extent cx="5764530" cy="2799080"/>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4530" cy="2799080"/>
                    </a:xfrm>
                    <a:prstGeom prst="rect">
                      <a:avLst/>
                    </a:prstGeom>
                    <a:noFill/>
                    <a:ln>
                      <a:noFill/>
                    </a:ln>
                  </pic:spPr>
                </pic:pic>
              </a:graphicData>
            </a:graphic>
          </wp:inline>
        </w:drawing>
      </w:r>
    </w:p>
    <w:p w14:paraId="15B37F52" w14:textId="66156192" w:rsidR="00866F99" w:rsidRDefault="00443835" w:rsidP="00866F99">
      <w:pPr>
        <w:pStyle w:val="SingleTxtG"/>
        <w:rPr>
          <w:lang w:val="en-US"/>
        </w:rPr>
      </w:pPr>
      <w:r w:rsidRPr="00FC5CC6">
        <w:rPr>
          <w:lang w:val="en-US"/>
        </w:rPr>
        <w:t xml:space="preserve">Figure </w:t>
      </w:r>
      <w:r w:rsidR="00866F99">
        <w:t>II</w:t>
      </w:r>
    </w:p>
    <w:p w14:paraId="618644C4" w14:textId="4653BE2C" w:rsidR="00443835" w:rsidRPr="00866F99" w:rsidRDefault="00443835" w:rsidP="00866F99">
      <w:pPr>
        <w:pStyle w:val="SingleTxtG"/>
        <w:rPr>
          <w:b/>
          <w:bCs/>
          <w:lang w:val="en-US"/>
        </w:rPr>
      </w:pPr>
      <w:r w:rsidRPr="00866F99">
        <w:rPr>
          <w:b/>
          <w:bCs/>
          <w:lang w:val="en-US"/>
        </w:rPr>
        <w:t>Shipment of nonflammable solvent-borne exterior paint with full transport marking and labeling after classification change.</w:t>
      </w:r>
    </w:p>
    <w:p w14:paraId="770906BD" w14:textId="77777777" w:rsidR="00443835" w:rsidRDefault="00443835" w:rsidP="00443835">
      <w:pPr>
        <w:rPr>
          <w:lang w:val="en-US"/>
        </w:rPr>
      </w:pPr>
    </w:p>
    <w:p w14:paraId="3054844F" w14:textId="77777777" w:rsidR="00443835" w:rsidRPr="00FF174F" w:rsidRDefault="00443835" w:rsidP="00443835">
      <w:pPr>
        <w:keepNext/>
        <w:jc w:val="center"/>
        <w:rPr>
          <w:lang w:val="en-US"/>
        </w:rPr>
      </w:pPr>
      <w:r>
        <w:rPr>
          <w:noProof/>
          <w:lang w:val="en-US"/>
        </w:rPr>
        <w:lastRenderedPageBreak/>
        <w:drawing>
          <wp:inline distT="0" distB="0" distL="0" distR="0" wp14:anchorId="3F3B4605" wp14:editId="5FFA0123">
            <wp:extent cx="4143585" cy="3107689"/>
            <wp:effectExtent l="381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158753" cy="3119065"/>
                    </a:xfrm>
                    <a:prstGeom prst="rect">
                      <a:avLst/>
                    </a:prstGeom>
                    <a:noFill/>
                    <a:ln>
                      <a:noFill/>
                    </a:ln>
                  </pic:spPr>
                </pic:pic>
              </a:graphicData>
            </a:graphic>
          </wp:inline>
        </w:drawing>
      </w:r>
    </w:p>
    <w:p w14:paraId="3FD93835" w14:textId="77777777" w:rsidR="00866F99" w:rsidRDefault="00443835" w:rsidP="00866F99">
      <w:pPr>
        <w:pStyle w:val="SingleTxtG"/>
      </w:pPr>
      <w:r w:rsidRPr="00FC5CC6">
        <w:rPr>
          <w:lang w:val="en-US"/>
        </w:rPr>
        <w:t xml:space="preserve">Figure </w:t>
      </w:r>
      <w:r w:rsidR="00866F99">
        <w:t>III</w:t>
      </w:r>
    </w:p>
    <w:p w14:paraId="3564AA15" w14:textId="1D7F8335" w:rsidR="00443835" w:rsidRPr="00866F99" w:rsidRDefault="00443835" w:rsidP="00866F99">
      <w:pPr>
        <w:pStyle w:val="SingleTxtG"/>
        <w:rPr>
          <w:b/>
          <w:bCs/>
          <w:lang w:val="en-US"/>
        </w:rPr>
      </w:pPr>
      <w:r w:rsidRPr="00866F99">
        <w:rPr>
          <w:b/>
          <w:bCs/>
          <w:lang w:val="en-US"/>
        </w:rPr>
        <w:t>Example of a stable shrink-wrapped loading unit.</w:t>
      </w:r>
    </w:p>
    <w:p w14:paraId="71DDCA3B" w14:textId="77777777" w:rsidR="00443835" w:rsidRDefault="00443835" w:rsidP="00443835">
      <w:pPr>
        <w:jc w:val="center"/>
        <w:rPr>
          <w:lang w:val="en-US"/>
        </w:rPr>
      </w:pPr>
    </w:p>
    <w:p w14:paraId="64A43B22" w14:textId="77777777" w:rsidR="00443835" w:rsidRDefault="00443835" w:rsidP="00443835">
      <w:pPr>
        <w:jc w:val="center"/>
        <w:rPr>
          <w:lang w:val="en-US"/>
        </w:rPr>
      </w:pPr>
    </w:p>
    <w:p w14:paraId="0B7D7161" w14:textId="77777777" w:rsidR="00443835" w:rsidRDefault="00443835" w:rsidP="00443835">
      <w:pPr>
        <w:keepNext/>
        <w:jc w:val="center"/>
      </w:pPr>
      <w:r>
        <w:rPr>
          <w:noProof/>
          <w:lang w:val="en-US"/>
        </w:rPr>
        <w:drawing>
          <wp:inline distT="0" distB="0" distL="0" distR="0" wp14:anchorId="150A74F5" wp14:editId="4D359B4B">
            <wp:extent cx="5124450" cy="259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2590800"/>
                    </a:xfrm>
                    <a:prstGeom prst="rect">
                      <a:avLst/>
                    </a:prstGeom>
                    <a:noFill/>
                    <a:ln>
                      <a:noFill/>
                    </a:ln>
                  </pic:spPr>
                </pic:pic>
              </a:graphicData>
            </a:graphic>
          </wp:inline>
        </w:drawing>
      </w:r>
    </w:p>
    <w:p w14:paraId="06165218" w14:textId="13059095" w:rsidR="00866F99" w:rsidRDefault="00443835" w:rsidP="00866F99">
      <w:pPr>
        <w:pStyle w:val="SingleTxtG"/>
        <w:rPr>
          <w:lang w:val="en-US"/>
        </w:rPr>
      </w:pPr>
      <w:r w:rsidRPr="00715710">
        <w:rPr>
          <w:lang w:val="en-US"/>
        </w:rPr>
        <w:t xml:space="preserve">Figure </w:t>
      </w:r>
      <w:r w:rsidR="00866F99">
        <w:t>IV</w:t>
      </w:r>
    </w:p>
    <w:p w14:paraId="66734A89" w14:textId="6CC2BE95" w:rsidR="00443835" w:rsidRPr="00866F99" w:rsidRDefault="00443835" w:rsidP="00866F99">
      <w:pPr>
        <w:pStyle w:val="SingleTxtG"/>
        <w:rPr>
          <w:b/>
          <w:bCs/>
          <w:lang w:val="en-US"/>
        </w:rPr>
      </w:pPr>
      <w:r w:rsidRPr="00866F99">
        <w:rPr>
          <w:b/>
          <w:bCs/>
          <w:lang w:val="en-US"/>
        </w:rPr>
        <w:t>Example of the proven stability of a shrink-wrapped load via the tilting test.</w:t>
      </w:r>
    </w:p>
    <w:p w14:paraId="6FFF61BA" w14:textId="77777777" w:rsidR="00443835" w:rsidRDefault="00443835" w:rsidP="00443835">
      <w:pPr>
        <w:keepNext/>
        <w:jc w:val="center"/>
        <w:rPr>
          <w:i/>
          <w:iCs/>
          <w:sz w:val="18"/>
          <w:szCs w:val="18"/>
          <w:lang w:val="en-US"/>
        </w:rPr>
      </w:pPr>
      <w:r w:rsidRPr="00136BBD">
        <w:rPr>
          <w:noProof/>
        </w:rPr>
        <w:lastRenderedPageBreak/>
        <w:drawing>
          <wp:inline distT="0" distB="0" distL="0" distR="0" wp14:anchorId="1C93603E" wp14:editId="5CDFF5C0">
            <wp:extent cx="5760720" cy="3377565"/>
            <wp:effectExtent l="171450" t="190500" r="182880" b="184785"/>
            <wp:docPr id="848140974" name="Picture 84814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3775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7962753" w14:textId="77777777" w:rsidR="00866F99" w:rsidRDefault="00443835" w:rsidP="00866F99">
      <w:pPr>
        <w:pStyle w:val="SingleTxtG"/>
      </w:pPr>
      <w:r w:rsidRPr="002D0AD3">
        <w:rPr>
          <w:lang w:val="en-US"/>
        </w:rPr>
        <w:t xml:space="preserve">Figure </w:t>
      </w:r>
      <w:r w:rsidR="00866F99">
        <w:t>V</w:t>
      </w:r>
    </w:p>
    <w:p w14:paraId="3355155B" w14:textId="2B25E385" w:rsidR="00443835" w:rsidRPr="00866F99" w:rsidRDefault="00443835" w:rsidP="00866F99">
      <w:pPr>
        <w:pStyle w:val="SingleTxtG"/>
        <w:rPr>
          <w:b/>
          <w:bCs/>
          <w:lang w:val="en-US"/>
        </w:rPr>
      </w:pPr>
      <w:r w:rsidRPr="00866F99">
        <w:rPr>
          <w:b/>
          <w:bCs/>
          <w:lang w:val="en-US"/>
        </w:rPr>
        <w:t>Example of a portion of Section 2 of an SDS before ATP 15 without environmentally hazardous information.</w:t>
      </w:r>
    </w:p>
    <w:p w14:paraId="62211667" w14:textId="77777777" w:rsidR="00443835" w:rsidRPr="002D0AD3" w:rsidRDefault="00443835" w:rsidP="00443835">
      <w:pPr>
        <w:rPr>
          <w:lang w:val="en-US"/>
        </w:rPr>
      </w:pPr>
    </w:p>
    <w:p w14:paraId="2A655F29" w14:textId="77777777" w:rsidR="00443835" w:rsidRDefault="00443835" w:rsidP="00443835">
      <w:pPr>
        <w:keepNext/>
        <w:jc w:val="center"/>
        <w:rPr>
          <w:i/>
          <w:iCs/>
          <w:sz w:val="18"/>
          <w:szCs w:val="18"/>
          <w:lang w:val="en-US"/>
        </w:rPr>
      </w:pPr>
      <w:r w:rsidRPr="00797FC2">
        <w:rPr>
          <w:noProof/>
        </w:rPr>
        <w:drawing>
          <wp:inline distT="0" distB="0" distL="0" distR="0" wp14:anchorId="16E3AEAE" wp14:editId="37B0FA37">
            <wp:extent cx="5760720" cy="3291205"/>
            <wp:effectExtent l="171450" t="171450" r="182880" b="1949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912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C67A547" w14:textId="77777777" w:rsidR="00866F99" w:rsidRDefault="00443835" w:rsidP="00866F99">
      <w:pPr>
        <w:pStyle w:val="SingleTxtG"/>
      </w:pPr>
      <w:r w:rsidRPr="002D0AD3">
        <w:rPr>
          <w:lang w:val="en-US"/>
        </w:rPr>
        <w:t xml:space="preserve">Figure </w:t>
      </w:r>
      <w:r w:rsidR="00866F99">
        <w:t>VI</w:t>
      </w:r>
    </w:p>
    <w:p w14:paraId="0E007766" w14:textId="196B1740" w:rsidR="00443835" w:rsidRPr="00866F99" w:rsidRDefault="00443835" w:rsidP="00866F99">
      <w:pPr>
        <w:pStyle w:val="SingleTxtG"/>
        <w:rPr>
          <w:b/>
          <w:bCs/>
          <w:lang w:val="en-US"/>
        </w:rPr>
      </w:pPr>
      <w:r w:rsidRPr="00866F99">
        <w:rPr>
          <w:b/>
          <w:bCs/>
          <w:lang w:val="en-US"/>
        </w:rPr>
        <w:t>Example of a portion of Section 2 of an SDS after ATP 15, which includes the environmentally hazardous information.</w:t>
      </w:r>
    </w:p>
    <w:p w14:paraId="42F12CD1" w14:textId="77777777" w:rsidR="00443835" w:rsidRDefault="00443835" w:rsidP="00443835">
      <w:pPr>
        <w:rPr>
          <w:lang w:val="en-US"/>
        </w:rPr>
      </w:pPr>
    </w:p>
    <w:p w14:paraId="39512093" w14:textId="77777777" w:rsidR="00443835" w:rsidRDefault="00443835" w:rsidP="00443835">
      <w:pPr>
        <w:rPr>
          <w:lang w:val="en-US"/>
        </w:rPr>
      </w:pPr>
    </w:p>
    <w:p w14:paraId="785B684A" w14:textId="77777777" w:rsidR="00443835" w:rsidRPr="00925772" w:rsidRDefault="00443835" w:rsidP="00443835">
      <w:pPr>
        <w:rPr>
          <w:lang w:val="en-US"/>
        </w:rPr>
      </w:pPr>
    </w:p>
    <w:p w14:paraId="65BCC442" w14:textId="77777777" w:rsidR="00443835" w:rsidRDefault="00443835" w:rsidP="00443835">
      <w:pPr>
        <w:keepNext/>
        <w:jc w:val="center"/>
      </w:pPr>
      <w:r w:rsidRPr="00B70BFE">
        <w:rPr>
          <w:noProof/>
        </w:rPr>
        <w:drawing>
          <wp:inline distT="0" distB="0" distL="0" distR="0" wp14:anchorId="1B7BE1E1" wp14:editId="7A953CAB">
            <wp:extent cx="5760720" cy="2599690"/>
            <wp:effectExtent l="171450" t="171450" r="182880" b="2006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5996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0E2EEBB" w14:textId="281E4CF0" w:rsidR="00866F99" w:rsidRDefault="00443835" w:rsidP="00866F99">
      <w:pPr>
        <w:pStyle w:val="SingleTxtG"/>
        <w:rPr>
          <w:lang w:val="en-US"/>
        </w:rPr>
      </w:pPr>
      <w:r w:rsidRPr="002D0AD3">
        <w:rPr>
          <w:lang w:val="en-US"/>
        </w:rPr>
        <w:t xml:space="preserve">Figure </w:t>
      </w:r>
      <w:r w:rsidR="00B77AFA">
        <w:t>VII</w:t>
      </w:r>
    </w:p>
    <w:p w14:paraId="15C20F0A" w14:textId="7BF4941C" w:rsidR="00443835" w:rsidRPr="00866F99" w:rsidRDefault="00443835" w:rsidP="00866F99">
      <w:pPr>
        <w:pStyle w:val="SingleTxtG"/>
        <w:rPr>
          <w:b/>
          <w:bCs/>
          <w:lang w:val="en-US"/>
        </w:rPr>
      </w:pPr>
      <w:r w:rsidRPr="00866F99">
        <w:rPr>
          <w:b/>
          <w:bCs/>
          <w:lang w:val="en-US"/>
        </w:rPr>
        <w:t>Example of Section 14 of an SDS before ATP 15 without transport classification.</w:t>
      </w:r>
    </w:p>
    <w:p w14:paraId="50C7BE29" w14:textId="77777777" w:rsidR="00443835" w:rsidRDefault="00443835" w:rsidP="00443835">
      <w:pPr>
        <w:rPr>
          <w:lang w:val="en-US"/>
        </w:rPr>
      </w:pPr>
    </w:p>
    <w:p w14:paraId="19D70855" w14:textId="77777777" w:rsidR="00443835" w:rsidRDefault="00443835" w:rsidP="00443835">
      <w:pPr>
        <w:keepNext/>
        <w:jc w:val="center"/>
        <w:rPr>
          <w:lang w:val="en-US"/>
        </w:rPr>
      </w:pPr>
      <w:r w:rsidRPr="00B5568F">
        <w:rPr>
          <w:noProof/>
        </w:rPr>
        <w:lastRenderedPageBreak/>
        <w:drawing>
          <wp:inline distT="0" distB="0" distL="0" distR="0" wp14:anchorId="4A455459" wp14:editId="13212330">
            <wp:extent cx="5299538" cy="7739614"/>
            <wp:effectExtent l="171450" t="171450" r="168275" b="1854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4813" cy="79371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81CB64A" w14:textId="77777777" w:rsidR="003375DD" w:rsidRDefault="00443835" w:rsidP="003375DD">
      <w:pPr>
        <w:pStyle w:val="SingleTxtG"/>
      </w:pPr>
      <w:r w:rsidRPr="006438D0">
        <w:rPr>
          <w:lang w:val="en-US"/>
        </w:rPr>
        <w:t xml:space="preserve">Figure </w:t>
      </w:r>
      <w:r w:rsidR="00866F99" w:rsidRPr="006438D0">
        <w:t>VIII</w:t>
      </w:r>
    </w:p>
    <w:p w14:paraId="0F08B4C0" w14:textId="34F68351" w:rsidR="004B52A3" w:rsidRDefault="00443835" w:rsidP="003375DD">
      <w:pPr>
        <w:pStyle w:val="SingleTxtG"/>
        <w:rPr>
          <w:b/>
          <w:bCs/>
          <w:lang w:val="en-US"/>
        </w:rPr>
      </w:pPr>
      <w:r w:rsidRPr="006438D0">
        <w:rPr>
          <w:b/>
          <w:bCs/>
          <w:lang w:val="en-US"/>
        </w:rPr>
        <w:t>Example of Section 14 of an SDS after ATP 15, which includes the required transport classification information</w:t>
      </w:r>
    </w:p>
    <w:p w14:paraId="7B38F825" w14:textId="648CC7CA" w:rsidR="00FD3328" w:rsidRPr="003375DD" w:rsidRDefault="00FD3328" w:rsidP="00FD3328">
      <w:pPr>
        <w:pStyle w:val="SingleTxtG"/>
        <w:jc w:val="center"/>
        <w:rPr>
          <w:b/>
          <w:bCs/>
          <w:lang w:val="en-US"/>
        </w:rPr>
      </w:pPr>
      <w:r>
        <w:rPr>
          <w:b/>
          <w:bCs/>
          <w:lang w:val="en-US"/>
        </w:rPr>
        <w:t>________________________</w:t>
      </w:r>
    </w:p>
    <w:sectPr w:rsidR="00FD3328" w:rsidRPr="003375DD" w:rsidSect="004B52A3">
      <w:headerReference w:type="even" r:id="rId32"/>
      <w:headerReference w:type="default" r:id="rId33"/>
      <w:footerReference w:type="even" r:id="rId34"/>
      <w:footerReference w:type="default" r:id="rId35"/>
      <w:footnotePr>
        <w:numRestart w:val="eachPage"/>
      </w:footnotePr>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D9FC4" w14:textId="77777777" w:rsidR="00CE37A0" w:rsidRPr="00C47B2E" w:rsidRDefault="00CE37A0" w:rsidP="00C47B2E">
      <w:pPr>
        <w:pStyle w:val="Footer"/>
      </w:pPr>
    </w:p>
  </w:endnote>
  <w:endnote w:type="continuationSeparator" w:id="0">
    <w:p w14:paraId="2E94DF75" w14:textId="77777777" w:rsidR="00CE37A0" w:rsidRPr="00C47B2E" w:rsidRDefault="00CE37A0" w:rsidP="00C47B2E">
      <w:pPr>
        <w:pStyle w:val="Footer"/>
      </w:pPr>
    </w:p>
  </w:endnote>
  <w:endnote w:type="continuationNotice" w:id="1">
    <w:p w14:paraId="53B73854" w14:textId="77777777" w:rsidR="00CE37A0" w:rsidRPr="00C47B2E" w:rsidRDefault="00CE37A0"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161214"/>
      <w:docPartObj>
        <w:docPartGallery w:val="Page Numbers (Bottom of Page)"/>
        <w:docPartUnique/>
      </w:docPartObj>
    </w:sdtPr>
    <w:sdtEndPr>
      <w:rPr>
        <w:noProof/>
      </w:rPr>
    </w:sdtEndPr>
    <w:sdtContent>
      <w:p w14:paraId="3C3D9CBA" w14:textId="2F25F977" w:rsidR="00D94B05" w:rsidRPr="00242783" w:rsidRDefault="00242783" w:rsidP="00242783">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93026"/>
      <w:docPartObj>
        <w:docPartGallery w:val="Page Numbers (Bottom of Page)"/>
        <w:docPartUnique/>
      </w:docPartObj>
    </w:sdtPr>
    <w:sdtEndPr>
      <w:rPr>
        <w:noProof/>
      </w:rPr>
    </w:sdtEndPr>
    <w:sdtContent>
      <w:p w14:paraId="3167B921" w14:textId="57ABD8AC" w:rsidR="00D94B05" w:rsidRPr="00CC2CFD" w:rsidRDefault="00CC2CFD" w:rsidP="00CC2C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0792" w14:textId="77777777" w:rsidR="00D94B05" w:rsidRPr="00764440" w:rsidRDefault="00E52109" w:rsidP="00764440">
    <w:pPr>
      <w:pStyle w:val="Footer"/>
      <w:rPr>
        <w:rFonts w:asciiTheme="majorBidi" w:hAnsiTheme="majorBidi" w:cstheme="majorBidi"/>
        <w:sz w:val="20"/>
      </w:rPr>
    </w:pPr>
    <w:r>
      <w:rPr>
        <w:noProof/>
        <w:lang w:val="fr-CH" w:eastAsia="fr-CH"/>
      </w:rPr>
      <w:drawing>
        <wp:anchor distT="0" distB="0" distL="114300" distR="114300" simplePos="0" relativeHeight="251658240" behindDoc="0" locked="1" layoutInCell="1" allowOverlap="1" wp14:anchorId="04C5262C" wp14:editId="1A560887">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EE1FA" w14:textId="4BA44465" w:rsidR="00C160E3" w:rsidRPr="00C160E3" w:rsidRDefault="00C160E3" w:rsidP="00C160E3">
    <w:pPr>
      <w:pStyle w:val="Footer"/>
    </w:pPr>
    <w:r>
      <w:rPr>
        <w:noProof/>
      </w:rPr>
      <mc:AlternateContent>
        <mc:Choice Requires="wps">
          <w:drawing>
            <wp:anchor distT="0" distB="0" distL="114300" distR="114300" simplePos="0" relativeHeight="251658242" behindDoc="0" locked="0" layoutInCell="1" allowOverlap="1" wp14:anchorId="77E0C3A2" wp14:editId="2C24CF65">
              <wp:simplePos x="0" y="0"/>
              <wp:positionH relativeFrom="margin">
                <wp:posOffset>-431800</wp:posOffset>
              </wp:positionH>
              <wp:positionV relativeFrom="margin">
                <wp:posOffset>0</wp:posOffset>
              </wp:positionV>
              <wp:extent cx="215900" cy="612013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EDC39DD" w14:textId="25598C6A" w:rsidR="00C160E3" w:rsidRPr="00D94B05" w:rsidRDefault="00DA6032" w:rsidP="00C160E3">
                          <w:pPr>
                            <w:pStyle w:val="Footer"/>
                            <w:tabs>
                              <w:tab w:val="right" w:pos="9639"/>
                            </w:tabs>
                          </w:pPr>
                          <w:r>
                            <w:t>8</w:t>
                          </w:r>
                        </w:p>
                        <w:p w14:paraId="6099B1D5" w14:textId="77777777" w:rsidR="00C160E3" w:rsidRDefault="00C160E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7E0C3A2" id="_x0000_t202" coordsize="21600,21600" o:spt="202" path="m,l,21600r21600,l21600,xe">
              <v:stroke joinstyle="miter"/>
              <v:path gradientshapeok="t" o:connecttype="rect"/>
            </v:shapetype>
            <v:shape id="Text Box 4" o:spid="_x0000_s1029"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1EDC39DD" w14:textId="25598C6A" w:rsidR="00C160E3" w:rsidRPr="00D94B05" w:rsidRDefault="00DA6032" w:rsidP="00C160E3">
                    <w:pPr>
                      <w:pStyle w:val="Footer"/>
                      <w:tabs>
                        <w:tab w:val="right" w:pos="9639"/>
                      </w:tabs>
                    </w:pPr>
                    <w:r>
                      <w:t>8</w:t>
                    </w:r>
                  </w:p>
                  <w:p w14:paraId="6099B1D5" w14:textId="77777777" w:rsidR="00C160E3" w:rsidRDefault="00C160E3"/>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27C2B" w14:textId="6BF10D9E" w:rsidR="00C160E3" w:rsidRPr="00C160E3" w:rsidRDefault="00C160E3" w:rsidP="00C160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D52D" w14:textId="3A076CED" w:rsidR="004B52A3" w:rsidRPr="004B52A3" w:rsidRDefault="004B52A3" w:rsidP="004B52A3">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12</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C05F" w14:textId="0A71DE7E" w:rsidR="004B52A3" w:rsidRPr="004B52A3" w:rsidRDefault="004B52A3" w:rsidP="004B52A3">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11</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86E63" w14:textId="77777777" w:rsidR="00CE37A0" w:rsidRPr="00C47B2E" w:rsidRDefault="00CE37A0" w:rsidP="00C47B2E">
      <w:pPr>
        <w:tabs>
          <w:tab w:val="right" w:pos="2155"/>
        </w:tabs>
        <w:spacing w:after="80" w:line="240" w:lineRule="auto"/>
        <w:ind w:left="680"/>
      </w:pPr>
      <w:r>
        <w:rPr>
          <w:u w:val="single"/>
        </w:rPr>
        <w:tab/>
      </w:r>
    </w:p>
  </w:footnote>
  <w:footnote w:type="continuationSeparator" w:id="0">
    <w:p w14:paraId="4E3D687E" w14:textId="77777777" w:rsidR="00CE37A0" w:rsidRPr="00C47B2E" w:rsidRDefault="00CE37A0" w:rsidP="005E716E">
      <w:pPr>
        <w:tabs>
          <w:tab w:val="right" w:pos="2155"/>
        </w:tabs>
        <w:spacing w:after="80" w:line="240" w:lineRule="auto"/>
        <w:ind w:left="680"/>
      </w:pPr>
      <w:r>
        <w:rPr>
          <w:u w:val="single"/>
        </w:rPr>
        <w:tab/>
      </w:r>
    </w:p>
  </w:footnote>
  <w:footnote w:type="continuationNotice" w:id="1">
    <w:p w14:paraId="06357DAE" w14:textId="77777777" w:rsidR="00CE37A0" w:rsidRPr="00C47B2E" w:rsidRDefault="00CE37A0" w:rsidP="00C47B2E">
      <w:pPr>
        <w:pStyle w:val="Footer"/>
      </w:pPr>
    </w:p>
  </w:footnote>
  <w:footnote w:id="2">
    <w:p w14:paraId="2501F04E" w14:textId="7659FD43" w:rsidR="00CA0772" w:rsidRPr="00CA0772" w:rsidRDefault="00CA0772" w:rsidP="00CA0772">
      <w:pPr>
        <w:pStyle w:val="FootnoteText"/>
        <w:widowControl w:val="0"/>
        <w:tabs>
          <w:tab w:val="clear" w:pos="1021"/>
          <w:tab w:val="right" w:pos="1020"/>
        </w:tabs>
        <w:suppressAutoHyphens/>
        <w:rPr>
          <w:lang w:val="fr-CH"/>
        </w:rPr>
      </w:pPr>
      <w:r>
        <w:tab/>
      </w:r>
      <w:r>
        <w:rPr>
          <w:rStyle w:val="FootnoteReference"/>
        </w:rPr>
        <w:footnoteRef/>
      </w:r>
      <w:r>
        <w:tab/>
      </w:r>
      <w:r w:rsidRPr="005B6AFF">
        <w:rPr>
          <w:szCs w:val="18"/>
          <w:lang w:val="en-US"/>
        </w:rPr>
        <w:t xml:space="preserve">WCC </w:t>
      </w:r>
      <w:r w:rsidRPr="005B6AFF">
        <w:rPr>
          <w:szCs w:val="18"/>
        </w:rPr>
        <w:t xml:space="preserve">members provided authorization to use the materials contained in this document for the purpose of the discussion at the Sixty-Fourth Session of the Sub-Committee of Experts on the Transport of Dangerous Goods. For reproduction permission and all other issues, please contact Rhett Cash at </w:t>
      </w:r>
      <w:hyperlink r:id="rId1" w:history="1">
        <w:r w:rsidRPr="005B6AFF">
          <w:rPr>
            <w:rStyle w:val="Hyperlink"/>
            <w:szCs w:val="18"/>
          </w:rPr>
          <w:t>rcash@paint.org</w:t>
        </w:r>
      </w:hyperlink>
      <w:r w:rsidRPr="005B6AFF">
        <w:rPr>
          <w:szCs w:val="18"/>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51B9" w14:textId="5EBDDAF3" w:rsidR="008E1F89" w:rsidRPr="00EA481D" w:rsidRDefault="00EA481D" w:rsidP="00AB3E22">
    <w:pPr>
      <w:pStyle w:val="Header"/>
      <w:jc w:val="right"/>
      <w:rPr>
        <w:lang w:val="fr-CH"/>
      </w:rPr>
    </w:pPr>
    <w:r>
      <w:rPr>
        <w:lang w:val="fr-CH"/>
      </w:rPr>
      <w:t>UN/SCETDG/</w:t>
    </w:r>
    <w:r w:rsidR="008358F6">
      <w:rPr>
        <w:lang w:val="fr-CH"/>
      </w:rPr>
      <w:t>64/</w:t>
    </w:r>
    <w:r>
      <w:rPr>
        <w:lang w:val="fr-CH"/>
      </w:rPr>
      <w:t>INF.7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6CF3" w14:textId="20CECC5C" w:rsidR="00D94B05" w:rsidRPr="00734128" w:rsidRDefault="00734128" w:rsidP="00734128">
    <w:pPr>
      <w:pStyle w:val="Header"/>
      <w:rPr>
        <w:lang w:val="fr-CH"/>
      </w:rPr>
    </w:pPr>
    <w:r>
      <w:rPr>
        <w:lang w:val="fr-CH"/>
      </w:rPr>
      <w:t>UN</w:t>
    </w:r>
    <w:r w:rsidR="00193F99">
      <w:rPr>
        <w:lang w:val="fr-CH"/>
      </w:rPr>
      <w:t>/SCETDG/64/INF.7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3B09" w14:textId="5AE6BCC8" w:rsidR="00C160E3" w:rsidRPr="00C160E3" w:rsidRDefault="00C160E3" w:rsidP="00C160E3">
    <w:r>
      <w:rPr>
        <w:noProof/>
      </w:rPr>
      <mc:AlternateContent>
        <mc:Choice Requires="wps">
          <w:drawing>
            <wp:anchor distT="0" distB="0" distL="114300" distR="114300" simplePos="0" relativeHeight="251658241" behindDoc="0" locked="0" layoutInCell="1" allowOverlap="1" wp14:anchorId="60E52670" wp14:editId="1CE4436A">
              <wp:simplePos x="0" y="0"/>
              <wp:positionH relativeFrom="page">
                <wp:posOffset>9935845</wp:posOffset>
              </wp:positionH>
              <wp:positionV relativeFrom="margin">
                <wp:posOffset>0</wp:posOffset>
              </wp:positionV>
              <wp:extent cx="215900" cy="61201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EBDEF9A" w14:textId="29FC9E8A" w:rsidR="00C160E3" w:rsidRDefault="00D43349" w:rsidP="00C160E3">
                          <w:pPr>
                            <w:pStyle w:val="Header"/>
                          </w:pPr>
                          <w:bookmarkStart w:id="0" w:name="_Hlk164265613"/>
                          <w:r>
                            <w:t>UN/SCETDG/INF.7</w:t>
                          </w:r>
                        </w:p>
                        <w:bookmarkEnd w:id="0"/>
                        <w:p w14:paraId="20A07AA6" w14:textId="77777777" w:rsidR="00C160E3" w:rsidRDefault="00C160E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0E52670" id="_x0000_t202" coordsize="21600,21600" o:spt="202" path="m,l,21600r21600,l21600,xe">
              <v:stroke joinstyle="miter"/>
              <v:path gradientshapeok="t" o:connecttype="rect"/>
            </v:shapetype>
            <v:shape id="Text Box 3" o:spid="_x0000_s1026"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EBDEF9A" w14:textId="29FC9E8A" w:rsidR="00C160E3" w:rsidRDefault="00D43349" w:rsidP="00C160E3">
                    <w:pPr>
                      <w:pStyle w:val="Header"/>
                    </w:pPr>
                    <w:bookmarkStart w:id="1" w:name="_Hlk164265613"/>
                    <w:r>
                      <w:t>UN/SCETDG/INF.7</w:t>
                    </w:r>
                  </w:p>
                  <w:bookmarkEnd w:id="1"/>
                  <w:p w14:paraId="20A07AA6" w14:textId="77777777" w:rsidR="00C160E3" w:rsidRDefault="00C160E3"/>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9CB7" w14:textId="7B1596AC" w:rsidR="00C160E3" w:rsidRPr="00935F72" w:rsidRDefault="009821F2" w:rsidP="00935F72">
    <w:r>
      <w:rPr>
        <w:noProof/>
      </w:rPr>
      <mc:AlternateContent>
        <mc:Choice Requires="wps">
          <w:drawing>
            <wp:anchor distT="0" distB="0" distL="114300" distR="114300" simplePos="0" relativeHeight="251660291" behindDoc="0" locked="0" layoutInCell="1" allowOverlap="1" wp14:anchorId="06423987" wp14:editId="35A59908">
              <wp:simplePos x="0" y="0"/>
              <wp:positionH relativeFrom="page">
                <wp:posOffset>9935845</wp:posOffset>
              </wp:positionH>
              <wp:positionV relativeFrom="margin">
                <wp:posOffset>0</wp:posOffset>
              </wp:positionV>
              <wp:extent cx="215900" cy="612013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CEDEEA9" w14:textId="77777777" w:rsidR="009821F2" w:rsidRDefault="009821F2" w:rsidP="009821F2">
                          <w:pPr>
                            <w:pStyle w:val="Header"/>
                            <w:jc w:val="right"/>
                          </w:pPr>
                          <w:r>
                            <w:t>UN/SCETDG/INF.7</w:t>
                          </w:r>
                        </w:p>
                        <w:p w14:paraId="4EE9D177" w14:textId="77777777" w:rsidR="009821F2" w:rsidRDefault="009821F2" w:rsidP="009821F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6423987" id="_x0000_t202" coordsize="21600,21600" o:spt="202" path="m,l,21600r21600,l21600,xe">
              <v:stroke joinstyle="miter"/>
              <v:path gradientshapeok="t" o:connecttype="rect"/>
            </v:shapetype>
            <v:shape id="Text Box 1" o:spid="_x0000_s1027" type="#_x0000_t202" style="position:absolute;margin-left:782.35pt;margin-top:0;width:17pt;height:481.9pt;z-index:25166029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7CEDEEA9" w14:textId="77777777" w:rsidR="009821F2" w:rsidRDefault="009821F2" w:rsidP="009821F2">
                    <w:pPr>
                      <w:pStyle w:val="Header"/>
                      <w:jc w:val="right"/>
                    </w:pPr>
                    <w:r>
                      <w:t>UN/SCETDG/INF.7</w:t>
                    </w:r>
                  </w:p>
                  <w:p w14:paraId="4EE9D177" w14:textId="77777777" w:rsidR="009821F2" w:rsidRDefault="009821F2" w:rsidP="009821F2"/>
                </w:txbxContent>
              </v:textbox>
              <w10:wrap anchorx="page" anchory="margin"/>
            </v:shape>
          </w:pict>
        </mc:Fallback>
      </mc:AlternateContent>
    </w:r>
    <w:r w:rsidR="00A10309">
      <w:rPr>
        <w:noProof/>
      </w:rPr>
      <mc:AlternateContent>
        <mc:Choice Requires="wps">
          <w:drawing>
            <wp:anchor distT="0" distB="0" distL="114300" distR="114300" simplePos="0" relativeHeight="251658243" behindDoc="0" locked="0" layoutInCell="1" allowOverlap="1" wp14:anchorId="1A07FBAF" wp14:editId="07A23C1C">
              <wp:simplePos x="0" y="0"/>
              <wp:positionH relativeFrom="margin">
                <wp:posOffset>-342900</wp:posOffset>
              </wp:positionH>
              <wp:positionV relativeFrom="margin">
                <wp:align>top</wp:align>
              </wp:positionV>
              <wp:extent cx="215900" cy="612013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3A7FE99" w14:textId="392E33E6" w:rsidR="00C160E3" w:rsidRPr="000B76FA" w:rsidRDefault="000B76FA" w:rsidP="000B76FA">
                          <w:pPr>
                            <w:pStyle w:val="Footer"/>
                            <w:tabs>
                              <w:tab w:val="right" w:pos="9639"/>
                            </w:tabs>
                            <w:jc w:val="right"/>
                            <w:rPr>
                              <w:bCs/>
                              <w:sz w:val="20"/>
                              <w:lang w:val="fr-CH"/>
                            </w:rPr>
                          </w:pPr>
                          <w:r>
                            <w:rPr>
                              <w:bCs/>
                              <w:sz w:val="20"/>
                              <w:lang w:val="fr-CH"/>
                            </w:rPr>
                            <w:t>9</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1A07FBAF" id="Text Box 6" o:spid="_x0000_s1028" type="#_x0000_t202" style="position:absolute;margin-left:-27pt;margin-top:0;width:17pt;height:481.9pt;z-index:251658243;visibility:visible;mso-wrap-style:square;mso-wrap-distance-left:9pt;mso-wrap-distance-top:0;mso-wrap-distance-right:9pt;mso-wrap-distance-bottom:0;mso-position-horizontal:absolute;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" fillcolor="#4f81bd [3204]" stroked="f" strokeweight=".5pt">
              <v:fill opacity="0"/>
              <v:stroke joinstyle="round"/>
              <v:textbox style="layout-flow:vertical" inset="0,0,0,0">
                <w:txbxContent>
                  <w:p w14:paraId="73A7FE99" w14:textId="392E33E6" w:rsidR="00C160E3" w:rsidRPr="000B76FA" w:rsidRDefault="000B76FA" w:rsidP="000B76FA">
                    <w:pPr>
                      <w:pStyle w:val="Footer"/>
                      <w:tabs>
                        <w:tab w:val="right" w:pos="9639"/>
                      </w:tabs>
                      <w:jc w:val="right"/>
                      <w:rPr>
                        <w:bCs/>
                        <w:sz w:val="20"/>
                        <w:lang w:val="fr-CH"/>
                      </w:rPr>
                    </w:pPr>
                    <w:r>
                      <w:rPr>
                        <w:bCs/>
                        <w:sz w:val="20"/>
                        <w:lang w:val="fr-CH"/>
                      </w:rPr>
                      <w:t>9</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1B78" w14:textId="4A9B6251" w:rsidR="004B52A3" w:rsidRPr="004B52A3" w:rsidRDefault="00FD3328" w:rsidP="004B52A3">
    <w:pPr>
      <w:pStyle w:val="Header"/>
    </w:pPr>
    <w:r>
      <w:fldChar w:fldCharType="begin"/>
    </w:r>
    <w:r>
      <w:instrText xml:space="preserve"> TITLE  \* MERGEFORMAT </w:instrText>
    </w:r>
    <w:r>
      <w:fldChar w:fldCharType="separate"/>
    </w:r>
    <w:r w:rsidR="004B52A3">
      <w:t>UN/SCETDG/INF.7</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A127" w14:textId="57AF117A" w:rsidR="004B52A3" w:rsidRPr="004B52A3" w:rsidRDefault="00FD3328" w:rsidP="004B52A3">
    <w:pPr>
      <w:pStyle w:val="Header"/>
      <w:jc w:val="right"/>
    </w:pPr>
    <w:r>
      <w:fldChar w:fldCharType="begin"/>
    </w:r>
    <w:r>
      <w:instrText xml:space="preserve"> TITLE  \* MERGEFORMAT </w:instrText>
    </w:r>
    <w:r>
      <w:fldChar w:fldCharType="separate"/>
    </w:r>
    <w:r w:rsidR="004B52A3">
      <w:t>UN/SCETDG/INF.7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61438DB"/>
    <w:multiLevelType w:val="hybridMultilevel"/>
    <w:tmpl w:val="0048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E4C93"/>
    <w:multiLevelType w:val="hybridMultilevel"/>
    <w:tmpl w:val="CDF2627C"/>
    <w:lvl w:ilvl="0" w:tplc="FFFFFFFF">
      <w:start w:val="1"/>
      <w:numFmt w:val="bullet"/>
      <w:lvlText w:val=""/>
      <w:lvlJc w:val="left"/>
      <w:pPr>
        <w:ind w:left="720" w:hanging="360"/>
      </w:pPr>
      <w:rPr>
        <w:rFonts w:ascii="Symbol" w:hAnsi="Symbol" w:hint="default"/>
      </w:rPr>
    </w:lvl>
    <w:lvl w:ilvl="1" w:tplc="F4421354">
      <w:start w:val="1"/>
      <w:numFmt w:val="bullet"/>
      <w:lvlText w:val="o"/>
      <w:lvlJc w:val="left"/>
      <w:pPr>
        <w:ind w:left="1440" w:hanging="360"/>
      </w:pPr>
      <w:rPr>
        <w:rFonts w:ascii="Courier New" w:hAnsi="Courier New" w:hint="default"/>
      </w:rPr>
    </w:lvl>
    <w:lvl w:ilvl="2" w:tplc="DC7E7784">
      <w:start w:val="1"/>
      <w:numFmt w:val="bullet"/>
      <w:lvlText w:val=""/>
      <w:lvlJc w:val="left"/>
      <w:pPr>
        <w:ind w:left="2160" w:hanging="360"/>
      </w:pPr>
      <w:rPr>
        <w:rFonts w:ascii="Wingdings" w:hAnsi="Wingdings" w:hint="default"/>
      </w:rPr>
    </w:lvl>
    <w:lvl w:ilvl="3" w:tplc="67629E74">
      <w:start w:val="1"/>
      <w:numFmt w:val="bullet"/>
      <w:lvlText w:val=""/>
      <w:lvlJc w:val="left"/>
      <w:pPr>
        <w:ind w:left="2880" w:hanging="360"/>
      </w:pPr>
      <w:rPr>
        <w:rFonts w:ascii="Symbol" w:hAnsi="Symbol" w:hint="default"/>
      </w:rPr>
    </w:lvl>
    <w:lvl w:ilvl="4" w:tplc="5B30A016">
      <w:start w:val="1"/>
      <w:numFmt w:val="bullet"/>
      <w:lvlText w:val="o"/>
      <w:lvlJc w:val="left"/>
      <w:pPr>
        <w:ind w:left="3600" w:hanging="360"/>
      </w:pPr>
      <w:rPr>
        <w:rFonts w:ascii="Courier New" w:hAnsi="Courier New" w:hint="default"/>
      </w:rPr>
    </w:lvl>
    <w:lvl w:ilvl="5" w:tplc="DC8A3642">
      <w:start w:val="1"/>
      <w:numFmt w:val="bullet"/>
      <w:lvlText w:val=""/>
      <w:lvlJc w:val="left"/>
      <w:pPr>
        <w:ind w:left="4320" w:hanging="360"/>
      </w:pPr>
      <w:rPr>
        <w:rFonts w:ascii="Wingdings" w:hAnsi="Wingdings" w:hint="default"/>
      </w:rPr>
    </w:lvl>
    <w:lvl w:ilvl="6" w:tplc="100E4482">
      <w:start w:val="1"/>
      <w:numFmt w:val="bullet"/>
      <w:lvlText w:val=""/>
      <w:lvlJc w:val="left"/>
      <w:pPr>
        <w:ind w:left="5040" w:hanging="360"/>
      </w:pPr>
      <w:rPr>
        <w:rFonts w:ascii="Symbol" w:hAnsi="Symbol" w:hint="default"/>
      </w:rPr>
    </w:lvl>
    <w:lvl w:ilvl="7" w:tplc="A5C4E304">
      <w:start w:val="1"/>
      <w:numFmt w:val="bullet"/>
      <w:lvlText w:val="o"/>
      <w:lvlJc w:val="left"/>
      <w:pPr>
        <w:ind w:left="5760" w:hanging="360"/>
      </w:pPr>
      <w:rPr>
        <w:rFonts w:ascii="Courier New" w:hAnsi="Courier New" w:hint="default"/>
      </w:rPr>
    </w:lvl>
    <w:lvl w:ilvl="8" w:tplc="CE2CF4AE">
      <w:start w:val="1"/>
      <w:numFmt w:val="bullet"/>
      <w:lvlText w:val=""/>
      <w:lvlJc w:val="left"/>
      <w:pPr>
        <w:ind w:left="6480" w:hanging="360"/>
      </w:pPr>
      <w:rPr>
        <w:rFonts w:ascii="Wingdings" w:hAnsi="Wingdings" w:hint="default"/>
      </w:rPr>
    </w:lvl>
  </w:abstractNum>
  <w:abstractNum w:abstractNumId="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4E6767"/>
    <w:multiLevelType w:val="multilevel"/>
    <w:tmpl w:val="4A5E5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80C1564"/>
    <w:multiLevelType w:val="hybridMultilevel"/>
    <w:tmpl w:val="F8044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B15E33"/>
    <w:multiLevelType w:val="hybridMultilevel"/>
    <w:tmpl w:val="9A46E68C"/>
    <w:lvl w:ilvl="0" w:tplc="0D18D45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2B4D91"/>
    <w:multiLevelType w:val="hybridMultilevel"/>
    <w:tmpl w:val="BC42AF54"/>
    <w:lvl w:ilvl="0" w:tplc="B072B736">
      <w:start w:val="1"/>
      <w:numFmt w:val="decimal"/>
      <w:lvlText w:val="%1."/>
      <w:lvlJc w:val="left"/>
      <w:pPr>
        <w:ind w:left="720" w:hanging="360"/>
      </w:pPr>
      <w:rPr>
        <w:b w:val="0"/>
        <w:b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50D69"/>
    <w:multiLevelType w:val="hybridMultilevel"/>
    <w:tmpl w:val="F0C6691A"/>
    <w:lvl w:ilvl="0" w:tplc="9F38A5E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AB3E51"/>
    <w:multiLevelType w:val="hybridMultilevel"/>
    <w:tmpl w:val="2F227F7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E8211B"/>
    <w:multiLevelType w:val="hybridMultilevel"/>
    <w:tmpl w:val="945899D8"/>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ED10993"/>
    <w:multiLevelType w:val="hybridMultilevel"/>
    <w:tmpl w:val="C8A29360"/>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16172172">
    <w:abstractNumId w:val="10"/>
  </w:num>
  <w:num w:numId="2" w16cid:durableId="1073159890">
    <w:abstractNumId w:val="6"/>
  </w:num>
  <w:num w:numId="3" w16cid:durableId="551188904">
    <w:abstractNumId w:val="0"/>
  </w:num>
  <w:num w:numId="4" w16cid:durableId="44254624">
    <w:abstractNumId w:val="14"/>
  </w:num>
  <w:num w:numId="5" w16cid:durableId="1816027029">
    <w:abstractNumId w:val="15"/>
  </w:num>
  <w:num w:numId="6" w16cid:durableId="1836190579">
    <w:abstractNumId w:val="19"/>
  </w:num>
  <w:num w:numId="7" w16cid:durableId="634676252">
    <w:abstractNumId w:val="3"/>
  </w:num>
  <w:num w:numId="8" w16cid:durableId="1039166836">
    <w:abstractNumId w:val="1"/>
  </w:num>
  <w:num w:numId="9" w16cid:durableId="644969981">
    <w:abstractNumId w:val="16"/>
  </w:num>
  <w:num w:numId="10" w16cid:durableId="525103391">
    <w:abstractNumId w:val="1"/>
  </w:num>
  <w:num w:numId="11" w16cid:durableId="297342166">
    <w:abstractNumId w:val="16"/>
  </w:num>
  <w:num w:numId="12" w16cid:durableId="1280380300">
    <w:abstractNumId w:val="2"/>
  </w:num>
  <w:num w:numId="13" w16cid:durableId="1988699530">
    <w:abstractNumId w:val="2"/>
  </w:num>
  <w:num w:numId="14" w16cid:durableId="426193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9971610">
    <w:abstractNumId w:val="11"/>
  </w:num>
  <w:num w:numId="16" w16cid:durableId="1387602414">
    <w:abstractNumId w:val="9"/>
  </w:num>
  <w:num w:numId="17" w16cid:durableId="1699890885">
    <w:abstractNumId w:val="13"/>
  </w:num>
  <w:num w:numId="18" w16cid:durableId="851533319">
    <w:abstractNumId w:val="18"/>
  </w:num>
  <w:num w:numId="19" w16cid:durableId="1968929106">
    <w:abstractNumId w:val="17"/>
  </w:num>
  <w:num w:numId="20" w16cid:durableId="1846431361">
    <w:abstractNumId w:val="12"/>
  </w:num>
  <w:num w:numId="21" w16cid:durableId="1991447815">
    <w:abstractNumId w:val="4"/>
  </w:num>
  <w:num w:numId="22" w16cid:durableId="720206580">
    <w:abstractNumId w:val="5"/>
  </w:num>
  <w:num w:numId="23" w16cid:durableId="8215086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BA4"/>
    <w:rsid w:val="00024263"/>
    <w:rsid w:val="00046E92"/>
    <w:rsid w:val="000551C1"/>
    <w:rsid w:val="00063C90"/>
    <w:rsid w:val="00070000"/>
    <w:rsid w:val="000B76FA"/>
    <w:rsid w:val="00101B98"/>
    <w:rsid w:val="0012033B"/>
    <w:rsid w:val="00122539"/>
    <w:rsid w:val="001514D1"/>
    <w:rsid w:val="00193F99"/>
    <w:rsid w:val="00220E23"/>
    <w:rsid w:val="00242783"/>
    <w:rsid w:val="00247E2C"/>
    <w:rsid w:val="00265BE0"/>
    <w:rsid w:val="00285864"/>
    <w:rsid w:val="0029148E"/>
    <w:rsid w:val="002A32CB"/>
    <w:rsid w:val="002D5B2C"/>
    <w:rsid w:val="002D6C53"/>
    <w:rsid w:val="002F5595"/>
    <w:rsid w:val="002F586A"/>
    <w:rsid w:val="00322279"/>
    <w:rsid w:val="00334F6A"/>
    <w:rsid w:val="003375DD"/>
    <w:rsid w:val="00342AC8"/>
    <w:rsid w:val="00343302"/>
    <w:rsid w:val="00370F68"/>
    <w:rsid w:val="003741C6"/>
    <w:rsid w:val="003979DE"/>
    <w:rsid w:val="003A3DDC"/>
    <w:rsid w:val="003B1248"/>
    <w:rsid w:val="003B4550"/>
    <w:rsid w:val="003D2A18"/>
    <w:rsid w:val="00413386"/>
    <w:rsid w:val="00443835"/>
    <w:rsid w:val="00461253"/>
    <w:rsid w:val="004858F5"/>
    <w:rsid w:val="004A2814"/>
    <w:rsid w:val="004A6AE6"/>
    <w:rsid w:val="004B52A3"/>
    <w:rsid w:val="004C0622"/>
    <w:rsid w:val="004E6FEB"/>
    <w:rsid w:val="004F73D0"/>
    <w:rsid w:val="005042C2"/>
    <w:rsid w:val="0058586B"/>
    <w:rsid w:val="005E716E"/>
    <w:rsid w:val="005F6C84"/>
    <w:rsid w:val="006437B7"/>
    <w:rsid w:val="006438D0"/>
    <w:rsid w:val="006476E1"/>
    <w:rsid w:val="006604DF"/>
    <w:rsid w:val="00671529"/>
    <w:rsid w:val="00680CA8"/>
    <w:rsid w:val="006C7245"/>
    <w:rsid w:val="006F1EF5"/>
    <w:rsid w:val="0070489D"/>
    <w:rsid w:val="007200A1"/>
    <w:rsid w:val="007268F9"/>
    <w:rsid w:val="00734128"/>
    <w:rsid w:val="00750282"/>
    <w:rsid w:val="00764440"/>
    <w:rsid w:val="0077101B"/>
    <w:rsid w:val="00792001"/>
    <w:rsid w:val="007C52B0"/>
    <w:rsid w:val="007C6033"/>
    <w:rsid w:val="008147C8"/>
    <w:rsid w:val="0081753A"/>
    <w:rsid w:val="008358F6"/>
    <w:rsid w:val="00845A8A"/>
    <w:rsid w:val="00857D23"/>
    <w:rsid w:val="00866F99"/>
    <w:rsid w:val="00872881"/>
    <w:rsid w:val="00882019"/>
    <w:rsid w:val="00887C6C"/>
    <w:rsid w:val="008E1F89"/>
    <w:rsid w:val="00935F72"/>
    <w:rsid w:val="009411B4"/>
    <w:rsid w:val="00946F1D"/>
    <w:rsid w:val="009805AC"/>
    <w:rsid w:val="009821F2"/>
    <w:rsid w:val="009A0A7F"/>
    <w:rsid w:val="009C4807"/>
    <w:rsid w:val="009D0139"/>
    <w:rsid w:val="009D717D"/>
    <w:rsid w:val="009F47C6"/>
    <w:rsid w:val="009F5CDC"/>
    <w:rsid w:val="00A072D7"/>
    <w:rsid w:val="00A10309"/>
    <w:rsid w:val="00A34732"/>
    <w:rsid w:val="00A73228"/>
    <w:rsid w:val="00A775CF"/>
    <w:rsid w:val="00AA6828"/>
    <w:rsid w:val="00AB3E22"/>
    <w:rsid w:val="00AD1A9C"/>
    <w:rsid w:val="00AE1BA4"/>
    <w:rsid w:val="00AF5DE1"/>
    <w:rsid w:val="00B06045"/>
    <w:rsid w:val="00B1160D"/>
    <w:rsid w:val="00B206DD"/>
    <w:rsid w:val="00B40DC9"/>
    <w:rsid w:val="00B52EF4"/>
    <w:rsid w:val="00B75794"/>
    <w:rsid w:val="00B777AD"/>
    <w:rsid w:val="00B77AFA"/>
    <w:rsid w:val="00BB0E1C"/>
    <w:rsid w:val="00BE3CC1"/>
    <w:rsid w:val="00C03015"/>
    <w:rsid w:val="00C0358D"/>
    <w:rsid w:val="00C160E3"/>
    <w:rsid w:val="00C21843"/>
    <w:rsid w:val="00C35A27"/>
    <w:rsid w:val="00C44E5F"/>
    <w:rsid w:val="00C47B2E"/>
    <w:rsid w:val="00CA0772"/>
    <w:rsid w:val="00CC2CFD"/>
    <w:rsid w:val="00CE37A0"/>
    <w:rsid w:val="00D100C6"/>
    <w:rsid w:val="00D2475F"/>
    <w:rsid w:val="00D43349"/>
    <w:rsid w:val="00D63CD2"/>
    <w:rsid w:val="00D813D9"/>
    <w:rsid w:val="00D85308"/>
    <w:rsid w:val="00D87A28"/>
    <w:rsid w:val="00D87DC2"/>
    <w:rsid w:val="00D93887"/>
    <w:rsid w:val="00D94B05"/>
    <w:rsid w:val="00D97D78"/>
    <w:rsid w:val="00DA6032"/>
    <w:rsid w:val="00DC7379"/>
    <w:rsid w:val="00DE57B4"/>
    <w:rsid w:val="00DF6C2D"/>
    <w:rsid w:val="00E02C2B"/>
    <w:rsid w:val="00E21C27"/>
    <w:rsid w:val="00E26BCF"/>
    <w:rsid w:val="00E52109"/>
    <w:rsid w:val="00E7028E"/>
    <w:rsid w:val="00E75317"/>
    <w:rsid w:val="00EA481D"/>
    <w:rsid w:val="00EC0CE6"/>
    <w:rsid w:val="00EC7C1D"/>
    <w:rsid w:val="00ED2BA8"/>
    <w:rsid w:val="00ED6C48"/>
    <w:rsid w:val="00EE3045"/>
    <w:rsid w:val="00F26186"/>
    <w:rsid w:val="00F45E55"/>
    <w:rsid w:val="00F65F5D"/>
    <w:rsid w:val="00F86A3A"/>
    <w:rsid w:val="00FA04B4"/>
    <w:rsid w:val="00FA42DA"/>
    <w:rsid w:val="00FD3328"/>
    <w:rsid w:val="00FE2AC5"/>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B2D3C"/>
  <w15:docId w15:val="{BF0AA509-15EA-48DE-9EC8-370CC357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379"/>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4A2814"/>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qFormat/>
    <w:rsid w:val="004A2814"/>
    <w:pPr>
      <w:tabs>
        <w:tab w:val="left" w:pos="1701"/>
        <w:tab w:val="left" w:pos="2268"/>
        <w:tab w:val="left" w:pos="2835"/>
      </w:tabs>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Normal"/>
    <w:qFormat/>
    <w:rsid w:val="00FA42DA"/>
    <w:pPr>
      <w:numPr>
        <w:numId w:val="13"/>
      </w:numPr>
      <w:tabs>
        <w:tab w:val="left" w:pos="1701"/>
        <w:tab w:val="left" w:pos="2268"/>
        <w:tab w:val="left" w:pos="2835"/>
      </w:tabs>
      <w:spacing w:after="120"/>
      <w:ind w:right="1134"/>
      <w:jc w:val="both"/>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uiPriority w:val="99"/>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rsid w:val="00DC7379"/>
    <w:rPr>
      <w:sz w:val="18"/>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uiPriority w:val="99"/>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uiPriority w:val="99"/>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uiPriority w:val="39"/>
    <w:rsid w:val="004A2814"/>
    <w:pPr>
      <w:suppressAutoHyphens/>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ph">
    <w:name w:val="List Paragraph"/>
    <w:basedOn w:val="Normal"/>
    <w:uiPriority w:val="34"/>
    <w:qFormat/>
    <w:rsid w:val="005F6C84"/>
    <w:pPr>
      <w:suppressAutoHyphens/>
      <w:ind w:left="720"/>
    </w:pPr>
    <w:rPr>
      <w:rFonts w:eastAsia="Times New Roman"/>
      <w:lang w:eastAsia="en-US"/>
    </w:rPr>
  </w:style>
  <w:style w:type="paragraph" w:styleId="CommentText">
    <w:name w:val="annotation text"/>
    <w:basedOn w:val="Normal"/>
    <w:link w:val="CommentTextChar"/>
    <w:semiHidden/>
    <w:rsid w:val="005F6C84"/>
    <w:pPr>
      <w:suppressAutoHyphens/>
    </w:pPr>
    <w:rPr>
      <w:rFonts w:eastAsia="Times New Roman"/>
      <w:lang w:val="x-none" w:eastAsia="en-US"/>
    </w:rPr>
  </w:style>
  <w:style w:type="character" w:customStyle="1" w:styleId="CommentTextChar">
    <w:name w:val="Comment Text Char"/>
    <w:basedOn w:val="DefaultParagraphFont"/>
    <w:link w:val="CommentText"/>
    <w:semiHidden/>
    <w:rsid w:val="005F6C84"/>
    <w:rPr>
      <w:rFonts w:eastAsia="Times New Roman"/>
      <w:lang w:val="x-none" w:eastAsia="en-US"/>
    </w:rPr>
  </w:style>
  <w:style w:type="paragraph" w:styleId="NoSpacing">
    <w:name w:val="No Spacing"/>
    <w:uiPriority w:val="1"/>
    <w:qFormat/>
    <w:rsid w:val="005F6C84"/>
    <w:pPr>
      <w:suppressAutoHyphens/>
      <w:spacing w:line="240" w:lineRule="auto"/>
    </w:pPr>
    <w:rPr>
      <w:rFonts w:eastAsia="Times New Roman"/>
      <w:lang w:eastAsia="en-US"/>
    </w:rPr>
  </w:style>
  <w:style w:type="paragraph" w:styleId="Revision">
    <w:name w:val="Revision"/>
    <w:hidden/>
    <w:uiPriority w:val="99"/>
    <w:semiHidden/>
    <w:rsid w:val="00CA0772"/>
    <w:pPr>
      <w:spacing w:line="240" w:lineRule="auto"/>
    </w:pPr>
  </w:style>
  <w:style w:type="paragraph" w:styleId="CommentSubject">
    <w:name w:val="annotation subject"/>
    <w:basedOn w:val="CommentText"/>
    <w:next w:val="CommentText"/>
    <w:link w:val="CommentSubjectChar"/>
    <w:uiPriority w:val="99"/>
    <w:semiHidden/>
    <w:unhideWhenUsed/>
    <w:rsid w:val="00C21843"/>
    <w:pPr>
      <w:spacing w:line="240" w:lineRule="auto"/>
    </w:pPr>
    <w:rPr>
      <w:b/>
      <w:bCs/>
      <w:lang w:val="en-GB"/>
    </w:rPr>
  </w:style>
  <w:style w:type="character" w:customStyle="1" w:styleId="CommentSubjectChar">
    <w:name w:val="Comment Subject Char"/>
    <w:basedOn w:val="CommentTextChar"/>
    <w:link w:val="CommentSubject"/>
    <w:uiPriority w:val="99"/>
    <w:semiHidden/>
    <w:rsid w:val="00C21843"/>
    <w:rPr>
      <w:rFonts w:eastAsia="Times New Roman"/>
      <w:b/>
      <w:bCs/>
      <w:lang w:val="x-none" w:eastAsia="en-US"/>
    </w:rPr>
  </w:style>
  <w:style w:type="paragraph" w:styleId="Caption">
    <w:name w:val="caption"/>
    <w:basedOn w:val="Normal"/>
    <w:next w:val="Normal"/>
    <w:uiPriority w:val="35"/>
    <w:unhideWhenUsed/>
    <w:qFormat/>
    <w:rsid w:val="00443835"/>
    <w:pPr>
      <w:spacing w:after="200" w:line="240" w:lineRule="auto"/>
    </w:pPr>
    <w:rPr>
      <w:rFonts w:ascii="Arial" w:eastAsiaTheme="minorHAnsi" w:hAnsi="Arial" w:cs="Arial"/>
      <w:i/>
      <w:iCs/>
      <w:color w:val="1F497D" w:themeColor="text2"/>
      <w:sz w:val="18"/>
      <w:szCs w:val="18"/>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mailto:rcash@paint.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CA-GARCIA\United%20Nations\UNOG_DCM-Macros%20-%20UNECE\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Romain Hubert</DisplayName>
        <AccountId>40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C699A-3081-464D-8175-18FB791049CF}">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2.xml><?xml version="1.0" encoding="utf-8"?>
<ds:datastoreItem xmlns:ds="http://schemas.openxmlformats.org/officeDocument/2006/customXml" ds:itemID="{0E96D6C7-A69F-4CC1-9C48-E5514C6CF912}">
  <ds:schemaRefs>
    <ds:schemaRef ds:uri="http://schemas.microsoft.com/sharepoint/v3/contenttype/forms"/>
  </ds:schemaRefs>
</ds:datastoreItem>
</file>

<file path=customXml/itemProps3.xml><?xml version="1.0" encoding="utf-8"?>
<ds:datastoreItem xmlns:ds="http://schemas.openxmlformats.org/officeDocument/2006/customXml" ds:itemID="{B9385C85-84E7-4D4C-8E4F-5D69D78F1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SGAC10_E.dotm</Template>
  <TotalTime>111</TotalTime>
  <Pages>14</Pages>
  <Words>2538</Words>
  <Characters>14467</Characters>
  <Application>Microsoft Office Word</Application>
  <DocSecurity>0</DocSecurity>
  <Lines>120</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UN/SCETDG/INF.7</vt:lpstr>
      <vt:lpstr/>
    </vt:vector>
  </TitlesOfParts>
  <Company/>
  <LinksUpToDate>false</LinksUpToDate>
  <CharactersWithSpaces>16972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UN/SCETDG/INF.7</dc:title>
  <dc:subject/>
  <dc:creator>Alicia DORCA-GARCIA</dc:creator>
  <cp:lastModifiedBy>Final Romain Hubert</cp:lastModifiedBy>
  <cp:revision>70</cp:revision>
  <dcterms:created xsi:type="dcterms:W3CDTF">2024-04-17T13:08:00Z</dcterms:created>
  <dcterms:modified xsi:type="dcterms:W3CDTF">2024-04-18T14:20:00Z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