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264B5DD" w14:textId="77777777" w:rsidTr="00F01738">
        <w:trPr>
          <w:trHeight w:hRule="exact" w:val="851"/>
        </w:trPr>
        <w:tc>
          <w:tcPr>
            <w:tcW w:w="1276" w:type="dxa"/>
            <w:tcBorders>
              <w:bottom w:val="single" w:sz="4" w:space="0" w:color="auto"/>
            </w:tcBorders>
          </w:tcPr>
          <w:p w14:paraId="0A3640E7" w14:textId="77777777" w:rsidR="00132EA9" w:rsidRPr="00DB58B5" w:rsidRDefault="00132EA9" w:rsidP="00807D27"/>
        </w:tc>
        <w:tc>
          <w:tcPr>
            <w:tcW w:w="2268" w:type="dxa"/>
            <w:tcBorders>
              <w:bottom w:val="single" w:sz="4" w:space="0" w:color="auto"/>
            </w:tcBorders>
            <w:vAlign w:val="bottom"/>
          </w:tcPr>
          <w:p w14:paraId="5E64971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051789" w14:textId="4341350E" w:rsidR="00132EA9" w:rsidRPr="00DB58B5" w:rsidRDefault="00807D27" w:rsidP="00807D27">
            <w:pPr>
              <w:jc w:val="right"/>
            </w:pPr>
            <w:r w:rsidRPr="00807D27">
              <w:rPr>
                <w:sz w:val="40"/>
              </w:rPr>
              <w:t>ST</w:t>
            </w:r>
            <w:r>
              <w:t>/SG/AC.10/C.3/2024/37</w:t>
            </w:r>
          </w:p>
        </w:tc>
      </w:tr>
      <w:tr w:rsidR="00132EA9" w:rsidRPr="00DB58B5" w14:paraId="29695700" w14:textId="77777777" w:rsidTr="00F01738">
        <w:trPr>
          <w:trHeight w:hRule="exact" w:val="2835"/>
        </w:trPr>
        <w:tc>
          <w:tcPr>
            <w:tcW w:w="1276" w:type="dxa"/>
            <w:tcBorders>
              <w:top w:val="single" w:sz="4" w:space="0" w:color="auto"/>
              <w:bottom w:val="single" w:sz="12" w:space="0" w:color="auto"/>
            </w:tcBorders>
          </w:tcPr>
          <w:p w14:paraId="4CA1C9FC" w14:textId="77777777" w:rsidR="00132EA9" w:rsidRPr="00DB58B5" w:rsidRDefault="00132EA9" w:rsidP="00F01738">
            <w:pPr>
              <w:spacing w:before="120"/>
              <w:jc w:val="center"/>
            </w:pPr>
            <w:r>
              <w:rPr>
                <w:noProof/>
                <w:lang w:eastAsia="fr-CH"/>
              </w:rPr>
              <w:drawing>
                <wp:inline distT="0" distB="0" distL="0" distR="0" wp14:anchorId="0535795D" wp14:editId="6F7D9F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CE953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265B29A" w14:textId="77777777" w:rsidR="00132EA9" w:rsidRDefault="00807D27" w:rsidP="00F01738">
            <w:pPr>
              <w:spacing w:before="240"/>
            </w:pPr>
            <w:proofErr w:type="spellStart"/>
            <w:r>
              <w:t>Distr</w:t>
            </w:r>
            <w:proofErr w:type="spellEnd"/>
            <w:r>
              <w:t>. générale</w:t>
            </w:r>
          </w:p>
          <w:p w14:paraId="126FFF52" w14:textId="77777777" w:rsidR="00807D27" w:rsidRDefault="00807D27" w:rsidP="00807D27">
            <w:pPr>
              <w:spacing w:line="240" w:lineRule="exact"/>
            </w:pPr>
            <w:r>
              <w:t>12 avril 2024</w:t>
            </w:r>
          </w:p>
          <w:p w14:paraId="791FF5AB" w14:textId="77777777" w:rsidR="00807D27" w:rsidRDefault="00807D27" w:rsidP="00807D27">
            <w:pPr>
              <w:spacing w:line="240" w:lineRule="exact"/>
            </w:pPr>
            <w:r>
              <w:t>Français</w:t>
            </w:r>
          </w:p>
          <w:p w14:paraId="113E9867" w14:textId="3177D7DD" w:rsidR="00807D27" w:rsidRPr="00DB58B5" w:rsidRDefault="00807D27" w:rsidP="00807D27">
            <w:pPr>
              <w:spacing w:line="240" w:lineRule="exact"/>
            </w:pPr>
            <w:r>
              <w:t>Original : anglais</w:t>
            </w:r>
          </w:p>
        </w:tc>
      </w:tr>
    </w:tbl>
    <w:p w14:paraId="7239AF7C" w14:textId="77777777" w:rsidR="00807D27" w:rsidRPr="00CA0680" w:rsidRDefault="00807D2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2A0E1D89" w14:textId="77777777" w:rsidR="00807D27" w:rsidRPr="00CA0680" w:rsidRDefault="00807D27" w:rsidP="000305D3">
      <w:pPr>
        <w:spacing w:before="120"/>
        <w:rPr>
          <w:b/>
        </w:rPr>
      </w:pPr>
      <w:r w:rsidRPr="00CA0680">
        <w:rPr>
          <w:b/>
        </w:rPr>
        <w:t>Sous</w:t>
      </w:r>
      <w:r>
        <w:rPr>
          <w:b/>
        </w:rPr>
        <w:t>-</w:t>
      </w:r>
      <w:r w:rsidRPr="00CA0680">
        <w:rPr>
          <w:b/>
        </w:rPr>
        <w:t>Comité d’experts du transport des marchandises dangereuses</w:t>
      </w:r>
    </w:p>
    <w:p w14:paraId="7A8FE36A" w14:textId="6694AC2C" w:rsidR="00807D27" w:rsidRDefault="00807D27" w:rsidP="000305D3">
      <w:pPr>
        <w:spacing w:before="120"/>
        <w:rPr>
          <w:b/>
        </w:rPr>
      </w:pPr>
      <w:r>
        <w:rPr>
          <w:b/>
        </w:rPr>
        <w:t xml:space="preserve">Soixante-quatrième </w:t>
      </w:r>
      <w:r w:rsidRPr="00CA0680">
        <w:rPr>
          <w:b/>
        </w:rPr>
        <w:t>session</w:t>
      </w:r>
    </w:p>
    <w:p w14:paraId="70AC9DA0" w14:textId="2928025B" w:rsidR="00807D27" w:rsidRDefault="00807D27" w:rsidP="000305D3">
      <w:r>
        <w:t>Genève, 24 juin-3 juillet 2024</w:t>
      </w:r>
    </w:p>
    <w:p w14:paraId="0D053802" w14:textId="36D28CFE" w:rsidR="00807D27" w:rsidRDefault="00807D27" w:rsidP="000305D3">
      <w:r>
        <w:t>Point 3 de l’ordre du jour provisoire</w:t>
      </w:r>
    </w:p>
    <w:p w14:paraId="7807D9B4" w14:textId="77777777" w:rsidR="00807D27" w:rsidRPr="00CE0F02" w:rsidRDefault="00807D27" w:rsidP="00807D27">
      <w:pPr>
        <w:rPr>
          <w:b/>
          <w:bCs/>
        </w:rPr>
      </w:pPr>
      <w:r>
        <w:rPr>
          <w:b/>
          <w:bCs/>
          <w:lang w:val="fr-FR"/>
        </w:rPr>
        <w:t>Inscription, classement et emballage</w:t>
      </w:r>
    </w:p>
    <w:p w14:paraId="6037CB12" w14:textId="77777777" w:rsidR="00807D27" w:rsidRPr="00CE0F02" w:rsidRDefault="00807D27" w:rsidP="00807D27">
      <w:pPr>
        <w:pStyle w:val="HChG"/>
      </w:pPr>
      <w:r>
        <w:rPr>
          <w:lang w:val="fr-FR"/>
        </w:rPr>
        <w:tab/>
      </w:r>
      <w:r>
        <w:rPr>
          <w:lang w:val="fr-FR"/>
        </w:rPr>
        <w:tab/>
        <w:t>Classement des acrylates de butyle stabilisés</w:t>
      </w:r>
    </w:p>
    <w:p w14:paraId="577654F8" w14:textId="77777777" w:rsidR="00807D27" w:rsidRPr="00CE0F02" w:rsidRDefault="00807D27" w:rsidP="00807D27">
      <w:pPr>
        <w:pStyle w:val="H1G"/>
      </w:pPr>
      <w:r>
        <w:rPr>
          <w:lang w:val="fr-FR"/>
        </w:rPr>
        <w:tab/>
      </w:r>
      <w:r>
        <w:rPr>
          <w:lang w:val="fr-FR"/>
        </w:rPr>
        <w:tab/>
        <w:t>Communication de l’expert de la Chine</w:t>
      </w:r>
      <w:r w:rsidRPr="00807D27">
        <w:rPr>
          <w:rStyle w:val="Appelnotedebasdep"/>
          <w:b w:val="0"/>
          <w:bCs/>
          <w:sz w:val="20"/>
          <w:vertAlign w:val="baseline"/>
          <w:lang w:val="fr-FR"/>
        </w:rPr>
        <w:footnoteReference w:customMarkFollows="1" w:id="2"/>
        <w:t>*</w:t>
      </w:r>
    </w:p>
    <w:p w14:paraId="71A6895B" w14:textId="1A7B4EF7" w:rsidR="00807D27" w:rsidRPr="00CE0F02" w:rsidRDefault="00807D27" w:rsidP="00807D27">
      <w:pPr>
        <w:pStyle w:val="HChG"/>
      </w:pPr>
      <w:r>
        <w:rPr>
          <w:lang w:val="fr-FR"/>
        </w:rPr>
        <w:tab/>
      </w:r>
      <w:r>
        <w:rPr>
          <w:lang w:val="fr-FR"/>
        </w:rPr>
        <w:t>I.</w:t>
      </w:r>
      <w:r>
        <w:rPr>
          <w:lang w:val="fr-FR"/>
        </w:rPr>
        <w:tab/>
        <w:t>Introduction</w:t>
      </w:r>
    </w:p>
    <w:p w14:paraId="1CF04B0B" w14:textId="70AE98C0" w:rsidR="00807D27" w:rsidRDefault="00807D27" w:rsidP="00807D27">
      <w:pPr>
        <w:pStyle w:val="SingleTxtG"/>
        <w:rPr>
          <w:lang w:val="fr-FR"/>
        </w:rPr>
      </w:pPr>
      <w:r>
        <w:rPr>
          <w:lang w:val="fr-FR"/>
        </w:rPr>
        <w:t>1.</w:t>
      </w:r>
      <w:r>
        <w:rPr>
          <w:lang w:val="fr-FR"/>
        </w:rPr>
        <w:tab/>
        <w:t xml:space="preserve">Les acrylates de butyle sont des produits chimiques inflammables qui ont tendance à polymériser s’ils ne sont pas stabilisés. Il s’agit notamment de l’acrylate de n-butyle, de l’acrylate de sec-butyle, de l’acrylate de </w:t>
      </w:r>
      <w:proofErr w:type="spellStart"/>
      <w:r>
        <w:rPr>
          <w:lang w:val="fr-FR"/>
        </w:rPr>
        <w:t>tert</w:t>
      </w:r>
      <w:proofErr w:type="spellEnd"/>
      <w:r>
        <w:rPr>
          <w:lang w:val="fr-FR"/>
        </w:rPr>
        <w:t>-butyle et de l’acrylate d’</w:t>
      </w:r>
      <w:proofErr w:type="spellStart"/>
      <w:r>
        <w:rPr>
          <w:lang w:val="fr-FR"/>
        </w:rPr>
        <w:t>isobutyle</w:t>
      </w:r>
      <w:proofErr w:type="spellEnd"/>
      <w:r>
        <w:rPr>
          <w:lang w:val="fr-FR"/>
        </w:rPr>
        <w:t xml:space="preserve"> (voir fig</w:t>
      </w:r>
      <w:r>
        <w:rPr>
          <w:lang w:val="fr-FR"/>
        </w:rPr>
        <w:t>. </w:t>
      </w:r>
      <w:r>
        <w:rPr>
          <w:lang w:val="fr-FR"/>
        </w:rPr>
        <w:t>1).</w:t>
      </w:r>
    </w:p>
    <w:p w14:paraId="1D1990E7" w14:textId="20E5590B" w:rsidR="00E9138C" w:rsidRPr="00CE0F02" w:rsidRDefault="00E9138C" w:rsidP="00E9138C">
      <w:pPr>
        <w:pStyle w:val="Titre1"/>
        <w:spacing w:after="120"/>
      </w:pPr>
      <w:r>
        <w:rPr>
          <w:lang w:val="fr-FR"/>
        </w:rPr>
        <w:t>Figure 1</w:t>
      </w:r>
      <w:r>
        <w:rPr>
          <w:lang w:val="fr-FR"/>
        </w:rPr>
        <w:br/>
      </w:r>
      <w:r w:rsidRPr="00E9138C">
        <w:rPr>
          <w:b/>
          <w:bCs/>
          <w:lang w:val="fr-FR"/>
        </w:rPr>
        <w:t>Quatre acrylates de butyle</w:t>
      </w:r>
    </w:p>
    <w:tbl>
      <w:tblPr>
        <w:tblStyle w:val="Grilledutableau"/>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0"/>
        <w:gridCol w:w="1843"/>
        <w:gridCol w:w="1789"/>
        <w:gridCol w:w="1709"/>
      </w:tblGrid>
      <w:tr w:rsidR="00807D27" w:rsidRPr="00A138E5" w14:paraId="4FDE98E3" w14:textId="77777777" w:rsidTr="003D0AD4">
        <w:trPr>
          <w:jc w:val="center"/>
        </w:trPr>
        <w:tc>
          <w:tcPr>
            <w:tcW w:w="2030" w:type="dxa"/>
          </w:tcPr>
          <w:p w14:paraId="497B9686" w14:textId="77777777" w:rsidR="00807D27" w:rsidRPr="00A138E5" w:rsidRDefault="00807D27" w:rsidP="00F40D28">
            <w:pPr>
              <w:rPr>
                <w:lang w:val="en-GB"/>
              </w:rPr>
            </w:pPr>
            <w:r w:rsidRPr="00A138E5">
              <w:rPr>
                <w:noProof/>
              </w:rPr>
              <w:drawing>
                <wp:inline distT="0" distB="0" distL="0" distR="0" wp14:anchorId="22576739" wp14:editId="0E1FBBC5">
                  <wp:extent cx="1162050" cy="371475"/>
                  <wp:effectExtent l="0" t="0" r="0" b="9525"/>
                  <wp:docPr id="4" name="Picture 4" descr="CAS # 141-32-2, Butyl acrylate, 2-Propenoic acid butyl 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 # 141-32-2, Butyl acrylate, 2-Propenoic acid butyl e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p>
        </w:tc>
        <w:tc>
          <w:tcPr>
            <w:tcW w:w="1843" w:type="dxa"/>
          </w:tcPr>
          <w:p w14:paraId="254A6EFE" w14:textId="77777777" w:rsidR="00807D27" w:rsidRPr="00A138E5" w:rsidRDefault="00807D27" w:rsidP="00F40D28">
            <w:pPr>
              <w:rPr>
                <w:lang w:val="en-GB"/>
              </w:rPr>
            </w:pPr>
            <w:r w:rsidRPr="00A138E5">
              <w:rPr>
                <w:noProof/>
              </w:rPr>
              <w:drawing>
                <wp:inline distT="0" distB="0" distL="0" distR="0" wp14:anchorId="727321AC" wp14:editId="45DFAAA9">
                  <wp:extent cx="1009650" cy="428625"/>
                  <wp:effectExtent l="0" t="0" r="0" b="9525"/>
                  <wp:docPr id="3" name="Picture 3" descr="CAS # 2998-08-5, Sec-Butyl Acry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 # 2998-08-5, Sec-Butyl Acryl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inline>
              </w:drawing>
            </w:r>
          </w:p>
        </w:tc>
        <w:tc>
          <w:tcPr>
            <w:tcW w:w="1789" w:type="dxa"/>
          </w:tcPr>
          <w:p w14:paraId="3390D7B9" w14:textId="77777777" w:rsidR="00807D27" w:rsidRPr="00A138E5" w:rsidRDefault="00807D27" w:rsidP="00F40D28">
            <w:pPr>
              <w:rPr>
                <w:lang w:val="en-GB"/>
              </w:rPr>
            </w:pPr>
            <w:r w:rsidRPr="00A138E5">
              <w:rPr>
                <w:noProof/>
              </w:rPr>
              <w:drawing>
                <wp:inline distT="0" distB="0" distL="0" distR="0" wp14:anchorId="30A2F3E1" wp14:editId="7672DA73">
                  <wp:extent cx="847725" cy="371475"/>
                  <wp:effectExtent l="0" t="0" r="9525" b="9525"/>
                  <wp:docPr id="5" name="Picture 5" descr="CAS # 1663-39-4, tert-Butyl acry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 # 1663-39-4, tert-Butyl acryl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tc>
        <w:tc>
          <w:tcPr>
            <w:tcW w:w="1709" w:type="dxa"/>
          </w:tcPr>
          <w:p w14:paraId="56B098B1" w14:textId="77777777" w:rsidR="00807D27" w:rsidRPr="00A138E5" w:rsidRDefault="00807D27" w:rsidP="00F40D28">
            <w:pPr>
              <w:rPr>
                <w:lang w:val="en-GB"/>
              </w:rPr>
            </w:pPr>
            <w:r w:rsidRPr="00A138E5">
              <w:rPr>
                <w:noProof/>
              </w:rPr>
              <w:drawing>
                <wp:inline distT="0" distB="0" distL="0" distR="0" wp14:anchorId="2F335435" wp14:editId="5F32346B">
                  <wp:extent cx="1000125" cy="495300"/>
                  <wp:effectExtent l="0" t="0" r="9525" b="0"/>
                  <wp:docPr id="6" name="Picture 6" descr="CAS # 106-63-8, Isobutyl acrylate, Acrylic acid isobutyl 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 # 106-63-8, Isobutyl acrylate, Acrylic acid isobutyl e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495300"/>
                          </a:xfrm>
                          <a:prstGeom prst="rect">
                            <a:avLst/>
                          </a:prstGeom>
                          <a:noFill/>
                          <a:ln>
                            <a:noFill/>
                          </a:ln>
                        </pic:spPr>
                      </pic:pic>
                    </a:graphicData>
                  </a:graphic>
                </wp:inline>
              </w:drawing>
            </w:r>
          </w:p>
        </w:tc>
      </w:tr>
      <w:tr w:rsidR="00807D27" w:rsidRPr="003D0AD4" w14:paraId="269FDB67" w14:textId="77777777" w:rsidTr="003D0AD4">
        <w:trPr>
          <w:jc w:val="center"/>
        </w:trPr>
        <w:tc>
          <w:tcPr>
            <w:tcW w:w="2030" w:type="dxa"/>
          </w:tcPr>
          <w:p w14:paraId="299C2D75" w14:textId="77777777" w:rsidR="00807D27" w:rsidRPr="003D0AD4" w:rsidRDefault="00807D27" w:rsidP="00F40D28">
            <w:pPr>
              <w:rPr>
                <w:sz w:val="18"/>
                <w:szCs w:val="18"/>
              </w:rPr>
            </w:pPr>
            <w:r w:rsidRPr="003D0AD4">
              <w:rPr>
                <w:sz w:val="18"/>
                <w:szCs w:val="18"/>
                <w:lang w:val="fr-FR"/>
              </w:rPr>
              <w:t xml:space="preserve">Acrylate de n-butyle </w:t>
            </w:r>
          </w:p>
        </w:tc>
        <w:tc>
          <w:tcPr>
            <w:tcW w:w="1843" w:type="dxa"/>
          </w:tcPr>
          <w:p w14:paraId="6788B80B" w14:textId="77777777" w:rsidR="00807D27" w:rsidRPr="003D0AD4" w:rsidRDefault="00807D27" w:rsidP="00F40D28">
            <w:pPr>
              <w:rPr>
                <w:sz w:val="18"/>
                <w:szCs w:val="18"/>
              </w:rPr>
            </w:pPr>
            <w:r w:rsidRPr="003D0AD4">
              <w:rPr>
                <w:sz w:val="18"/>
                <w:szCs w:val="18"/>
                <w:lang w:val="fr-FR"/>
              </w:rPr>
              <w:t>Acrylate de sec-butyle</w:t>
            </w:r>
          </w:p>
        </w:tc>
        <w:tc>
          <w:tcPr>
            <w:tcW w:w="1789" w:type="dxa"/>
          </w:tcPr>
          <w:p w14:paraId="03097656" w14:textId="77777777" w:rsidR="00807D27" w:rsidRPr="003D0AD4" w:rsidRDefault="00807D27" w:rsidP="00F40D28">
            <w:pPr>
              <w:rPr>
                <w:sz w:val="18"/>
                <w:szCs w:val="18"/>
              </w:rPr>
            </w:pPr>
            <w:r w:rsidRPr="003D0AD4">
              <w:rPr>
                <w:sz w:val="18"/>
                <w:szCs w:val="18"/>
                <w:lang w:val="fr-FR"/>
              </w:rPr>
              <w:t xml:space="preserve">Acrylate de </w:t>
            </w:r>
            <w:proofErr w:type="spellStart"/>
            <w:r w:rsidRPr="003D0AD4">
              <w:rPr>
                <w:sz w:val="18"/>
                <w:szCs w:val="18"/>
                <w:lang w:val="fr-FR"/>
              </w:rPr>
              <w:t>tert</w:t>
            </w:r>
            <w:proofErr w:type="spellEnd"/>
            <w:r w:rsidRPr="003D0AD4">
              <w:rPr>
                <w:sz w:val="18"/>
                <w:szCs w:val="18"/>
                <w:lang w:val="fr-FR"/>
              </w:rPr>
              <w:t>-butyle</w:t>
            </w:r>
          </w:p>
        </w:tc>
        <w:tc>
          <w:tcPr>
            <w:tcW w:w="1709" w:type="dxa"/>
          </w:tcPr>
          <w:p w14:paraId="1D0D69C8" w14:textId="77777777" w:rsidR="00807D27" w:rsidRPr="003D0AD4" w:rsidRDefault="00807D27" w:rsidP="00F40D28">
            <w:pPr>
              <w:rPr>
                <w:sz w:val="18"/>
                <w:szCs w:val="18"/>
              </w:rPr>
            </w:pPr>
            <w:r w:rsidRPr="003D0AD4">
              <w:rPr>
                <w:sz w:val="18"/>
                <w:szCs w:val="18"/>
                <w:lang w:val="fr-FR"/>
              </w:rPr>
              <w:t>Acrylate d’</w:t>
            </w:r>
            <w:proofErr w:type="spellStart"/>
            <w:r w:rsidRPr="003D0AD4">
              <w:rPr>
                <w:sz w:val="18"/>
                <w:szCs w:val="18"/>
                <w:lang w:val="fr-FR"/>
              </w:rPr>
              <w:t>isobutyle</w:t>
            </w:r>
            <w:proofErr w:type="spellEnd"/>
          </w:p>
        </w:tc>
      </w:tr>
      <w:tr w:rsidR="00807D27" w:rsidRPr="003D0AD4" w14:paraId="759D9E04" w14:textId="77777777" w:rsidTr="003D0AD4">
        <w:trPr>
          <w:jc w:val="center"/>
        </w:trPr>
        <w:tc>
          <w:tcPr>
            <w:tcW w:w="2030" w:type="dxa"/>
          </w:tcPr>
          <w:p w14:paraId="5DB0BC4F" w14:textId="77777777" w:rsidR="00807D27" w:rsidRPr="003D0AD4" w:rsidRDefault="00807D27" w:rsidP="00F40D28">
            <w:pPr>
              <w:rPr>
                <w:sz w:val="18"/>
                <w:szCs w:val="18"/>
              </w:rPr>
            </w:pPr>
            <w:r w:rsidRPr="003D0AD4">
              <w:rPr>
                <w:sz w:val="18"/>
                <w:szCs w:val="18"/>
                <w:lang w:val="fr-FR"/>
              </w:rPr>
              <w:t>141-32-2</w:t>
            </w:r>
          </w:p>
        </w:tc>
        <w:tc>
          <w:tcPr>
            <w:tcW w:w="1843" w:type="dxa"/>
          </w:tcPr>
          <w:p w14:paraId="6034FDE3" w14:textId="77777777" w:rsidR="00807D27" w:rsidRPr="003D0AD4" w:rsidRDefault="00807D27" w:rsidP="00F40D28">
            <w:pPr>
              <w:rPr>
                <w:sz w:val="18"/>
                <w:szCs w:val="18"/>
              </w:rPr>
            </w:pPr>
            <w:r w:rsidRPr="003D0AD4">
              <w:rPr>
                <w:sz w:val="18"/>
                <w:szCs w:val="18"/>
                <w:lang w:val="fr-FR"/>
              </w:rPr>
              <w:t>2998-08-5</w:t>
            </w:r>
          </w:p>
        </w:tc>
        <w:tc>
          <w:tcPr>
            <w:tcW w:w="1789" w:type="dxa"/>
          </w:tcPr>
          <w:p w14:paraId="6BFCC979" w14:textId="77777777" w:rsidR="00807D27" w:rsidRPr="003D0AD4" w:rsidRDefault="00807D27" w:rsidP="00F40D28">
            <w:pPr>
              <w:rPr>
                <w:sz w:val="18"/>
                <w:szCs w:val="18"/>
              </w:rPr>
            </w:pPr>
            <w:r w:rsidRPr="003D0AD4">
              <w:rPr>
                <w:sz w:val="18"/>
                <w:szCs w:val="18"/>
                <w:lang w:val="fr-FR"/>
              </w:rPr>
              <w:t>1663-39-4</w:t>
            </w:r>
          </w:p>
        </w:tc>
        <w:tc>
          <w:tcPr>
            <w:tcW w:w="1709" w:type="dxa"/>
          </w:tcPr>
          <w:p w14:paraId="5BCA2942" w14:textId="77777777" w:rsidR="00807D27" w:rsidRPr="003D0AD4" w:rsidRDefault="00807D27" w:rsidP="00F40D28">
            <w:pPr>
              <w:rPr>
                <w:sz w:val="18"/>
                <w:szCs w:val="18"/>
              </w:rPr>
            </w:pPr>
            <w:r w:rsidRPr="003D0AD4">
              <w:rPr>
                <w:sz w:val="18"/>
                <w:szCs w:val="18"/>
                <w:lang w:val="fr-FR"/>
              </w:rPr>
              <w:t>106-63-8</w:t>
            </w:r>
          </w:p>
        </w:tc>
      </w:tr>
    </w:tbl>
    <w:p w14:paraId="2BF312F6" w14:textId="77777777" w:rsidR="00807D27" w:rsidRPr="00CE0F02" w:rsidRDefault="00807D27" w:rsidP="00E9138C">
      <w:pPr>
        <w:pStyle w:val="SingleTxtG"/>
        <w:spacing w:before="240"/>
      </w:pPr>
      <w:r>
        <w:rPr>
          <w:lang w:val="fr-FR"/>
        </w:rPr>
        <w:t>2.</w:t>
      </w:r>
      <w:r>
        <w:rPr>
          <w:lang w:val="fr-FR"/>
        </w:rPr>
        <w:tab/>
        <w:t>Le point d’éclair de ces quatre matières, une fois stabilisées, est défini comme suit dans la documentation y relative :</w:t>
      </w:r>
    </w:p>
    <w:tbl>
      <w:tblPr>
        <w:tblStyle w:val="Grilledutableau"/>
        <w:tblW w:w="0" w:type="auto"/>
        <w:jc w:val="center"/>
        <w:tblLayout w:type="fixed"/>
        <w:tblLook w:val="04A0" w:firstRow="1" w:lastRow="0" w:firstColumn="1" w:lastColumn="0" w:noHBand="0" w:noVBand="1"/>
      </w:tblPr>
      <w:tblGrid>
        <w:gridCol w:w="2122"/>
        <w:gridCol w:w="1559"/>
        <w:gridCol w:w="3685"/>
      </w:tblGrid>
      <w:tr w:rsidR="00807D27" w:rsidRPr="00A138E5" w14:paraId="7F4AFF83" w14:textId="77777777" w:rsidTr="00E9138C">
        <w:trPr>
          <w:jc w:val="center"/>
        </w:trPr>
        <w:tc>
          <w:tcPr>
            <w:tcW w:w="2122" w:type="dxa"/>
          </w:tcPr>
          <w:p w14:paraId="272B4362" w14:textId="77777777" w:rsidR="00807D27" w:rsidRPr="00A138E5" w:rsidRDefault="00807D27" w:rsidP="00E9138C">
            <w:pPr>
              <w:spacing w:before="60" w:after="60" w:line="240" w:lineRule="auto"/>
              <w:ind w:left="57" w:right="57"/>
              <w:rPr>
                <w:b/>
              </w:rPr>
            </w:pPr>
            <w:r>
              <w:rPr>
                <w:b/>
                <w:bCs/>
                <w:lang w:val="fr-FR"/>
              </w:rPr>
              <w:t>Matière</w:t>
            </w:r>
          </w:p>
        </w:tc>
        <w:tc>
          <w:tcPr>
            <w:tcW w:w="1559" w:type="dxa"/>
          </w:tcPr>
          <w:p w14:paraId="41C4BC2D" w14:textId="77777777" w:rsidR="00807D27" w:rsidRPr="00A138E5" w:rsidRDefault="00807D27" w:rsidP="00E9138C">
            <w:pPr>
              <w:spacing w:before="60" w:after="60" w:line="240" w:lineRule="auto"/>
              <w:ind w:left="57" w:right="57"/>
              <w:rPr>
                <w:b/>
              </w:rPr>
            </w:pPr>
            <w:r>
              <w:rPr>
                <w:b/>
                <w:bCs/>
                <w:lang w:val="fr-FR"/>
              </w:rPr>
              <w:t>Point d’éclair</w:t>
            </w:r>
          </w:p>
        </w:tc>
        <w:tc>
          <w:tcPr>
            <w:tcW w:w="3685" w:type="dxa"/>
          </w:tcPr>
          <w:p w14:paraId="3373DF51" w14:textId="77777777" w:rsidR="00807D27" w:rsidRPr="00A138E5" w:rsidRDefault="00807D27" w:rsidP="00E9138C">
            <w:pPr>
              <w:spacing w:before="60" w:after="60" w:line="240" w:lineRule="auto"/>
              <w:ind w:left="57" w:right="57"/>
              <w:rPr>
                <w:b/>
              </w:rPr>
            </w:pPr>
            <w:r>
              <w:rPr>
                <w:b/>
                <w:bCs/>
                <w:lang w:val="fr-FR"/>
              </w:rPr>
              <w:t>Source des données</w:t>
            </w:r>
          </w:p>
        </w:tc>
      </w:tr>
      <w:tr w:rsidR="00807D27" w:rsidRPr="0036250A" w14:paraId="01E55866" w14:textId="77777777" w:rsidTr="00E9138C">
        <w:trPr>
          <w:jc w:val="center"/>
        </w:trPr>
        <w:tc>
          <w:tcPr>
            <w:tcW w:w="2122" w:type="dxa"/>
          </w:tcPr>
          <w:p w14:paraId="7B3943AA" w14:textId="77777777" w:rsidR="00807D27" w:rsidRPr="00A138E5" w:rsidRDefault="00807D27" w:rsidP="00E9138C">
            <w:pPr>
              <w:spacing w:before="60" w:after="60" w:line="240" w:lineRule="auto"/>
              <w:ind w:left="57" w:right="57"/>
            </w:pPr>
            <w:r>
              <w:rPr>
                <w:lang w:val="fr-FR"/>
              </w:rPr>
              <w:t>Acrylate de n-butyle</w:t>
            </w:r>
          </w:p>
        </w:tc>
        <w:tc>
          <w:tcPr>
            <w:tcW w:w="1559" w:type="dxa"/>
          </w:tcPr>
          <w:p w14:paraId="5EE5D35B" w14:textId="77777777" w:rsidR="00807D27" w:rsidRPr="00A138E5" w:rsidRDefault="00807D27" w:rsidP="00E9138C">
            <w:pPr>
              <w:spacing w:before="60" w:after="60" w:line="240" w:lineRule="auto"/>
              <w:ind w:left="57" w:right="57"/>
            </w:pPr>
            <w:r>
              <w:rPr>
                <w:lang w:val="fr-FR"/>
              </w:rPr>
              <w:t>37 °C</w:t>
            </w:r>
          </w:p>
        </w:tc>
        <w:tc>
          <w:tcPr>
            <w:tcW w:w="3685" w:type="dxa"/>
          </w:tcPr>
          <w:p w14:paraId="31EA3AFA" w14:textId="77777777" w:rsidR="00807D27" w:rsidRPr="00CE0F02" w:rsidRDefault="00807D27" w:rsidP="00E9138C">
            <w:pPr>
              <w:spacing w:before="60" w:after="60" w:line="240" w:lineRule="auto"/>
              <w:ind w:left="57" w:right="57"/>
            </w:pPr>
            <w:r>
              <w:rPr>
                <w:lang w:val="fr-FR"/>
              </w:rPr>
              <w:t>Agence européenne des produits chimiques (ECHA)</w:t>
            </w:r>
          </w:p>
        </w:tc>
      </w:tr>
      <w:tr w:rsidR="00807D27" w:rsidRPr="00A138E5" w14:paraId="704B106A" w14:textId="77777777" w:rsidTr="00E9138C">
        <w:trPr>
          <w:jc w:val="center"/>
        </w:trPr>
        <w:tc>
          <w:tcPr>
            <w:tcW w:w="2122" w:type="dxa"/>
          </w:tcPr>
          <w:p w14:paraId="567CF0C8" w14:textId="77777777" w:rsidR="00807D27" w:rsidRPr="00A138E5" w:rsidRDefault="00807D27" w:rsidP="00E9138C">
            <w:pPr>
              <w:spacing w:before="60" w:after="60" w:line="240" w:lineRule="auto"/>
              <w:ind w:left="57" w:right="57"/>
            </w:pPr>
            <w:r>
              <w:rPr>
                <w:lang w:val="fr-FR"/>
              </w:rPr>
              <w:t>Acrylate de sec-butyle</w:t>
            </w:r>
          </w:p>
        </w:tc>
        <w:tc>
          <w:tcPr>
            <w:tcW w:w="1559" w:type="dxa"/>
          </w:tcPr>
          <w:p w14:paraId="122E1D8D" w14:textId="77777777" w:rsidR="00807D27" w:rsidRPr="00A138E5" w:rsidRDefault="00807D27" w:rsidP="00E9138C">
            <w:pPr>
              <w:spacing w:before="60" w:after="60" w:line="240" w:lineRule="auto"/>
              <w:ind w:left="57" w:right="57"/>
            </w:pPr>
            <w:r>
              <w:rPr>
                <w:lang w:val="fr-FR"/>
              </w:rPr>
              <w:t>34,5 °C</w:t>
            </w:r>
          </w:p>
        </w:tc>
        <w:tc>
          <w:tcPr>
            <w:tcW w:w="3685" w:type="dxa"/>
          </w:tcPr>
          <w:p w14:paraId="0E305C21" w14:textId="77777777" w:rsidR="00807D27" w:rsidRPr="00A138E5" w:rsidRDefault="00807D27" w:rsidP="00E9138C">
            <w:pPr>
              <w:spacing w:before="60" w:after="60" w:line="240" w:lineRule="auto"/>
              <w:ind w:left="57" w:right="57"/>
            </w:pPr>
            <w:proofErr w:type="spellStart"/>
            <w:r>
              <w:rPr>
                <w:lang w:val="fr-FR"/>
              </w:rPr>
              <w:t>ChemBK</w:t>
            </w:r>
            <w:proofErr w:type="spellEnd"/>
          </w:p>
        </w:tc>
      </w:tr>
      <w:tr w:rsidR="00807D27" w:rsidRPr="00A138E5" w14:paraId="3738AAAF" w14:textId="77777777" w:rsidTr="00E9138C">
        <w:trPr>
          <w:jc w:val="center"/>
        </w:trPr>
        <w:tc>
          <w:tcPr>
            <w:tcW w:w="2122" w:type="dxa"/>
          </w:tcPr>
          <w:p w14:paraId="0AC195B7" w14:textId="77777777" w:rsidR="00807D27" w:rsidRPr="00A138E5" w:rsidRDefault="00807D27" w:rsidP="00E9138C">
            <w:pPr>
              <w:spacing w:before="60" w:after="60" w:line="240" w:lineRule="auto"/>
              <w:ind w:left="57" w:right="57"/>
            </w:pPr>
            <w:r>
              <w:rPr>
                <w:lang w:val="fr-FR"/>
              </w:rPr>
              <w:t xml:space="preserve">Acrylate de </w:t>
            </w:r>
            <w:proofErr w:type="spellStart"/>
            <w:r>
              <w:rPr>
                <w:lang w:val="fr-FR"/>
              </w:rPr>
              <w:t>tert</w:t>
            </w:r>
            <w:proofErr w:type="spellEnd"/>
            <w:r>
              <w:rPr>
                <w:lang w:val="fr-FR"/>
              </w:rPr>
              <w:t>-butyle</w:t>
            </w:r>
          </w:p>
        </w:tc>
        <w:tc>
          <w:tcPr>
            <w:tcW w:w="1559" w:type="dxa"/>
          </w:tcPr>
          <w:p w14:paraId="3F9953D7" w14:textId="77777777" w:rsidR="00807D27" w:rsidRPr="00A138E5" w:rsidRDefault="00807D27" w:rsidP="00E9138C">
            <w:pPr>
              <w:spacing w:before="60" w:after="60" w:line="240" w:lineRule="auto"/>
              <w:ind w:left="57" w:right="57"/>
            </w:pPr>
            <w:r>
              <w:rPr>
                <w:lang w:val="fr-FR"/>
              </w:rPr>
              <w:t>14 °C</w:t>
            </w:r>
          </w:p>
        </w:tc>
        <w:tc>
          <w:tcPr>
            <w:tcW w:w="3685" w:type="dxa"/>
          </w:tcPr>
          <w:p w14:paraId="78322815" w14:textId="77777777" w:rsidR="00807D27" w:rsidRPr="00A138E5" w:rsidRDefault="00807D27" w:rsidP="00E9138C">
            <w:pPr>
              <w:spacing w:before="60" w:after="60" w:line="240" w:lineRule="auto"/>
              <w:ind w:left="57" w:right="57"/>
            </w:pPr>
            <w:r>
              <w:rPr>
                <w:lang w:val="fr-FR"/>
              </w:rPr>
              <w:t>ECHA</w:t>
            </w:r>
          </w:p>
        </w:tc>
      </w:tr>
      <w:tr w:rsidR="00807D27" w:rsidRPr="00A138E5" w14:paraId="0D93E74D" w14:textId="77777777" w:rsidTr="00E9138C">
        <w:trPr>
          <w:jc w:val="center"/>
        </w:trPr>
        <w:tc>
          <w:tcPr>
            <w:tcW w:w="2122" w:type="dxa"/>
          </w:tcPr>
          <w:p w14:paraId="13F8DB8F" w14:textId="77777777" w:rsidR="00807D27" w:rsidRPr="00A138E5" w:rsidRDefault="00807D27" w:rsidP="00E9138C">
            <w:pPr>
              <w:spacing w:before="60" w:after="60" w:line="240" w:lineRule="auto"/>
              <w:ind w:left="57" w:right="57"/>
            </w:pPr>
            <w:r>
              <w:rPr>
                <w:lang w:val="fr-FR"/>
              </w:rPr>
              <w:t>Acrylate d’</w:t>
            </w:r>
            <w:proofErr w:type="spellStart"/>
            <w:r>
              <w:rPr>
                <w:lang w:val="fr-FR"/>
              </w:rPr>
              <w:t>isobutyle</w:t>
            </w:r>
            <w:proofErr w:type="spellEnd"/>
          </w:p>
        </w:tc>
        <w:tc>
          <w:tcPr>
            <w:tcW w:w="1559" w:type="dxa"/>
          </w:tcPr>
          <w:p w14:paraId="4D0BCA93" w14:textId="77777777" w:rsidR="00807D27" w:rsidRPr="00A138E5" w:rsidRDefault="00807D27" w:rsidP="00E9138C">
            <w:pPr>
              <w:spacing w:before="60" w:after="60" w:line="240" w:lineRule="auto"/>
              <w:ind w:left="57" w:right="57"/>
            </w:pPr>
            <w:r>
              <w:rPr>
                <w:lang w:val="fr-FR"/>
              </w:rPr>
              <w:t>30 °C</w:t>
            </w:r>
          </w:p>
        </w:tc>
        <w:tc>
          <w:tcPr>
            <w:tcW w:w="3685" w:type="dxa"/>
          </w:tcPr>
          <w:p w14:paraId="58674A22" w14:textId="77777777" w:rsidR="00807D27" w:rsidRPr="00A138E5" w:rsidRDefault="00807D27" w:rsidP="00E9138C">
            <w:pPr>
              <w:spacing w:before="60" w:after="60" w:line="240" w:lineRule="auto"/>
              <w:ind w:left="57" w:right="57"/>
            </w:pPr>
            <w:r>
              <w:rPr>
                <w:lang w:val="fr-FR"/>
              </w:rPr>
              <w:t>ECHA</w:t>
            </w:r>
          </w:p>
        </w:tc>
      </w:tr>
    </w:tbl>
    <w:p w14:paraId="7E1D2C7E" w14:textId="1673E969" w:rsidR="00807D27" w:rsidRPr="00CE0F02" w:rsidRDefault="00807D27" w:rsidP="00807D27">
      <w:pPr>
        <w:pStyle w:val="SingleTxtG"/>
        <w:keepNext/>
        <w:keepLines/>
        <w:spacing w:before="240"/>
      </w:pPr>
      <w:r>
        <w:rPr>
          <w:lang w:val="fr-FR"/>
        </w:rPr>
        <w:lastRenderedPageBreak/>
        <w:t>3.</w:t>
      </w:r>
      <w:r>
        <w:rPr>
          <w:lang w:val="fr-FR"/>
        </w:rPr>
        <w:tab/>
        <w:t>Dans le Règlement type, deux rubriques sont consacrées à des acrylates de butyle, le No</w:t>
      </w:r>
      <w:r w:rsidR="00E9138C">
        <w:rPr>
          <w:lang w:val="fr-FR"/>
        </w:rPr>
        <w:t> </w:t>
      </w:r>
      <w:r>
        <w:rPr>
          <w:lang w:val="fr-FR"/>
        </w:rPr>
        <w:t>ONU</w:t>
      </w:r>
      <w:r w:rsidR="00E9138C">
        <w:rPr>
          <w:lang w:val="fr-FR"/>
        </w:rPr>
        <w:t> </w:t>
      </w:r>
      <w:r>
        <w:rPr>
          <w:lang w:val="fr-FR"/>
        </w:rPr>
        <w:t>2348 et le No ONU 2527 :</w:t>
      </w:r>
    </w:p>
    <w:tbl>
      <w:tblPr>
        <w:tblW w:w="850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0"/>
        <w:gridCol w:w="3056"/>
        <w:gridCol w:w="423"/>
        <w:gridCol w:w="358"/>
        <w:gridCol w:w="467"/>
        <w:gridCol w:w="425"/>
        <w:gridCol w:w="537"/>
        <w:gridCol w:w="536"/>
        <w:gridCol w:w="714"/>
        <w:gridCol w:w="357"/>
        <w:gridCol w:w="537"/>
        <w:gridCol w:w="467"/>
      </w:tblGrid>
      <w:tr w:rsidR="00697DEF" w:rsidRPr="00A138E5" w14:paraId="17E71CA6" w14:textId="77777777" w:rsidTr="00697DEF">
        <w:trPr>
          <w:trHeight w:val="360"/>
        </w:trPr>
        <w:tc>
          <w:tcPr>
            <w:tcW w:w="630" w:type="dxa"/>
            <w:shd w:val="clear" w:color="auto" w:fill="auto"/>
            <w:vAlign w:val="center"/>
          </w:tcPr>
          <w:p w14:paraId="4040CE77" w14:textId="77777777" w:rsidR="00807D27" w:rsidRPr="00A138E5" w:rsidRDefault="00807D27" w:rsidP="00F40D28">
            <w:pPr>
              <w:pStyle w:val="SingleTxtG"/>
              <w:keepNext/>
              <w:keepLines/>
              <w:tabs>
                <w:tab w:val="left" w:pos="1269"/>
              </w:tabs>
              <w:ind w:left="0" w:right="0"/>
              <w:jc w:val="center"/>
              <w:rPr>
                <w:rFonts w:asciiTheme="majorBidi" w:hAnsiTheme="majorBidi" w:cstheme="majorBidi"/>
                <w:sz w:val="16"/>
                <w:szCs w:val="16"/>
              </w:rPr>
            </w:pPr>
            <w:r>
              <w:rPr>
                <w:b/>
                <w:bCs/>
                <w:lang w:val="fr-FR"/>
              </w:rPr>
              <w:t>(1)</w:t>
            </w:r>
          </w:p>
        </w:tc>
        <w:tc>
          <w:tcPr>
            <w:tcW w:w="3056" w:type="dxa"/>
            <w:shd w:val="clear" w:color="auto" w:fill="auto"/>
            <w:vAlign w:val="center"/>
          </w:tcPr>
          <w:p w14:paraId="113D8C44" w14:textId="77777777" w:rsidR="00807D27" w:rsidRPr="00A138E5" w:rsidRDefault="00807D27" w:rsidP="00F40D28">
            <w:pPr>
              <w:pStyle w:val="SingleTxtG"/>
              <w:keepNext/>
              <w:keepLines/>
              <w:ind w:left="0" w:right="7"/>
              <w:jc w:val="center"/>
              <w:rPr>
                <w:rFonts w:asciiTheme="majorBidi" w:hAnsiTheme="majorBidi" w:cstheme="majorBidi"/>
                <w:sz w:val="16"/>
                <w:szCs w:val="16"/>
              </w:rPr>
            </w:pPr>
            <w:r>
              <w:rPr>
                <w:b/>
                <w:bCs/>
                <w:lang w:val="fr-FR"/>
              </w:rPr>
              <w:t>(2)</w:t>
            </w:r>
          </w:p>
        </w:tc>
        <w:tc>
          <w:tcPr>
            <w:tcW w:w="423" w:type="dxa"/>
            <w:vAlign w:val="center"/>
          </w:tcPr>
          <w:p w14:paraId="013AC8CD" w14:textId="77777777" w:rsidR="00807D27" w:rsidRPr="00A138E5" w:rsidRDefault="00807D27" w:rsidP="00F40D28">
            <w:pPr>
              <w:pStyle w:val="SingleTxtG"/>
              <w:keepNext/>
              <w:keepLines/>
              <w:ind w:left="0" w:right="7"/>
              <w:jc w:val="center"/>
              <w:rPr>
                <w:rFonts w:asciiTheme="majorBidi" w:hAnsiTheme="majorBidi" w:cstheme="majorBidi"/>
                <w:sz w:val="16"/>
                <w:szCs w:val="16"/>
              </w:rPr>
            </w:pPr>
            <w:r>
              <w:rPr>
                <w:b/>
                <w:bCs/>
                <w:lang w:val="fr-FR"/>
              </w:rPr>
              <w:t>(3)</w:t>
            </w:r>
          </w:p>
        </w:tc>
        <w:tc>
          <w:tcPr>
            <w:tcW w:w="358" w:type="dxa"/>
            <w:shd w:val="clear" w:color="auto" w:fill="auto"/>
            <w:vAlign w:val="center"/>
          </w:tcPr>
          <w:p w14:paraId="47360783" w14:textId="77777777" w:rsidR="00807D27" w:rsidRPr="00A138E5" w:rsidRDefault="00807D27" w:rsidP="00F40D28">
            <w:pPr>
              <w:pStyle w:val="SingleTxtG"/>
              <w:keepNext/>
              <w:keepLines/>
              <w:ind w:left="0" w:right="7"/>
              <w:jc w:val="center"/>
              <w:rPr>
                <w:rFonts w:asciiTheme="majorBidi" w:hAnsiTheme="majorBidi" w:cstheme="majorBidi"/>
                <w:sz w:val="16"/>
                <w:szCs w:val="16"/>
              </w:rPr>
            </w:pPr>
            <w:r>
              <w:rPr>
                <w:b/>
                <w:bCs/>
                <w:lang w:val="fr-FR"/>
              </w:rPr>
              <w:t>(4)</w:t>
            </w:r>
          </w:p>
        </w:tc>
        <w:tc>
          <w:tcPr>
            <w:tcW w:w="467" w:type="dxa"/>
            <w:shd w:val="clear" w:color="auto" w:fill="auto"/>
            <w:vAlign w:val="center"/>
          </w:tcPr>
          <w:p w14:paraId="7ECAF86A" w14:textId="77777777" w:rsidR="00807D27" w:rsidRPr="00A138E5" w:rsidRDefault="00807D27" w:rsidP="00F40D28">
            <w:pPr>
              <w:pStyle w:val="SingleTxtG"/>
              <w:keepNext/>
              <w:keepLines/>
              <w:ind w:left="0" w:right="7"/>
              <w:jc w:val="center"/>
              <w:rPr>
                <w:rFonts w:asciiTheme="majorBidi" w:hAnsiTheme="majorBidi" w:cstheme="majorBidi"/>
                <w:sz w:val="16"/>
                <w:szCs w:val="16"/>
              </w:rPr>
            </w:pPr>
            <w:r>
              <w:rPr>
                <w:b/>
                <w:bCs/>
                <w:lang w:val="fr-FR"/>
              </w:rPr>
              <w:t>(5)</w:t>
            </w:r>
          </w:p>
        </w:tc>
        <w:tc>
          <w:tcPr>
            <w:tcW w:w="425" w:type="dxa"/>
            <w:shd w:val="clear" w:color="auto" w:fill="auto"/>
            <w:vAlign w:val="center"/>
          </w:tcPr>
          <w:p w14:paraId="4BA8FF48" w14:textId="77777777" w:rsidR="00807D27" w:rsidRPr="00A138E5" w:rsidRDefault="00807D27" w:rsidP="00F40D28">
            <w:pPr>
              <w:pStyle w:val="SingleTxtG"/>
              <w:keepNext/>
              <w:keepLines/>
              <w:ind w:left="0" w:right="7"/>
              <w:jc w:val="center"/>
              <w:rPr>
                <w:rFonts w:asciiTheme="majorBidi" w:hAnsiTheme="majorBidi" w:cstheme="majorBidi"/>
                <w:sz w:val="16"/>
                <w:szCs w:val="16"/>
              </w:rPr>
            </w:pPr>
            <w:r>
              <w:rPr>
                <w:b/>
                <w:bCs/>
                <w:lang w:val="fr-FR"/>
              </w:rPr>
              <w:t>(6)</w:t>
            </w:r>
          </w:p>
        </w:tc>
        <w:tc>
          <w:tcPr>
            <w:tcW w:w="537" w:type="dxa"/>
            <w:shd w:val="clear" w:color="auto" w:fill="auto"/>
            <w:vAlign w:val="center"/>
          </w:tcPr>
          <w:p w14:paraId="2D5641E7" w14:textId="77777777" w:rsidR="00807D27" w:rsidRPr="00A138E5" w:rsidRDefault="00807D27" w:rsidP="00F40D28">
            <w:pPr>
              <w:pStyle w:val="SingleTxtG"/>
              <w:keepNext/>
              <w:keepLines/>
              <w:ind w:left="0" w:right="7"/>
              <w:jc w:val="center"/>
              <w:rPr>
                <w:rFonts w:asciiTheme="majorBidi" w:hAnsiTheme="majorBidi" w:cstheme="majorBidi"/>
                <w:sz w:val="16"/>
                <w:szCs w:val="16"/>
              </w:rPr>
            </w:pPr>
            <w:r>
              <w:rPr>
                <w:b/>
                <w:bCs/>
                <w:lang w:val="fr-FR"/>
              </w:rPr>
              <w:t>(7a)</w:t>
            </w:r>
          </w:p>
        </w:tc>
        <w:tc>
          <w:tcPr>
            <w:tcW w:w="536" w:type="dxa"/>
            <w:vAlign w:val="center"/>
          </w:tcPr>
          <w:p w14:paraId="612AFF1A" w14:textId="77777777" w:rsidR="00807D27" w:rsidRPr="00A138E5" w:rsidRDefault="00807D27" w:rsidP="00F40D28">
            <w:pPr>
              <w:pStyle w:val="SingleTxtG"/>
              <w:keepNext/>
              <w:keepLines/>
              <w:ind w:left="0" w:right="7"/>
              <w:jc w:val="center"/>
              <w:rPr>
                <w:rFonts w:asciiTheme="majorBidi" w:hAnsiTheme="majorBidi" w:cstheme="majorBidi"/>
                <w:sz w:val="16"/>
                <w:szCs w:val="16"/>
              </w:rPr>
            </w:pPr>
            <w:r>
              <w:rPr>
                <w:b/>
                <w:bCs/>
                <w:lang w:val="fr-FR"/>
              </w:rPr>
              <w:t>(7b)</w:t>
            </w:r>
          </w:p>
        </w:tc>
        <w:tc>
          <w:tcPr>
            <w:tcW w:w="714" w:type="dxa"/>
            <w:vAlign w:val="center"/>
          </w:tcPr>
          <w:p w14:paraId="49896D86" w14:textId="77777777" w:rsidR="00807D27" w:rsidRPr="00A138E5" w:rsidRDefault="00807D27" w:rsidP="00F40D28">
            <w:pPr>
              <w:keepNext/>
              <w:keepLines/>
              <w:spacing w:after="120"/>
              <w:jc w:val="center"/>
              <w:rPr>
                <w:rFonts w:asciiTheme="majorBidi" w:hAnsiTheme="majorBidi" w:cstheme="majorBidi"/>
                <w:sz w:val="16"/>
                <w:szCs w:val="16"/>
              </w:rPr>
            </w:pPr>
            <w:r>
              <w:rPr>
                <w:b/>
                <w:bCs/>
                <w:lang w:val="fr-FR"/>
              </w:rPr>
              <w:t>(8)</w:t>
            </w:r>
          </w:p>
        </w:tc>
        <w:tc>
          <w:tcPr>
            <w:tcW w:w="357" w:type="dxa"/>
            <w:vAlign w:val="center"/>
          </w:tcPr>
          <w:p w14:paraId="383B88CB" w14:textId="77777777" w:rsidR="00807D27" w:rsidRPr="00A138E5" w:rsidRDefault="00807D27" w:rsidP="00F40D28">
            <w:pPr>
              <w:pStyle w:val="SingleTxtG"/>
              <w:keepNext/>
              <w:keepLines/>
              <w:ind w:left="0" w:right="7"/>
              <w:jc w:val="center"/>
              <w:rPr>
                <w:rFonts w:asciiTheme="majorBidi" w:hAnsiTheme="majorBidi" w:cstheme="majorBidi"/>
                <w:sz w:val="16"/>
                <w:szCs w:val="16"/>
              </w:rPr>
            </w:pPr>
            <w:r>
              <w:rPr>
                <w:b/>
                <w:bCs/>
                <w:lang w:val="fr-FR"/>
              </w:rPr>
              <w:t>(9)</w:t>
            </w:r>
          </w:p>
        </w:tc>
        <w:tc>
          <w:tcPr>
            <w:tcW w:w="537" w:type="dxa"/>
            <w:vAlign w:val="center"/>
          </w:tcPr>
          <w:p w14:paraId="5EFBA8CA" w14:textId="77777777" w:rsidR="00807D27" w:rsidRPr="00A138E5" w:rsidRDefault="00807D27" w:rsidP="00F40D28">
            <w:pPr>
              <w:pStyle w:val="SingleTxtG"/>
              <w:keepNext/>
              <w:keepLines/>
              <w:ind w:left="0" w:right="7"/>
              <w:jc w:val="center"/>
              <w:rPr>
                <w:rFonts w:asciiTheme="majorBidi" w:hAnsiTheme="majorBidi" w:cstheme="majorBidi"/>
                <w:sz w:val="16"/>
                <w:szCs w:val="16"/>
              </w:rPr>
            </w:pPr>
            <w:r>
              <w:rPr>
                <w:b/>
                <w:bCs/>
                <w:lang w:val="fr-FR"/>
              </w:rPr>
              <w:t>(10)</w:t>
            </w:r>
          </w:p>
        </w:tc>
        <w:tc>
          <w:tcPr>
            <w:tcW w:w="467" w:type="dxa"/>
            <w:shd w:val="clear" w:color="auto" w:fill="auto"/>
            <w:vAlign w:val="center"/>
          </w:tcPr>
          <w:p w14:paraId="77872D70" w14:textId="77777777" w:rsidR="00807D27" w:rsidRPr="00A138E5" w:rsidRDefault="00807D27" w:rsidP="00F40D28">
            <w:pPr>
              <w:pStyle w:val="SingleTxtG"/>
              <w:keepNext/>
              <w:keepLines/>
              <w:ind w:left="0" w:right="7"/>
              <w:jc w:val="center"/>
              <w:rPr>
                <w:rFonts w:asciiTheme="majorBidi" w:hAnsiTheme="majorBidi" w:cstheme="majorBidi"/>
                <w:sz w:val="16"/>
                <w:szCs w:val="16"/>
              </w:rPr>
            </w:pPr>
            <w:r>
              <w:rPr>
                <w:b/>
                <w:bCs/>
                <w:lang w:val="fr-FR"/>
              </w:rPr>
              <w:t>(11)</w:t>
            </w:r>
          </w:p>
        </w:tc>
      </w:tr>
      <w:tr w:rsidR="00697DEF" w:rsidRPr="00A138E5" w14:paraId="16BB7C73" w14:textId="77777777" w:rsidTr="00697DEF">
        <w:trPr>
          <w:trHeight w:val="360"/>
        </w:trPr>
        <w:tc>
          <w:tcPr>
            <w:tcW w:w="630" w:type="dxa"/>
            <w:shd w:val="clear" w:color="auto" w:fill="auto"/>
          </w:tcPr>
          <w:p w14:paraId="1842C2A1"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2348</w:t>
            </w:r>
          </w:p>
        </w:tc>
        <w:tc>
          <w:tcPr>
            <w:tcW w:w="3056" w:type="dxa"/>
            <w:shd w:val="clear" w:color="auto" w:fill="auto"/>
          </w:tcPr>
          <w:p w14:paraId="5431686A" w14:textId="05A3A57D" w:rsidR="00807D27" w:rsidRPr="00CE0F02" w:rsidRDefault="00807D27" w:rsidP="00F40D28">
            <w:pPr>
              <w:pStyle w:val="SingleTxtG"/>
              <w:keepNext/>
              <w:keepLines/>
              <w:tabs>
                <w:tab w:val="left" w:pos="1269"/>
              </w:tabs>
              <w:spacing w:after="0" w:line="240" w:lineRule="auto"/>
              <w:ind w:left="0" w:right="0"/>
              <w:jc w:val="left"/>
              <w:rPr>
                <w:rFonts w:asciiTheme="majorBidi" w:hAnsiTheme="majorBidi" w:cstheme="majorBidi"/>
                <w:sz w:val="16"/>
                <w:szCs w:val="16"/>
              </w:rPr>
            </w:pPr>
            <w:r>
              <w:rPr>
                <w:lang w:val="fr-FR"/>
              </w:rPr>
              <w:t xml:space="preserve">ACRYLATES DE BUTYLE STABILISÉS </w:t>
            </w:r>
          </w:p>
        </w:tc>
        <w:tc>
          <w:tcPr>
            <w:tcW w:w="423" w:type="dxa"/>
          </w:tcPr>
          <w:p w14:paraId="067F80C1"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3</w:t>
            </w:r>
          </w:p>
        </w:tc>
        <w:tc>
          <w:tcPr>
            <w:tcW w:w="358" w:type="dxa"/>
            <w:shd w:val="clear" w:color="auto" w:fill="auto"/>
          </w:tcPr>
          <w:p w14:paraId="647B2236"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lang w:eastAsia="ja-JP"/>
              </w:rPr>
            </w:pPr>
          </w:p>
        </w:tc>
        <w:tc>
          <w:tcPr>
            <w:tcW w:w="467" w:type="dxa"/>
            <w:shd w:val="clear" w:color="auto" w:fill="auto"/>
          </w:tcPr>
          <w:p w14:paraId="62DC5100"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III</w:t>
            </w:r>
          </w:p>
        </w:tc>
        <w:tc>
          <w:tcPr>
            <w:tcW w:w="425" w:type="dxa"/>
            <w:shd w:val="clear" w:color="auto" w:fill="auto"/>
          </w:tcPr>
          <w:p w14:paraId="391C4F9B" w14:textId="77777777" w:rsidR="00807D27" w:rsidRPr="00A138E5" w:rsidRDefault="00807D27" w:rsidP="00F40D28">
            <w:pPr>
              <w:keepNext/>
              <w:keepLines/>
              <w:tabs>
                <w:tab w:val="left" w:pos="1269"/>
              </w:tabs>
              <w:spacing w:line="240" w:lineRule="auto"/>
              <w:jc w:val="center"/>
              <w:rPr>
                <w:rFonts w:asciiTheme="majorBidi" w:hAnsiTheme="majorBidi" w:cstheme="majorBidi"/>
                <w:sz w:val="16"/>
                <w:szCs w:val="16"/>
              </w:rPr>
            </w:pPr>
            <w:r>
              <w:rPr>
                <w:lang w:val="fr-FR"/>
              </w:rPr>
              <w:t>386</w:t>
            </w:r>
          </w:p>
        </w:tc>
        <w:tc>
          <w:tcPr>
            <w:tcW w:w="537" w:type="dxa"/>
            <w:shd w:val="clear" w:color="auto" w:fill="auto"/>
          </w:tcPr>
          <w:p w14:paraId="0E26C8A6"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5L</w:t>
            </w:r>
          </w:p>
        </w:tc>
        <w:tc>
          <w:tcPr>
            <w:tcW w:w="536" w:type="dxa"/>
          </w:tcPr>
          <w:p w14:paraId="00EC4BE5"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E1</w:t>
            </w:r>
          </w:p>
        </w:tc>
        <w:tc>
          <w:tcPr>
            <w:tcW w:w="714" w:type="dxa"/>
          </w:tcPr>
          <w:p w14:paraId="04283D87" w14:textId="77777777" w:rsidR="00807D27" w:rsidRPr="00A138E5" w:rsidRDefault="00807D27" w:rsidP="00F40D28">
            <w:pPr>
              <w:keepNext/>
              <w:keepLines/>
              <w:tabs>
                <w:tab w:val="left" w:pos="1269"/>
              </w:tabs>
              <w:spacing w:line="240" w:lineRule="auto"/>
              <w:jc w:val="center"/>
              <w:rPr>
                <w:rFonts w:asciiTheme="majorBidi" w:hAnsiTheme="majorBidi" w:cstheme="majorBidi"/>
                <w:sz w:val="16"/>
                <w:szCs w:val="16"/>
              </w:rPr>
            </w:pPr>
            <w:r>
              <w:rPr>
                <w:lang w:val="fr-FR"/>
              </w:rPr>
              <w:t>P001</w:t>
            </w:r>
          </w:p>
          <w:p w14:paraId="16CD1367" w14:textId="77777777" w:rsidR="00807D27" w:rsidRPr="00A138E5" w:rsidRDefault="00807D27" w:rsidP="00F40D28">
            <w:pPr>
              <w:keepNext/>
              <w:keepLines/>
              <w:tabs>
                <w:tab w:val="left" w:pos="1269"/>
              </w:tabs>
              <w:spacing w:line="240" w:lineRule="auto"/>
              <w:jc w:val="center"/>
              <w:rPr>
                <w:rFonts w:asciiTheme="majorBidi" w:hAnsiTheme="majorBidi" w:cstheme="majorBidi"/>
                <w:sz w:val="16"/>
                <w:szCs w:val="16"/>
              </w:rPr>
            </w:pPr>
            <w:r>
              <w:rPr>
                <w:lang w:val="fr-FR"/>
              </w:rPr>
              <w:t>IBC03</w:t>
            </w:r>
          </w:p>
          <w:p w14:paraId="546E0D99" w14:textId="77777777" w:rsidR="00807D27" w:rsidRPr="00A138E5" w:rsidRDefault="00807D27" w:rsidP="00F40D28">
            <w:pPr>
              <w:keepNext/>
              <w:keepLines/>
              <w:tabs>
                <w:tab w:val="left" w:pos="1269"/>
              </w:tabs>
              <w:spacing w:line="240" w:lineRule="auto"/>
              <w:jc w:val="center"/>
              <w:rPr>
                <w:rFonts w:asciiTheme="majorBidi" w:hAnsiTheme="majorBidi" w:cstheme="majorBidi"/>
                <w:sz w:val="16"/>
                <w:szCs w:val="16"/>
              </w:rPr>
            </w:pPr>
            <w:r>
              <w:rPr>
                <w:lang w:val="fr-FR"/>
              </w:rPr>
              <w:t>LP01</w:t>
            </w:r>
          </w:p>
        </w:tc>
        <w:tc>
          <w:tcPr>
            <w:tcW w:w="357" w:type="dxa"/>
          </w:tcPr>
          <w:p w14:paraId="1D0C837A"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lang w:eastAsia="ja-JP"/>
              </w:rPr>
            </w:pPr>
          </w:p>
        </w:tc>
        <w:tc>
          <w:tcPr>
            <w:tcW w:w="537" w:type="dxa"/>
          </w:tcPr>
          <w:p w14:paraId="041CA3A9"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T2</w:t>
            </w:r>
          </w:p>
        </w:tc>
        <w:tc>
          <w:tcPr>
            <w:tcW w:w="467" w:type="dxa"/>
            <w:shd w:val="clear" w:color="auto" w:fill="auto"/>
          </w:tcPr>
          <w:p w14:paraId="59BF30AF"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TP1</w:t>
            </w:r>
          </w:p>
        </w:tc>
      </w:tr>
      <w:tr w:rsidR="00697DEF" w:rsidRPr="00331FA5" w14:paraId="59891C26" w14:textId="77777777" w:rsidTr="00697DEF">
        <w:trPr>
          <w:trHeight w:val="360"/>
        </w:trPr>
        <w:tc>
          <w:tcPr>
            <w:tcW w:w="630" w:type="dxa"/>
            <w:shd w:val="clear" w:color="auto" w:fill="auto"/>
          </w:tcPr>
          <w:p w14:paraId="31A1F735"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2527</w:t>
            </w:r>
          </w:p>
        </w:tc>
        <w:tc>
          <w:tcPr>
            <w:tcW w:w="3056" w:type="dxa"/>
            <w:shd w:val="clear" w:color="auto" w:fill="auto"/>
          </w:tcPr>
          <w:p w14:paraId="2D958545" w14:textId="77777777" w:rsidR="00807D27" w:rsidRPr="00A138E5" w:rsidRDefault="00807D27" w:rsidP="00F40D28">
            <w:pPr>
              <w:pStyle w:val="SingleTxtG"/>
              <w:keepNext/>
              <w:keepLines/>
              <w:tabs>
                <w:tab w:val="left" w:pos="1269"/>
              </w:tabs>
              <w:spacing w:after="0" w:line="240" w:lineRule="auto"/>
              <w:ind w:left="0" w:right="0"/>
              <w:jc w:val="left"/>
              <w:rPr>
                <w:rFonts w:asciiTheme="majorBidi" w:hAnsiTheme="majorBidi" w:cstheme="majorBidi"/>
                <w:sz w:val="16"/>
                <w:szCs w:val="16"/>
              </w:rPr>
            </w:pPr>
            <w:r>
              <w:rPr>
                <w:lang w:val="fr-FR"/>
              </w:rPr>
              <w:t>ACRYLATE D’ISOBUTYLE STABILISÉ</w:t>
            </w:r>
          </w:p>
        </w:tc>
        <w:tc>
          <w:tcPr>
            <w:tcW w:w="423" w:type="dxa"/>
          </w:tcPr>
          <w:p w14:paraId="5C2679D0"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3</w:t>
            </w:r>
          </w:p>
        </w:tc>
        <w:tc>
          <w:tcPr>
            <w:tcW w:w="358" w:type="dxa"/>
            <w:shd w:val="clear" w:color="auto" w:fill="auto"/>
          </w:tcPr>
          <w:p w14:paraId="4B1C00EC"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lang w:eastAsia="ja-JP"/>
              </w:rPr>
            </w:pPr>
          </w:p>
        </w:tc>
        <w:tc>
          <w:tcPr>
            <w:tcW w:w="467" w:type="dxa"/>
            <w:shd w:val="clear" w:color="auto" w:fill="auto"/>
          </w:tcPr>
          <w:p w14:paraId="0C5C27D8"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III</w:t>
            </w:r>
          </w:p>
        </w:tc>
        <w:tc>
          <w:tcPr>
            <w:tcW w:w="425" w:type="dxa"/>
            <w:shd w:val="clear" w:color="auto" w:fill="auto"/>
          </w:tcPr>
          <w:p w14:paraId="46712F3C"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386</w:t>
            </w:r>
          </w:p>
        </w:tc>
        <w:tc>
          <w:tcPr>
            <w:tcW w:w="537" w:type="dxa"/>
            <w:shd w:val="clear" w:color="auto" w:fill="auto"/>
          </w:tcPr>
          <w:p w14:paraId="7F2DD940"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5L</w:t>
            </w:r>
          </w:p>
        </w:tc>
        <w:tc>
          <w:tcPr>
            <w:tcW w:w="536" w:type="dxa"/>
          </w:tcPr>
          <w:p w14:paraId="1CF45EE5"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E1</w:t>
            </w:r>
          </w:p>
        </w:tc>
        <w:tc>
          <w:tcPr>
            <w:tcW w:w="714" w:type="dxa"/>
          </w:tcPr>
          <w:p w14:paraId="65E9275E"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P001</w:t>
            </w:r>
          </w:p>
          <w:p w14:paraId="3C98397C"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IBC03</w:t>
            </w:r>
          </w:p>
          <w:p w14:paraId="36E218F2"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LP01</w:t>
            </w:r>
          </w:p>
        </w:tc>
        <w:tc>
          <w:tcPr>
            <w:tcW w:w="357" w:type="dxa"/>
          </w:tcPr>
          <w:p w14:paraId="1AE3E005"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lang w:eastAsia="ja-JP"/>
              </w:rPr>
            </w:pPr>
          </w:p>
        </w:tc>
        <w:tc>
          <w:tcPr>
            <w:tcW w:w="537" w:type="dxa"/>
          </w:tcPr>
          <w:p w14:paraId="3315ED12"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T2</w:t>
            </w:r>
          </w:p>
        </w:tc>
        <w:tc>
          <w:tcPr>
            <w:tcW w:w="467" w:type="dxa"/>
            <w:shd w:val="clear" w:color="auto" w:fill="auto"/>
          </w:tcPr>
          <w:p w14:paraId="6B34896D" w14:textId="77777777" w:rsidR="00807D27" w:rsidRPr="00A138E5" w:rsidRDefault="00807D27" w:rsidP="00F40D28">
            <w:pPr>
              <w:pStyle w:val="SingleTxtG"/>
              <w:keepNext/>
              <w:keepLines/>
              <w:tabs>
                <w:tab w:val="left" w:pos="1269"/>
              </w:tabs>
              <w:spacing w:after="0" w:line="240" w:lineRule="auto"/>
              <w:ind w:left="0" w:right="0"/>
              <w:jc w:val="center"/>
              <w:rPr>
                <w:rFonts w:asciiTheme="majorBidi" w:hAnsiTheme="majorBidi" w:cstheme="majorBidi"/>
                <w:sz w:val="16"/>
                <w:szCs w:val="16"/>
              </w:rPr>
            </w:pPr>
            <w:r>
              <w:rPr>
                <w:lang w:val="fr-FR"/>
              </w:rPr>
              <w:t>TP1</w:t>
            </w:r>
          </w:p>
        </w:tc>
      </w:tr>
    </w:tbl>
    <w:p w14:paraId="7C09B9E3" w14:textId="77777777" w:rsidR="00807D27" w:rsidRPr="00CE0F02" w:rsidRDefault="00807D27" w:rsidP="002E17F2">
      <w:pPr>
        <w:pStyle w:val="SingleTxtG"/>
        <w:keepNext/>
        <w:spacing w:before="240"/>
      </w:pPr>
      <w:r>
        <w:rPr>
          <w:lang w:val="fr-FR"/>
        </w:rPr>
        <w:t>4.</w:t>
      </w:r>
      <w:r>
        <w:rPr>
          <w:lang w:val="fr-FR"/>
        </w:rPr>
        <w:tab/>
        <w:t>La Chine a relevé deux problèmes :</w:t>
      </w:r>
    </w:p>
    <w:p w14:paraId="1C2D42BC" w14:textId="77777777" w:rsidR="00807D27" w:rsidRPr="00CE0F02" w:rsidRDefault="00807D27" w:rsidP="002E17F2">
      <w:pPr>
        <w:pStyle w:val="SingleTxtG"/>
        <w:ind w:firstLine="567"/>
      </w:pPr>
      <w:r>
        <w:rPr>
          <w:lang w:val="fr-FR"/>
        </w:rPr>
        <w:t>a)</w:t>
      </w:r>
      <w:r>
        <w:rPr>
          <w:lang w:val="fr-FR"/>
        </w:rPr>
        <w:tab/>
        <w:t>Premièrement, ces rubriques, toutes deux affectées à la classe 3 et au groupe d’emballage III, sont soumises aux mêmes prescriptions de transport, non seulement dans le Règlement type, mais aussi dans les Instructions techniques de l’OACI pour la sécurité du transport aérien des marchandises dangereuses, dans le Code maritime international des marchandises dangereuses (Code IMDG) ainsi que dans l’Accord relatif au transport international des marchandises dangereuses par route (ADR), le Règlement concernant le transport international ferroviaire des marchandises dangereuses (RID) et l’Accord européen relatif au transport international des marchandises dangereuses par voies de navigation intérieures (ADN). Dès lors, le fait que l’acrylate d’</w:t>
      </w:r>
      <w:proofErr w:type="spellStart"/>
      <w:r>
        <w:rPr>
          <w:lang w:val="fr-FR"/>
        </w:rPr>
        <w:t>isobutyle</w:t>
      </w:r>
      <w:proofErr w:type="spellEnd"/>
      <w:r>
        <w:rPr>
          <w:lang w:val="fr-FR"/>
        </w:rPr>
        <w:t xml:space="preserve"> stabilisé ait sa propre rubrique peut prêter à confusion ;</w:t>
      </w:r>
    </w:p>
    <w:p w14:paraId="0F65F726" w14:textId="566699BF" w:rsidR="00807D27" w:rsidRPr="00CE0F02" w:rsidRDefault="00807D27" w:rsidP="002E17F2">
      <w:pPr>
        <w:pStyle w:val="SingleTxtG"/>
        <w:ind w:firstLine="567"/>
      </w:pPr>
      <w:r>
        <w:rPr>
          <w:lang w:val="fr-FR"/>
        </w:rPr>
        <w:t>b)</w:t>
      </w:r>
      <w:r>
        <w:rPr>
          <w:lang w:val="fr-FR"/>
        </w:rPr>
        <w:tab/>
        <w:t>Deuxièmement, la Chine est d’avis que la classe 3 et le groupe d’emballage</w:t>
      </w:r>
      <w:r w:rsidR="009648B5">
        <w:rPr>
          <w:lang w:val="fr-FR"/>
        </w:rPr>
        <w:t> </w:t>
      </w:r>
      <w:r>
        <w:rPr>
          <w:lang w:val="fr-FR"/>
        </w:rPr>
        <w:t xml:space="preserve">III ne qualifient pas correctement les caractéristiques de danger de l’acrylate de </w:t>
      </w:r>
      <w:proofErr w:type="spellStart"/>
      <w:r>
        <w:rPr>
          <w:lang w:val="fr-FR"/>
        </w:rPr>
        <w:t>tert</w:t>
      </w:r>
      <w:proofErr w:type="spellEnd"/>
      <w:r>
        <w:rPr>
          <w:lang w:val="fr-FR"/>
        </w:rPr>
        <w:t>-butyle, dont le point d’éclair est inférieur à 23 °C. Il semble qu’il faille classer cet acrylate dans le groupe d’emballage II.</w:t>
      </w:r>
    </w:p>
    <w:p w14:paraId="55C71FE8" w14:textId="77777777" w:rsidR="00807D27" w:rsidRPr="00CE0F02" w:rsidRDefault="00807D27" w:rsidP="00807D27">
      <w:pPr>
        <w:pStyle w:val="SingleTxtG"/>
      </w:pPr>
      <w:r>
        <w:rPr>
          <w:lang w:val="fr-FR"/>
        </w:rPr>
        <w:t>5.</w:t>
      </w:r>
      <w:r>
        <w:rPr>
          <w:lang w:val="fr-FR"/>
        </w:rPr>
        <w:tab/>
        <w:t>Au vu de ce qui précède, l’expert de la Chine propose de modifier le Règlement type comme indiqué ci-après.</w:t>
      </w:r>
    </w:p>
    <w:p w14:paraId="531FDC79" w14:textId="39250EFA" w:rsidR="00807D27" w:rsidRPr="00CE0F02" w:rsidRDefault="009648B5" w:rsidP="009648B5">
      <w:pPr>
        <w:pStyle w:val="HChG"/>
      </w:pPr>
      <w:r>
        <w:rPr>
          <w:lang w:val="fr-FR"/>
        </w:rPr>
        <w:tab/>
      </w:r>
      <w:r w:rsidR="00807D27">
        <w:rPr>
          <w:lang w:val="fr-FR"/>
        </w:rPr>
        <w:t>II.</w:t>
      </w:r>
      <w:r w:rsidR="00807D27">
        <w:rPr>
          <w:lang w:val="fr-FR"/>
        </w:rPr>
        <w:tab/>
        <w:t>Proposition 1</w:t>
      </w:r>
    </w:p>
    <w:p w14:paraId="0859FBF5" w14:textId="3B5AD9FD" w:rsidR="00807D27" w:rsidRPr="00CE0F02" w:rsidRDefault="00807D27" w:rsidP="00807D27">
      <w:pPr>
        <w:pStyle w:val="Paragraphedeliste"/>
        <w:spacing w:after="240"/>
        <w:ind w:left="1134" w:right="1134" w:firstLineChars="0" w:firstLine="0"/>
        <w:rPr>
          <w:sz w:val="20"/>
          <w:lang w:val="fr-CH"/>
        </w:rPr>
      </w:pPr>
      <w:r>
        <w:rPr>
          <w:lang w:val="fr-FR"/>
        </w:rPr>
        <w:t>6.</w:t>
      </w:r>
      <w:r>
        <w:rPr>
          <w:lang w:val="fr-FR"/>
        </w:rPr>
        <w:tab/>
        <w:t>Dans le chapitre 3.2, supprimer la rubrique correspondant au No</w:t>
      </w:r>
      <w:r w:rsidR="009648B5">
        <w:rPr>
          <w:lang w:val="fr-FR"/>
        </w:rPr>
        <w:t> </w:t>
      </w:r>
      <w:r>
        <w:rPr>
          <w:lang w:val="fr-FR"/>
        </w:rPr>
        <w:t>ONU</w:t>
      </w:r>
      <w:r w:rsidR="009648B5">
        <w:rPr>
          <w:lang w:val="fr-FR"/>
        </w:rPr>
        <w:t> </w:t>
      </w:r>
      <w:r>
        <w:rPr>
          <w:lang w:val="fr-FR"/>
        </w:rPr>
        <w:t xml:space="preserve">2527 de la Liste des marchandises dangereuses (les parties à supprimer sont </w:t>
      </w:r>
      <w:r w:rsidRPr="00CE0F02">
        <w:rPr>
          <w:strike/>
          <w:lang w:val="fr-FR"/>
        </w:rPr>
        <w:t>biffées</w:t>
      </w:r>
      <w:r>
        <w:rPr>
          <w:lang w:val="fr-FR"/>
        </w:rPr>
        <w:t>) :</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7"/>
        <w:gridCol w:w="2084"/>
        <w:gridCol w:w="346"/>
        <w:gridCol w:w="347"/>
        <w:gridCol w:w="455"/>
        <w:gridCol w:w="413"/>
        <w:gridCol w:w="522"/>
        <w:gridCol w:w="521"/>
        <w:gridCol w:w="695"/>
        <w:gridCol w:w="347"/>
        <w:gridCol w:w="522"/>
        <w:gridCol w:w="521"/>
      </w:tblGrid>
      <w:tr w:rsidR="00807D27" w:rsidRPr="00A138E5" w14:paraId="5138841D" w14:textId="77777777" w:rsidTr="009648B5">
        <w:trPr>
          <w:trHeight w:val="360"/>
          <w:jc w:val="center"/>
        </w:trPr>
        <w:tc>
          <w:tcPr>
            <w:tcW w:w="597" w:type="dxa"/>
            <w:shd w:val="clear" w:color="auto" w:fill="auto"/>
            <w:vAlign w:val="center"/>
          </w:tcPr>
          <w:p w14:paraId="7F238BFD" w14:textId="77777777" w:rsidR="00807D27" w:rsidRPr="00A138E5" w:rsidRDefault="00807D27" w:rsidP="009648B5">
            <w:pPr>
              <w:pStyle w:val="SingleTxtG"/>
              <w:tabs>
                <w:tab w:val="left" w:pos="1269"/>
              </w:tabs>
              <w:spacing w:before="60" w:after="60" w:line="240" w:lineRule="auto"/>
              <w:ind w:left="0" w:right="0"/>
              <w:jc w:val="center"/>
              <w:rPr>
                <w:rFonts w:asciiTheme="majorBidi" w:hAnsiTheme="majorBidi" w:cstheme="majorBidi"/>
                <w:sz w:val="16"/>
                <w:szCs w:val="16"/>
              </w:rPr>
            </w:pPr>
            <w:r>
              <w:rPr>
                <w:b/>
                <w:bCs/>
                <w:lang w:val="fr-FR"/>
              </w:rPr>
              <w:t>(1)</w:t>
            </w:r>
          </w:p>
        </w:tc>
        <w:tc>
          <w:tcPr>
            <w:tcW w:w="2084" w:type="dxa"/>
            <w:shd w:val="clear" w:color="auto" w:fill="auto"/>
            <w:vAlign w:val="center"/>
          </w:tcPr>
          <w:p w14:paraId="11BE6CA3"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(2)</w:t>
            </w:r>
          </w:p>
        </w:tc>
        <w:tc>
          <w:tcPr>
            <w:tcW w:w="346" w:type="dxa"/>
            <w:vAlign w:val="center"/>
          </w:tcPr>
          <w:p w14:paraId="515A6947"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(3)</w:t>
            </w:r>
          </w:p>
        </w:tc>
        <w:tc>
          <w:tcPr>
            <w:tcW w:w="347" w:type="dxa"/>
            <w:shd w:val="clear" w:color="auto" w:fill="auto"/>
            <w:vAlign w:val="center"/>
          </w:tcPr>
          <w:p w14:paraId="1485AE40"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(4)</w:t>
            </w:r>
          </w:p>
        </w:tc>
        <w:tc>
          <w:tcPr>
            <w:tcW w:w="455" w:type="dxa"/>
            <w:shd w:val="clear" w:color="auto" w:fill="auto"/>
            <w:vAlign w:val="center"/>
          </w:tcPr>
          <w:p w14:paraId="677A7E7A"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(5)</w:t>
            </w:r>
          </w:p>
        </w:tc>
        <w:tc>
          <w:tcPr>
            <w:tcW w:w="413" w:type="dxa"/>
            <w:shd w:val="clear" w:color="auto" w:fill="auto"/>
            <w:vAlign w:val="center"/>
          </w:tcPr>
          <w:p w14:paraId="6152F51F"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(6)</w:t>
            </w:r>
          </w:p>
        </w:tc>
        <w:tc>
          <w:tcPr>
            <w:tcW w:w="522" w:type="dxa"/>
            <w:shd w:val="clear" w:color="auto" w:fill="auto"/>
            <w:vAlign w:val="center"/>
          </w:tcPr>
          <w:p w14:paraId="46928831"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(7a)</w:t>
            </w:r>
          </w:p>
        </w:tc>
        <w:tc>
          <w:tcPr>
            <w:tcW w:w="521" w:type="dxa"/>
            <w:vAlign w:val="center"/>
          </w:tcPr>
          <w:p w14:paraId="7E7FA925"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(7b)</w:t>
            </w:r>
          </w:p>
        </w:tc>
        <w:tc>
          <w:tcPr>
            <w:tcW w:w="695" w:type="dxa"/>
            <w:vAlign w:val="center"/>
          </w:tcPr>
          <w:p w14:paraId="0288FF7C" w14:textId="77777777" w:rsidR="00807D27" w:rsidRPr="00A138E5" w:rsidRDefault="00807D27" w:rsidP="009648B5">
            <w:pPr>
              <w:spacing w:before="60" w:after="60" w:line="240" w:lineRule="auto"/>
              <w:jc w:val="center"/>
              <w:rPr>
                <w:rFonts w:asciiTheme="majorBidi" w:hAnsiTheme="majorBidi" w:cstheme="majorBidi"/>
                <w:sz w:val="16"/>
                <w:szCs w:val="16"/>
              </w:rPr>
            </w:pPr>
            <w:r>
              <w:rPr>
                <w:b/>
                <w:bCs/>
                <w:lang w:val="fr-FR"/>
              </w:rPr>
              <w:t>(8)</w:t>
            </w:r>
          </w:p>
        </w:tc>
        <w:tc>
          <w:tcPr>
            <w:tcW w:w="347" w:type="dxa"/>
            <w:vAlign w:val="center"/>
          </w:tcPr>
          <w:p w14:paraId="5CBDE215"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(9)</w:t>
            </w:r>
          </w:p>
        </w:tc>
        <w:tc>
          <w:tcPr>
            <w:tcW w:w="522" w:type="dxa"/>
            <w:vAlign w:val="center"/>
          </w:tcPr>
          <w:p w14:paraId="7B9715A5"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(10)</w:t>
            </w:r>
          </w:p>
        </w:tc>
        <w:tc>
          <w:tcPr>
            <w:tcW w:w="521" w:type="dxa"/>
            <w:shd w:val="clear" w:color="auto" w:fill="auto"/>
            <w:vAlign w:val="center"/>
          </w:tcPr>
          <w:p w14:paraId="6E265FDD"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(11)</w:t>
            </w:r>
          </w:p>
        </w:tc>
      </w:tr>
      <w:tr w:rsidR="00807D27" w:rsidRPr="00A138E5" w14:paraId="6B98FAC5" w14:textId="77777777" w:rsidTr="009648B5">
        <w:trPr>
          <w:trHeight w:val="360"/>
          <w:jc w:val="center"/>
        </w:trPr>
        <w:tc>
          <w:tcPr>
            <w:tcW w:w="597" w:type="dxa"/>
            <w:shd w:val="clear" w:color="auto" w:fill="auto"/>
          </w:tcPr>
          <w:p w14:paraId="00313CDB" w14:textId="77777777" w:rsidR="00807D27" w:rsidRPr="00A138E5" w:rsidRDefault="00807D27" w:rsidP="009648B5">
            <w:pPr>
              <w:pStyle w:val="SingleTxtG"/>
              <w:tabs>
                <w:tab w:val="left" w:pos="1269"/>
              </w:tabs>
              <w:spacing w:before="60" w:after="60" w:line="240" w:lineRule="auto"/>
              <w:ind w:left="0" w:right="0"/>
              <w:jc w:val="center"/>
              <w:rPr>
                <w:rFonts w:asciiTheme="majorBidi" w:hAnsiTheme="majorBidi" w:cstheme="majorBidi"/>
                <w:strike/>
                <w:sz w:val="16"/>
                <w:szCs w:val="16"/>
              </w:rPr>
            </w:pPr>
            <w:r>
              <w:rPr>
                <w:strike/>
                <w:lang w:val="fr-FR"/>
              </w:rPr>
              <w:t>2527</w:t>
            </w:r>
          </w:p>
        </w:tc>
        <w:tc>
          <w:tcPr>
            <w:tcW w:w="2084" w:type="dxa"/>
            <w:shd w:val="clear" w:color="auto" w:fill="auto"/>
          </w:tcPr>
          <w:p w14:paraId="7BF85BBF" w14:textId="77777777" w:rsidR="00807D27" w:rsidRPr="00A138E5" w:rsidRDefault="00807D27" w:rsidP="009648B5">
            <w:pPr>
              <w:pStyle w:val="SingleTxtG"/>
              <w:spacing w:before="60" w:after="60" w:line="240" w:lineRule="auto"/>
              <w:ind w:left="0" w:right="6"/>
              <w:jc w:val="left"/>
              <w:rPr>
                <w:rFonts w:asciiTheme="majorBidi" w:hAnsiTheme="majorBidi" w:cstheme="majorBidi"/>
                <w:strike/>
                <w:sz w:val="16"/>
                <w:szCs w:val="16"/>
              </w:rPr>
            </w:pPr>
            <w:r>
              <w:rPr>
                <w:strike/>
                <w:lang w:val="fr-FR"/>
              </w:rPr>
              <w:t>ACRYLATE D’ISOBUTYLE STABILISÉ</w:t>
            </w:r>
          </w:p>
        </w:tc>
        <w:tc>
          <w:tcPr>
            <w:tcW w:w="346" w:type="dxa"/>
          </w:tcPr>
          <w:p w14:paraId="01E4A574" w14:textId="77777777" w:rsidR="00807D27" w:rsidRPr="00A138E5" w:rsidRDefault="00807D27" w:rsidP="009648B5">
            <w:pPr>
              <w:pStyle w:val="SingleTxtG"/>
              <w:spacing w:before="60" w:after="60" w:line="240" w:lineRule="auto"/>
              <w:ind w:left="0" w:right="7"/>
              <w:jc w:val="center"/>
              <w:rPr>
                <w:rFonts w:asciiTheme="majorBidi" w:hAnsiTheme="majorBidi" w:cstheme="majorBidi"/>
                <w:strike/>
                <w:sz w:val="16"/>
                <w:szCs w:val="16"/>
              </w:rPr>
            </w:pPr>
            <w:r>
              <w:rPr>
                <w:strike/>
                <w:lang w:val="fr-FR"/>
              </w:rPr>
              <w:t>3</w:t>
            </w:r>
          </w:p>
        </w:tc>
        <w:tc>
          <w:tcPr>
            <w:tcW w:w="347" w:type="dxa"/>
            <w:shd w:val="clear" w:color="auto" w:fill="auto"/>
          </w:tcPr>
          <w:p w14:paraId="3BAC06C4" w14:textId="77777777" w:rsidR="00807D27" w:rsidRPr="00A138E5" w:rsidRDefault="00807D27" w:rsidP="009648B5">
            <w:pPr>
              <w:pStyle w:val="SingleTxtG"/>
              <w:spacing w:before="60" w:after="60" w:line="240" w:lineRule="auto"/>
              <w:ind w:left="0" w:right="7"/>
              <w:jc w:val="center"/>
              <w:rPr>
                <w:rFonts w:asciiTheme="majorBidi" w:hAnsiTheme="majorBidi" w:cstheme="majorBidi"/>
                <w:strike/>
                <w:sz w:val="16"/>
                <w:szCs w:val="16"/>
              </w:rPr>
            </w:pPr>
          </w:p>
        </w:tc>
        <w:tc>
          <w:tcPr>
            <w:tcW w:w="455" w:type="dxa"/>
            <w:shd w:val="clear" w:color="auto" w:fill="auto"/>
          </w:tcPr>
          <w:p w14:paraId="518C6CD0" w14:textId="77777777" w:rsidR="00807D27" w:rsidRPr="00A138E5" w:rsidRDefault="00807D27" w:rsidP="009648B5">
            <w:pPr>
              <w:pStyle w:val="SingleTxtG"/>
              <w:spacing w:before="60" w:after="60" w:line="240" w:lineRule="auto"/>
              <w:ind w:left="0" w:right="7"/>
              <w:jc w:val="center"/>
              <w:rPr>
                <w:rFonts w:asciiTheme="majorBidi" w:hAnsiTheme="majorBidi" w:cstheme="majorBidi"/>
                <w:strike/>
                <w:sz w:val="16"/>
                <w:szCs w:val="16"/>
              </w:rPr>
            </w:pPr>
            <w:r>
              <w:rPr>
                <w:strike/>
                <w:lang w:val="fr-FR"/>
              </w:rPr>
              <w:t>III</w:t>
            </w:r>
          </w:p>
        </w:tc>
        <w:tc>
          <w:tcPr>
            <w:tcW w:w="413" w:type="dxa"/>
            <w:shd w:val="clear" w:color="auto" w:fill="auto"/>
          </w:tcPr>
          <w:p w14:paraId="13374FB7" w14:textId="77777777" w:rsidR="00807D27" w:rsidRPr="00A138E5" w:rsidRDefault="00807D27" w:rsidP="009648B5">
            <w:pPr>
              <w:keepNext/>
              <w:spacing w:before="60" w:after="60" w:line="240" w:lineRule="auto"/>
              <w:jc w:val="center"/>
              <w:rPr>
                <w:rFonts w:asciiTheme="majorBidi" w:hAnsiTheme="majorBidi" w:cstheme="majorBidi"/>
                <w:strike/>
                <w:sz w:val="16"/>
                <w:szCs w:val="16"/>
              </w:rPr>
            </w:pPr>
            <w:r>
              <w:rPr>
                <w:strike/>
                <w:lang w:val="fr-FR"/>
              </w:rPr>
              <w:t>386</w:t>
            </w:r>
          </w:p>
        </w:tc>
        <w:tc>
          <w:tcPr>
            <w:tcW w:w="522" w:type="dxa"/>
            <w:shd w:val="clear" w:color="auto" w:fill="auto"/>
          </w:tcPr>
          <w:p w14:paraId="4BF9E563" w14:textId="77777777" w:rsidR="00807D27" w:rsidRPr="00A138E5" w:rsidRDefault="00807D27" w:rsidP="009648B5">
            <w:pPr>
              <w:pStyle w:val="SingleTxtG"/>
              <w:spacing w:before="60" w:after="60" w:line="240" w:lineRule="auto"/>
              <w:ind w:left="0" w:right="7"/>
              <w:jc w:val="center"/>
              <w:rPr>
                <w:rFonts w:asciiTheme="majorBidi" w:hAnsiTheme="majorBidi" w:cstheme="majorBidi"/>
                <w:strike/>
                <w:sz w:val="16"/>
                <w:szCs w:val="16"/>
              </w:rPr>
            </w:pPr>
            <w:r>
              <w:rPr>
                <w:strike/>
                <w:lang w:val="fr-FR"/>
              </w:rPr>
              <w:t>5L</w:t>
            </w:r>
          </w:p>
        </w:tc>
        <w:tc>
          <w:tcPr>
            <w:tcW w:w="521" w:type="dxa"/>
          </w:tcPr>
          <w:p w14:paraId="4CE1F2DC" w14:textId="77777777" w:rsidR="00807D27" w:rsidRPr="00A138E5" w:rsidRDefault="00807D27" w:rsidP="009648B5">
            <w:pPr>
              <w:pStyle w:val="SingleTxtG"/>
              <w:spacing w:before="60" w:after="60" w:line="240" w:lineRule="auto"/>
              <w:ind w:left="0" w:right="7"/>
              <w:jc w:val="center"/>
              <w:rPr>
                <w:rFonts w:asciiTheme="majorBidi" w:hAnsiTheme="majorBidi" w:cstheme="majorBidi"/>
                <w:strike/>
                <w:sz w:val="16"/>
                <w:szCs w:val="16"/>
              </w:rPr>
            </w:pPr>
            <w:r>
              <w:rPr>
                <w:strike/>
                <w:lang w:val="fr-FR"/>
              </w:rPr>
              <w:t>E1</w:t>
            </w:r>
          </w:p>
        </w:tc>
        <w:tc>
          <w:tcPr>
            <w:tcW w:w="695" w:type="dxa"/>
          </w:tcPr>
          <w:p w14:paraId="132ED158" w14:textId="77777777" w:rsidR="00807D27" w:rsidRPr="00A138E5" w:rsidRDefault="00807D27" w:rsidP="009648B5">
            <w:pPr>
              <w:spacing w:before="60" w:after="60" w:line="240" w:lineRule="auto"/>
              <w:jc w:val="center"/>
              <w:rPr>
                <w:rFonts w:asciiTheme="majorBidi" w:hAnsiTheme="majorBidi" w:cstheme="majorBidi"/>
                <w:strike/>
                <w:sz w:val="16"/>
                <w:szCs w:val="16"/>
              </w:rPr>
            </w:pPr>
            <w:r>
              <w:rPr>
                <w:strike/>
                <w:lang w:val="fr-FR"/>
              </w:rPr>
              <w:t>P001</w:t>
            </w:r>
          </w:p>
          <w:p w14:paraId="0621D445" w14:textId="77777777" w:rsidR="00807D27" w:rsidRPr="00A138E5" w:rsidRDefault="00807D27" w:rsidP="009648B5">
            <w:pPr>
              <w:spacing w:before="60" w:after="60" w:line="240" w:lineRule="auto"/>
              <w:jc w:val="center"/>
              <w:rPr>
                <w:rFonts w:asciiTheme="majorBidi" w:hAnsiTheme="majorBidi" w:cstheme="majorBidi"/>
                <w:strike/>
                <w:sz w:val="16"/>
                <w:szCs w:val="16"/>
              </w:rPr>
            </w:pPr>
            <w:r>
              <w:rPr>
                <w:strike/>
                <w:lang w:val="fr-FR"/>
              </w:rPr>
              <w:t>IBC03</w:t>
            </w:r>
          </w:p>
          <w:p w14:paraId="5AD9107D" w14:textId="77777777" w:rsidR="00807D27" w:rsidRPr="00A138E5" w:rsidRDefault="00807D27" w:rsidP="009648B5">
            <w:pPr>
              <w:spacing w:before="60" w:after="60" w:line="240" w:lineRule="auto"/>
              <w:jc w:val="center"/>
              <w:rPr>
                <w:rFonts w:asciiTheme="majorBidi" w:hAnsiTheme="majorBidi" w:cstheme="majorBidi"/>
                <w:strike/>
                <w:sz w:val="16"/>
                <w:szCs w:val="16"/>
              </w:rPr>
            </w:pPr>
            <w:r>
              <w:rPr>
                <w:strike/>
                <w:lang w:val="fr-FR"/>
              </w:rPr>
              <w:t>LP01</w:t>
            </w:r>
          </w:p>
        </w:tc>
        <w:tc>
          <w:tcPr>
            <w:tcW w:w="347" w:type="dxa"/>
          </w:tcPr>
          <w:p w14:paraId="545A78CE" w14:textId="77777777" w:rsidR="00807D27" w:rsidRPr="00A138E5" w:rsidRDefault="00807D27" w:rsidP="009648B5">
            <w:pPr>
              <w:pStyle w:val="SingleTxtG"/>
              <w:spacing w:before="60" w:after="60" w:line="240" w:lineRule="auto"/>
              <w:ind w:left="0" w:right="7"/>
              <w:jc w:val="center"/>
              <w:rPr>
                <w:rFonts w:asciiTheme="majorBidi" w:hAnsiTheme="majorBidi" w:cstheme="majorBidi"/>
                <w:strike/>
                <w:sz w:val="16"/>
                <w:szCs w:val="16"/>
              </w:rPr>
            </w:pPr>
          </w:p>
        </w:tc>
        <w:tc>
          <w:tcPr>
            <w:tcW w:w="522" w:type="dxa"/>
          </w:tcPr>
          <w:p w14:paraId="2DD9582B" w14:textId="77777777" w:rsidR="00807D27" w:rsidRPr="00A138E5" w:rsidRDefault="00807D27" w:rsidP="009648B5">
            <w:pPr>
              <w:pStyle w:val="SingleTxtG"/>
              <w:spacing w:before="60" w:after="60" w:line="240" w:lineRule="auto"/>
              <w:ind w:left="0" w:right="7"/>
              <w:jc w:val="center"/>
              <w:rPr>
                <w:rFonts w:asciiTheme="majorBidi" w:hAnsiTheme="majorBidi" w:cstheme="majorBidi"/>
                <w:strike/>
                <w:sz w:val="16"/>
                <w:szCs w:val="16"/>
              </w:rPr>
            </w:pPr>
            <w:r>
              <w:rPr>
                <w:strike/>
                <w:lang w:val="fr-FR"/>
              </w:rPr>
              <w:t>T2</w:t>
            </w:r>
          </w:p>
        </w:tc>
        <w:tc>
          <w:tcPr>
            <w:tcW w:w="521" w:type="dxa"/>
            <w:shd w:val="clear" w:color="auto" w:fill="auto"/>
          </w:tcPr>
          <w:p w14:paraId="06184197" w14:textId="77777777" w:rsidR="00807D27" w:rsidRPr="00A138E5" w:rsidRDefault="00807D27" w:rsidP="009648B5">
            <w:pPr>
              <w:pStyle w:val="SingleTxtG"/>
              <w:spacing w:before="60" w:after="60" w:line="240" w:lineRule="auto"/>
              <w:ind w:left="0" w:right="7"/>
              <w:jc w:val="center"/>
              <w:rPr>
                <w:rFonts w:asciiTheme="majorBidi" w:hAnsiTheme="majorBidi" w:cstheme="majorBidi"/>
                <w:strike/>
                <w:sz w:val="16"/>
                <w:szCs w:val="16"/>
              </w:rPr>
            </w:pPr>
            <w:r>
              <w:rPr>
                <w:strike/>
                <w:lang w:val="fr-FR"/>
              </w:rPr>
              <w:t>TP1</w:t>
            </w:r>
          </w:p>
        </w:tc>
      </w:tr>
    </w:tbl>
    <w:p w14:paraId="66D94B41" w14:textId="77777777" w:rsidR="00807D27" w:rsidRPr="00CE0F02" w:rsidRDefault="00807D27" w:rsidP="00807D27">
      <w:pPr>
        <w:pStyle w:val="Paragraphedeliste"/>
        <w:spacing w:before="240" w:after="240"/>
        <w:ind w:left="1134" w:right="1134" w:firstLineChars="0" w:firstLine="0"/>
        <w:rPr>
          <w:sz w:val="20"/>
          <w:lang w:val="fr-CH"/>
        </w:rPr>
      </w:pPr>
      <w:r>
        <w:rPr>
          <w:lang w:val="fr-FR"/>
        </w:rPr>
        <w:t>7.</w:t>
      </w:r>
      <w:r>
        <w:rPr>
          <w:lang w:val="fr-FR"/>
        </w:rPr>
        <w:tab/>
        <w:t>Modifier comme suit la rubrique consacrée à l’acrylate d’</w:t>
      </w:r>
      <w:proofErr w:type="spellStart"/>
      <w:r>
        <w:rPr>
          <w:lang w:val="fr-FR"/>
        </w:rPr>
        <w:t>isobutyle</w:t>
      </w:r>
      <w:proofErr w:type="spellEnd"/>
      <w:r>
        <w:rPr>
          <w:lang w:val="fr-FR"/>
        </w:rPr>
        <w:t xml:space="preserve"> stabilisé dans l’index alphabétique (les parties à supprimer sont biffées et les parties à ajouter sont en caractères </w:t>
      </w:r>
      <w:r>
        <w:rPr>
          <w:b/>
          <w:bCs/>
          <w:u w:val="single"/>
          <w:lang w:val="fr-FR"/>
        </w:rPr>
        <w:t>gras et soulignés</w:t>
      </w:r>
      <w:r>
        <w:rPr>
          <w:lang w:val="fr-FR"/>
        </w:rPr>
        <w:t>) :</w:t>
      </w:r>
    </w:p>
    <w:tbl>
      <w:tblPr>
        <w:tblStyle w:val="Grilledutableau"/>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990"/>
        <w:gridCol w:w="1278"/>
      </w:tblGrid>
      <w:tr w:rsidR="00807D27" w:rsidRPr="009E521C" w14:paraId="233A1CE1" w14:textId="77777777" w:rsidTr="009648B5">
        <w:trPr>
          <w:trHeight w:val="765"/>
          <w:jc w:val="center"/>
        </w:trPr>
        <w:tc>
          <w:tcPr>
            <w:tcW w:w="4387" w:type="dxa"/>
          </w:tcPr>
          <w:p w14:paraId="3928E7D6" w14:textId="77777777" w:rsidR="00807D27" w:rsidRPr="00CE0F02" w:rsidRDefault="00807D27" w:rsidP="009648B5">
            <w:pPr>
              <w:spacing w:before="60" w:after="60" w:line="240" w:lineRule="auto"/>
              <w:rPr>
                <w:strike/>
              </w:rPr>
            </w:pPr>
            <w:r>
              <w:rPr>
                <w:strike/>
                <w:lang w:val="fr-FR"/>
              </w:rPr>
              <w:t xml:space="preserve">ACRYLATE D’ISOBUTYLE </w:t>
            </w:r>
            <w:proofErr w:type="spellStart"/>
            <w:r>
              <w:rPr>
                <w:strike/>
                <w:lang w:val="fr-FR"/>
              </w:rPr>
              <w:t>STABILISÉ</w:t>
            </w:r>
            <w:r>
              <w:rPr>
                <w:b/>
                <w:bCs/>
                <w:u w:val="single"/>
                <w:lang w:val="fr-FR"/>
              </w:rPr>
              <w:t>Acrylate</w:t>
            </w:r>
            <w:proofErr w:type="spellEnd"/>
            <w:r>
              <w:rPr>
                <w:b/>
                <w:bCs/>
                <w:u w:val="single"/>
                <w:lang w:val="fr-FR"/>
              </w:rPr>
              <w:t xml:space="preserve"> d’</w:t>
            </w:r>
            <w:proofErr w:type="spellStart"/>
            <w:r>
              <w:rPr>
                <w:b/>
                <w:bCs/>
                <w:u w:val="single"/>
                <w:lang w:val="fr-FR"/>
              </w:rPr>
              <w:t>isobutyle</w:t>
            </w:r>
            <w:proofErr w:type="spellEnd"/>
            <w:r>
              <w:rPr>
                <w:b/>
                <w:bCs/>
                <w:u w:val="single"/>
                <w:lang w:val="fr-FR"/>
              </w:rPr>
              <w:t xml:space="preserve"> stabilisé, voir</w:t>
            </w:r>
          </w:p>
        </w:tc>
        <w:tc>
          <w:tcPr>
            <w:tcW w:w="851" w:type="dxa"/>
          </w:tcPr>
          <w:p w14:paraId="7152D3CE" w14:textId="77777777" w:rsidR="00807D27" w:rsidRPr="009E521C" w:rsidRDefault="00807D27" w:rsidP="009648B5">
            <w:pPr>
              <w:spacing w:before="60" w:after="60" w:line="240" w:lineRule="auto"/>
            </w:pPr>
            <w:r>
              <w:rPr>
                <w:lang w:val="fr-FR"/>
              </w:rPr>
              <w:t>3</w:t>
            </w:r>
          </w:p>
        </w:tc>
        <w:tc>
          <w:tcPr>
            <w:tcW w:w="1099" w:type="dxa"/>
          </w:tcPr>
          <w:p w14:paraId="11948897" w14:textId="77777777" w:rsidR="00807D27" w:rsidRPr="009E521C" w:rsidRDefault="00807D27" w:rsidP="009648B5">
            <w:pPr>
              <w:spacing w:before="60" w:after="60" w:line="240" w:lineRule="auto"/>
              <w:rPr>
                <w:strike/>
              </w:rPr>
            </w:pPr>
            <w:r>
              <w:rPr>
                <w:strike/>
                <w:lang w:val="fr-FR"/>
              </w:rPr>
              <w:t>2527</w:t>
            </w:r>
          </w:p>
          <w:p w14:paraId="0A48BAFC" w14:textId="77777777" w:rsidR="00807D27" w:rsidRPr="009E521C" w:rsidRDefault="00807D27" w:rsidP="009648B5">
            <w:pPr>
              <w:spacing w:before="60" w:after="60" w:line="240" w:lineRule="auto"/>
              <w:rPr>
                <w:b/>
                <w:u w:val="single"/>
              </w:rPr>
            </w:pPr>
            <w:r>
              <w:rPr>
                <w:b/>
                <w:bCs/>
                <w:u w:val="single"/>
                <w:lang w:val="fr-FR"/>
              </w:rPr>
              <w:t>2348</w:t>
            </w:r>
          </w:p>
        </w:tc>
      </w:tr>
    </w:tbl>
    <w:p w14:paraId="4285AC50" w14:textId="77777777" w:rsidR="009648B5" w:rsidRDefault="009648B5" w:rsidP="009648B5">
      <w:pPr>
        <w:pStyle w:val="HChG"/>
        <w:rPr>
          <w:lang w:val="fr-FR"/>
        </w:rPr>
      </w:pPr>
    </w:p>
    <w:p w14:paraId="611A42E6" w14:textId="77777777" w:rsidR="009648B5" w:rsidRDefault="009648B5">
      <w:pPr>
        <w:suppressAutoHyphens w:val="0"/>
        <w:kinsoku/>
        <w:overflowPunct/>
        <w:autoSpaceDE/>
        <w:autoSpaceDN/>
        <w:adjustRightInd/>
        <w:snapToGrid/>
        <w:spacing w:after="200" w:line="276" w:lineRule="auto"/>
        <w:rPr>
          <w:b/>
          <w:sz w:val="28"/>
          <w:lang w:val="fr-FR"/>
        </w:rPr>
      </w:pPr>
      <w:r>
        <w:rPr>
          <w:lang w:val="fr-FR"/>
        </w:rPr>
        <w:br w:type="page"/>
      </w:r>
    </w:p>
    <w:p w14:paraId="0772BA95" w14:textId="1D304D82" w:rsidR="00807D27" w:rsidRPr="00A138E5" w:rsidRDefault="009648B5" w:rsidP="00DA157C">
      <w:pPr>
        <w:pStyle w:val="HChG"/>
        <w:spacing w:after="200"/>
        <w:ind w:right="5670"/>
      </w:pPr>
      <w:r>
        <w:rPr>
          <w:lang w:val="fr-FR"/>
        </w:rPr>
        <w:lastRenderedPageBreak/>
        <w:tab/>
      </w:r>
      <w:r w:rsidR="00807D27">
        <w:rPr>
          <w:lang w:val="fr-FR"/>
        </w:rPr>
        <w:t>III.</w:t>
      </w:r>
      <w:r w:rsidR="00807D27">
        <w:rPr>
          <w:lang w:val="fr-FR"/>
        </w:rPr>
        <w:tab/>
        <w:t>Proposition 2</w:t>
      </w:r>
    </w:p>
    <w:p w14:paraId="576CAD9C" w14:textId="77777777" w:rsidR="00807D27" w:rsidRPr="00CE0F02" w:rsidRDefault="00807D27" w:rsidP="00807D27">
      <w:pPr>
        <w:pStyle w:val="SingleTxtG"/>
      </w:pPr>
      <w:r>
        <w:rPr>
          <w:lang w:val="fr-FR"/>
        </w:rPr>
        <w:t>8.</w:t>
      </w:r>
      <w:r>
        <w:rPr>
          <w:lang w:val="fr-FR"/>
        </w:rPr>
        <w:tab/>
        <w:t xml:space="preserve">Dans le chapitre 3.2, ajouter une nouvelle ligne pour le No ONU 2348, groupe d’emballage II, à la Liste des marchandises dangereuses, comme suit (les parties à supprimer sont biffées et les parties à ajouter sont en caractères </w:t>
      </w:r>
      <w:r>
        <w:rPr>
          <w:b/>
          <w:bCs/>
          <w:u w:val="single"/>
          <w:lang w:val="fr-FR"/>
        </w:rPr>
        <w:t>gras et soulignés</w:t>
      </w:r>
      <w:r>
        <w:rPr>
          <w:lang w:val="fr-FR"/>
        </w:rPr>
        <w:t>)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2577"/>
        <w:gridCol w:w="313"/>
        <w:gridCol w:w="314"/>
        <w:gridCol w:w="410"/>
        <w:gridCol w:w="373"/>
        <w:gridCol w:w="471"/>
        <w:gridCol w:w="470"/>
        <w:gridCol w:w="627"/>
        <w:gridCol w:w="313"/>
        <w:gridCol w:w="471"/>
        <w:gridCol w:w="470"/>
      </w:tblGrid>
      <w:tr w:rsidR="00807D27" w:rsidRPr="00A138E5" w14:paraId="3C1AD8BC" w14:textId="77777777" w:rsidTr="009648B5">
        <w:trPr>
          <w:trHeight w:val="360"/>
          <w:jc w:val="center"/>
        </w:trPr>
        <w:tc>
          <w:tcPr>
            <w:tcW w:w="562" w:type="dxa"/>
            <w:shd w:val="clear" w:color="auto" w:fill="auto"/>
            <w:vAlign w:val="center"/>
          </w:tcPr>
          <w:p w14:paraId="7F4D1E72" w14:textId="77777777" w:rsidR="00807D27" w:rsidRPr="00A138E5" w:rsidRDefault="00807D27" w:rsidP="009648B5">
            <w:pPr>
              <w:pStyle w:val="SingleTxtG"/>
              <w:tabs>
                <w:tab w:val="left" w:pos="1269"/>
              </w:tabs>
              <w:spacing w:before="60" w:after="60" w:line="240" w:lineRule="auto"/>
              <w:ind w:left="0" w:right="0"/>
              <w:jc w:val="center"/>
              <w:rPr>
                <w:rFonts w:asciiTheme="majorBidi" w:hAnsiTheme="majorBidi" w:cstheme="majorBidi"/>
                <w:sz w:val="16"/>
                <w:szCs w:val="16"/>
              </w:rPr>
            </w:pPr>
            <w:r>
              <w:rPr>
                <w:b/>
                <w:bCs/>
                <w:lang w:val="fr-FR"/>
              </w:rPr>
              <w:t>(1)</w:t>
            </w:r>
          </w:p>
        </w:tc>
        <w:tc>
          <w:tcPr>
            <w:tcW w:w="2577" w:type="dxa"/>
            <w:shd w:val="clear" w:color="auto" w:fill="auto"/>
            <w:vAlign w:val="center"/>
          </w:tcPr>
          <w:p w14:paraId="4C960761"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(2)</w:t>
            </w:r>
          </w:p>
        </w:tc>
        <w:tc>
          <w:tcPr>
            <w:tcW w:w="313" w:type="dxa"/>
            <w:vAlign w:val="center"/>
          </w:tcPr>
          <w:p w14:paraId="32A5F9C4"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(3)</w:t>
            </w:r>
          </w:p>
        </w:tc>
        <w:tc>
          <w:tcPr>
            <w:tcW w:w="314" w:type="dxa"/>
            <w:shd w:val="clear" w:color="auto" w:fill="auto"/>
            <w:vAlign w:val="center"/>
          </w:tcPr>
          <w:p w14:paraId="246BB2C4"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(4)</w:t>
            </w:r>
          </w:p>
        </w:tc>
        <w:tc>
          <w:tcPr>
            <w:tcW w:w="410" w:type="dxa"/>
            <w:shd w:val="clear" w:color="auto" w:fill="auto"/>
            <w:vAlign w:val="center"/>
          </w:tcPr>
          <w:p w14:paraId="52B5C585"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(5)</w:t>
            </w:r>
          </w:p>
        </w:tc>
        <w:tc>
          <w:tcPr>
            <w:tcW w:w="373" w:type="dxa"/>
            <w:shd w:val="clear" w:color="auto" w:fill="auto"/>
            <w:vAlign w:val="center"/>
          </w:tcPr>
          <w:p w14:paraId="226761A0"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(6)</w:t>
            </w:r>
          </w:p>
        </w:tc>
        <w:tc>
          <w:tcPr>
            <w:tcW w:w="471" w:type="dxa"/>
            <w:shd w:val="clear" w:color="auto" w:fill="auto"/>
            <w:vAlign w:val="center"/>
          </w:tcPr>
          <w:p w14:paraId="7318F696"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(7a)</w:t>
            </w:r>
          </w:p>
        </w:tc>
        <w:tc>
          <w:tcPr>
            <w:tcW w:w="470" w:type="dxa"/>
            <w:vAlign w:val="center"/>
          </w:tcPr>
          <w:p w14:paraId="1FB8D2ED"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(7b)</w:t>
            </w:r>
          </w:p>
        </w:tc>
        <w:tc>
          <w:tcPr>
            <w:tcW w:w="627" w:type="dxa"/>
            <w:vAlign w:val="center"/>
          </w:tcPr>
          <w:p w14:paraId="1080A072" w14:textId="77777777" w:rsidR="00807D27" w:rsidRPr="00A138E5" w:rsidRDefault="00807D27" w:rsidP="009648B5">
            <w:pPr>
              <w:spacing w:before="60" w:after="60" w:line="240" w:lineRule="auto"/>
              <w:jc w:val="center"/>
              <w:rPr>
                <w:rFonts w:asciiTheme="majorBidi" w:hAnsiTheme="majorBidi" w:cstheme="majorBidi"/>
                <w:sz w:val="16"/>
                <w:szCs w:val="16"/>
              </w:rPr>
            </w:pPr>
            <w:r>
              <w:rPr>
                <w:b/>
                <w:bCs/>
                <w:lang w:val="fr-FR"/>
              </w:rPr>
              <w:t>(8)</w:t>
            </w:r>
          </w:p>
        </w:tc>
        <w:tc>
          <w:tcPr>
            <w:tcW w:w="313" w:type="dxa"/>
            <w:vAlign w:val="center"/>
          </w:tcPr>
          <w:p w14:paraId="319800CB"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(9)</w:t>
            </w:r>
          </w:p>
        </w:tc>
        <w:tc>
          <w:tcPr>
            <w:tcW w:w="471" w:type="dxa"/>
            <w:vAlign w:val="center"/>
          </w:tcPr>
          <w:p w14:paraId="2F633B3F"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(10)</w:t>
            </w:r>
          </w:p>
        </w:tc>
        <w:tc>
          <w:tcPr>
            <w:tcW w:w="470" w:type="dxa"/>
            <w:shd w:val="clear" w:color="auto" w:fill="auto"/>
            <w:vAlign w:val="center"/>
          </w:tcPr>
          <w:p w14:paraId="0CE4AF04"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rPr>
            </w:pPr>
            <w:r>
              <w:rPr>
                <w:b/>
                <w:bCs/>
                <w:lang w:val="fr-FR"/>
              </w:rPr>
              <w:t>(11)</w:t>
            </w:r>
          </w:p>
        </w:tc>
      </w:tr>
      <w:tr w:rsidR="00807D27" w:rsidRPr="00A138E5" w14:paraId="418E37A5" w14:textId="77777777" w:rsidTr="009648B5">
        <w:trPr>
          <w:trHeight w:val="360"/>
          <w:jc w:val="center"/>
        </w:trPr>
        <w:tc>
          <w:tcPr>
            <w:tcW w:w="562" w:type="dxa"/>
            <w:shd w:val="clear" w:color="auto" w:fill="auto"/>
          </w:tcPr>
          <w:p w14:paraId="6CF98B8C" w14:textId="77777777" w:rsidR="00807D27" w:rsidRPr="00A22630" w:rsidRDefault="00807D27" w:rsidP="009648B5">
            <w:pPr>
              <w:pStyle w:val="SingleTxtG"/>
              <w:tabs>
                <w:tab w:val="left" w:pos="1269"/>
              </w:tabs>
              <w:spacing w:before="60" w:after="60" w:line="240" w:lineRule="auto"/>
              <w:ind w:left="0" w:right="0"/>
              <w:jc w:val="center"/>
              <w:rPr>
                <w:rFonts w:asciiTheme="majorBidi" w:hAnsiTheme="majorBidi" w:cstheme="majorBidi"/>
                <w:b/>
                <w:bCs/>
                <w:sz w:val="16"/>
                <w:szCs w:val="16"/>
                <w:u w:val="single"/>
              </w:rPr>
            </w:pPr>
            <w:r>
              <w:rPr>
                <w:b/>
                <w:bCs/>
                <w:u w:val="single"/>
                <w:lang w:val="fr-FR"/>
              </w:rPr>
              <w:t>2348</w:t>
            </w:r>
          </w:p>
        </w:tc>
        <w:tc>
          <w:tcPr>
            <w:tcW w:w="2577" w:type="dxa"/>
            <w:shd w:val="clear" w:color="auto" w:fill="auto"/>
          </w:tcPr>
          <w:p w14:paraId="3C6B5F3D" w14:textId="77777777" w:rsidR="00807D27" w:rsidRPr="00F11A0A" w:rsidRDefault="00807D27" w:rsidP="009648B5">
            <w:pPr>
              <w:pStyle w:val="SingleTxtG"/>
              <w:tabs>
                <w:tab w:val="left" w:pos="1269"/>
              </w:tabs>
              <w:spacing w:before="60" w:after="60" w:line="240" w:lineRule="auto"/>
              <w:ind w:left="0" w:right="0"/>
              <w:jc w:val="left"/>
              <w:rPr>
                <w:rFonts w:asciiTheme="majorBidi" w:hAnsiTheme="majorBidi" w:cstheme="majorBidi"/>
                <w:sz w:val="16"/>
                <w:szCs w:val="16"/>
              </w:rPr>
            </w:pPr>
            <w:r>
              <w:rPr>
                <w:lang w:val="fr-FR"/>
              </w:rPr>
              <w:t>ACRYLATES DE BUTYLE STABILISÉS</w:t>
            </w:r>
          </w:p>
        </w:tc>
        <w:tc>
          <w:tcPr>
            <w:tcW w:w="313" w:type="dxa"/>
          </w:tcPr>
          <w:p w14:paraId="7E3177DB" w14:textId="77777777" w:rsidR="00807D27" w:rsidRPr="00A22630" w:rsidRDefault="00807D27" w:rsidP="009648B5">
            <w:pPr>
              <w:pStyle w:val="SingleTxtG"/>
              <w:spacing w:before="60" w:after="60" w:line="240" w:lineRule="auto"/>
              <w:ind w:left="0" w:right="7"/>
              <w:jc w:val="center"/>
              <w:rPr>
                <w:rFonts w:asciiTheme="majorBidi" w:hAnsiTheme="majorBidi" w:cstheme="majorBidi"/>
                <w:b/>
                <w:bCs/>
                <w:sz w:val="16"/>
                <w:szCs w:val="16"/>
                <w:u w:val="single"/>
              </w:rPr>
            </w:pPr>
            <w:r>
              <w:rPr>
                <w:b/>
                <w:bCs/>
                <w:u w:val="single"/>
                <w:lang w:val="fr-FR"/>
              </w:rPr>
              <w:t>3</w:t>
            </w:r>
          </w:p>
        </w:tc>
        <w:tc>
          <w:tcPr>
            <w:tcW w:w="314" w:type="dxa"/>
            <w:shd w:val="clear" w:color="auto" w:fill="auto"/>
          </w:tcPr>
          <w:p w14:paraId="4ACFFE73" w14:textId="77777777" w:rsidR="00807D27" w:rsidRPr="00A138E5" w:rsidRDefault="00807D27" w:rsidP="009648B5">
            <w:pPr>
              <w:pStyle w:val="SingleTxtG"/>
              <w:spacing w:before="60" w:after="60" w:line="240" w:lineRule="auto"/>
              <w:ind w:left="0" w:right="7"/>
              <w:jc w:val="center"/>
              <w:rPr>
                <w:rFonts w:asciiTheme="majorBidi" w:hAnsiTheme="majorBidi" w:cstheme="majorBidi"/>
                <w:sz w:val="16"/>
                <w:szCs w:val="16"/>
                <w:u w:val="single"/>
              </w:rPr>
            </w:pPr>
          </w:p>
        </w:tc>
        <w:tc>
          <w:tcPr>
            <w:tcW w:w="410" w:type="dxa"/>
            <w:shd w:val="clear" w:color="auto" w:fill="auto"/>
          </w:tcPr>
          <w:p w14:paraId="28615F37" w14:textId="77777777" w:rsidR="00807D27" w:rsidRPr="00A22630" w:rsidRDefault="00807D27" w:rsidP="009648B5">
            <w:pPr>
              <w:pStyle w:val="SingleTxtG"/>
              <w:spacing w:before="60" w:after="60" w:line="240" w:lineRule="auto"/>
              <w:ind w:left="0" w:right="7"/>
              <w:jc w:val="center"/>
              <w:rPr>
                <w:rFonts w:asciiTheme="majorBidi" w:hAnsiTheme="majorBidi" w:cstheme="majorBidi"/>
                <w:b/>
                <w:bCs/>
                <w:sz w:val="16"/>
                <w:szCs w:val="16"/>
                <w:u w:val="single"/>
              </w:rPr>
            </w:pPr>
            <w:r>
              <w:rPr>
                <w:b/>
                <w:bCs/>
                <w:u w:val="single"/>
                <w:lang w:val="fr-FR"/>
              </w:rPr>
              <w:t>II</w:t>
            </w:r>
          </w:p>
        </w:tc>
        <w:tc>
          <w:tcPr>
            <w:tcW w:w="373" w:type="dxa"/>
            <w:shd w:val="clear" w:color="auto" w:fill="auto"/>
          </w:tcPr>
          <w:p w14:paraId="3A8E87DD" w14:textId="77777777" w:rsidR="00807D27" w:rsidRPr="00A22630" w:rsidRDefault="00807D27" w:rsidP="009648B5">
            <w:pPr>
              <w:pStyle w:val="SingleTxtG"/>
              <w:spacing w:before="60" w:after="60" w:line="240" w:lineRule="auto"/>
              <w:ind w:left="0" w:right="7"/>
              <w:jc w:val="center"/>
              <w:rPr>
                <w:rFonts w:asciiTheme="majorBidi" w:hAnsiTheme="majorBidi" w:cstheme="majorBidi"/>
                <w:b/>
                <w:bCs/>
                <w:sz w:val="16"/>
                <w:szCs w:val="16"/>
                <w:u w:val="single"/>
              </w:rPr>
            </w:pPr>
            <w:r>
              <w:rPr>
                <w:b/>
                <w:bCs/>
                <w:u w:val="single"/>
                <w:lang w:val="fr-FR"/>
              </w:rPr>
              <w:t>386</w:t>
            </w:r>
          </w:p>
        </w:tc>
        <w:tc>
          <w:tcPr>
            <w:tcW w:w="471" w:type="dxa"/>
            <w:shd w:val="clear" w:color="auto" w:fill="auto"/>
          </w:tcPr>
          <w:p w14:paraId="08FEFCAF" w14:textId="77777777" w:rsidR="00807D27" w:rsidRPr="00A22630" w:rsidRDefault="00807D27" w:rsidP="009648B5">
            <w:pPr>
              <w:pStyle w:val="SingleTxtG"/>
              <w:spacing w:before="60" w:after="60" w:line="240" w:lineRule="auto"/>
              <w:ind w:left="0" w:right="7"/>
              <w:jc w:val="center"/>
              <w:rPr>
                <w:rFonts w:asciiTheme="majorBidi" w:hAnsiTheme="majorBidi" w:cstheme="majorBidi"/>
                <w:b/>
                <w:bCs/>
                <w:sz w:val="16"/>
                <w:szCs w:val="16"/>
                <w:u w:val="single"/>
              </w:rPr>
            </w:pPr>
            <w:r>
              <w:rPr>
                <w:b/>
                <w:bCs/>
                <w:u w:val="single"/>
                <w:lang w:val="fr-FR"/>
              </w:rPr>
              <w:t>1L</w:t>
            </w:r>
          </w:p>
        </w:tc>
        <w:tc>
          <w:tcPr>
            <w:tcW w:w="470" w:type="dxa"/>
          </w:tcPr>
          <w:p w14:paraId="39307F6B" w14:textId="77777777" w:rsidR="00807D27" w:rsidRPr="00A22630" w:rsidRDefault="00807D27" w:rsidP="009648B5">
            <w:pPr>
              <w:pStyle w:val="SingleTxtG"/>
              <w:spacing w:before="60" w:after="60" w:line="240" w:lineRule="auto"/>
              <w:ind w:left="0" w:right="7"/>
              <w:jc w:val="center"/>
              <w:rPr>
                <w:rFonts w:asciiTheme="majorBidi" w:hAnsiTheme="majorBidi" w:cstheme="majorBidi"/>
                <w:b/>
                <w:bCs/>
                <w:sz w:val="16"/>
                <w:szCs w:val="16"/>
                <w:u w:val="single"/>
              </w:rPr>
            </w:pPr>
            <w:r>
              <w:rPr>
                <w:b/>
                <w:bCs/>
                <w:u w:val="single"/>
                <w:lang w:val="fr-FR"/>
              </w:rPr>
              <w:t>E2</w:t>
            </w:r>
          </w:p>
        </w:tc>
        <w:tc>
          <w:tcPr>
            <w:tcW w:w="627" w:type="dxa"/>
          </w:tcPr>
          <w:p w14:paraId="14950E68" w14:textId="77777777" w:rsidR="00807D27" w:rsidRPr="00A22630" w:rsidRDefault="00807D27" w:rsidP="009648B5">
            <w:pPr>
              <w:pStyle w:val="SingleTxtG"/>
              <w:spacing w:before="60" w:after="60" w:line="240" w:lineRule="auto"/>
              <w:ind w:left="0" w:right="7"/>
              <w:jc w:val="center"/>
              <w:rPr>
                <w:rFonts w:asciiTheme="majorBidi" w:hAnsiTheme="majorBidi" w:cstheme="majorBidi"/>
                <w:b/>
                <w:bCs/>
                <w:sz w:val="16"/>
                <w:szCs w:val="16"/>
                <w:u w:val="single"/>
              </w:rPr>
            </w:pPr>
            <w:r>
              <w:rPr>
                <w:b/>
                <w:bCs/>
                <w:u w:val="single"/>
                <w:lang w:val="fr-FR"/>
              </w:rPr>
              <w:t>P001</w:t>
            </w:r>
          </w:p>
          <w:p w14:paraId="355659CA" w14:textId="77777777" w:rsidR="00807D27" w:rsidRPr="00A22630" w:rsidRDefault="00807D27" w:rsidP="009648B5">
            <w:pPr>
              <w:pStyle w:val="SingleTxtG"/>
              <w:spacing w:before="60" w:after="60" w:line="240" w:lineRule="auto"/>
              <w:ind w:left="0" w:right="7"/>
              <w:jc w:val="center"/>
              <w:rPr>
                <w:rFonts w:asciiTheme="majorBidi" w:hAnsiTheme="majorBidi" w:cstheme="majorBidi"/>
                <w:b/>
                <w:bCs/>
                <w:sz w:val="16"/>
                <w:szCs w:val="16"/>
                <w:u w:val="single"/>
              </w:rPr>
            </w:pPr>
            <w:r>
              <w:rPr>
                <w:b/>
                <w:bCs/>
                <w:u w:val="single"/>
                <w:lang w:val="fr-FR"/>
              </w:rPr>
              <w:t>IBC02</w:t>
            </w:r>
          </w:p>
        </w:tc>
        <w:tc>
          <w:tcPr>
            <w:tcW w:w="313" w:type="dxa"/>
          </w:tcPr>
          <w:p w14:paraId="4CBF6217" w14:textId="77777777" w:rsidR="00807D27" w:rsidRPr="00A22630" w:rsidRDefault="00807D27" w:rsidP="009648B5">
            <w:pPr>
              <w:pStyle w:val="SingleTxtG"/>
              <w:spacing w:before="60" w:after="60" w:line="240" w:lineRule="auto"/>
              <w:ind w:left="0" w:right="7"/>
              <w:jc w:val="center"/>
              <w:rPr>
                <w:rFonts w:asciiTheme="majorBidi" w:hAnsiTheme="majorBidi" w:cstheme="majorBidi"/>
                <w:b/>
                <w:bCs/>
                <w:sz w:val="16"/>
                <w:szCs w:val="16"/>
                <w:u w:val="single"/>
              </w:rPr>
            </w:pPr>
          </w:p>
        </w:tc>
        <w:tc>
          <w:tcPr>
            <w:tcW w:w="471" w:type="dxa"/>
          </w:tcPr>
          <w:p w14:paraId="6522DFAC" w14:textId="77777777" w:rsidR="00807D27" w:rsidRPr="00A22630" w:rsidRDefault="00807D27" w:rsidP="009648B5">
            <w:pPr>
              <w:pStyle w:val="SingleTxtG"/>
              <w:spacing w:before="60" w:after="60" w:line="240" w:lineRule="auto"/>
              <w:ind w:left="0" w:right="7"/>
              <w:jc w:val="center"/>
              <w:rPr>
                <w:rFonts w:asciiTheme="majorBidi" w:hAnsiTheme="majorBidi" w:cstheme="majorBidi"/>
                <w:b/>
                <w:bCs/>
                <w:sz w:val="16"/>
                <w:szCs w:val="16"/>
                <w:u w:val="single"/>
              </w:rPr>
            </w:pPr>
            <w:r>
              <w:rPr>
                <w:b/>
                <w:bCs/>
                <w:u w:val="single"/>
                <w:lang w:val="fr-FR"/>
              </w:rPr>
              <w:t>T4</w:t>
            </w:r>
          </w:p>
        </w:tc>
        <w:tc>
          <w:tcPr>
            <w:tcW w:w="470" w:type="dxa"/>
            <w:shd w:val="clear" w:color="auto" w:fill="auto"/>
          </w:tcPr>
          <w:p w14:paraId="05EBC917" w14:textId="77777777" w:rsidR="00807D27" w:rsidRPr="00A22630" w:rsidRDefault="00807D27" w:rsidP="009648B5">
            <w:pPr>
              <w:pStyle w:val="SingleTxtG"/>
              <w:spacing w:before="60" w:after="60" w:line="240" w:lineRule="auto"/>
              <w:ind w:left="0" w:right="7"/>
              <w:jc w:val="center"/>
              <w:rPr>
                <w:rFonts w:asciiTheme="majorBidi" w:hAnsiTheme="majorBidi" w:cstheme="majorBidi"/>
                <w:b/>
                <w:bCs/>
                <w:sz w:val="16"/>
                <w:szCs w:val="16"/>
                <w:u w:val="single"/>
              </w:rPr>
            </w:pPr>
            <w:r>
              <w:rPr>
                <w:b/>
                <w:bCs/>
                <w:u w:val="single"/>
                <w:lang w:val="fr-FR"/>
              </w:rPr>
              <w:t>TP1</w:t>
            </w:r>
          </w:p>
        </w:tc>
      </w:tr>
    </w:tbl>
    <w:p w14:paraId="07F988F1" w14:textId="549E9F6D" w:rsidR="00807D27" w:rsidRPr="00A138E5" w:rsidRDefault="009648B5" w:rsidP="00DA157C">
      <w:pPr>
        <w:pStyle w:val="HChG"/>
        <w:spacing w:before="320" w:after="200"/>
      </w:pPr>
      <w:r>
        <w:rPr>
          <w:lang w:val="fr-FR"/>
        </w:rPr>
        <w:tab/>
      </w:r>
      <w:r w:rsidR="00807D27">
        <w:rPr>
          <w:lang w:val="fr-FR"/>
        </w:rPr>
        <w:t>IV.</w:t>
      </w:r>
      <w:r w:rsidR="00807D27">
        <w:rPr>
          <w:lang w:val="fr-FR"/>
        </w:rPr>
        <w:tab/>
        <w:t>Justification</w:t>
      </w:r>
    </w:p>
    <w:p w14:paraId="0B072A6B" w14:textId="77777777" w:rsidR="00807D27" w:rsidRPr="00CE0F02" w:rsidRDefault="00807D27" w:rsidP="00807D27">
      <w:pPr>
        <w:pStyle w:val="Paragraphedeliste"/>
        <w:ind w:left="1134" w:right="1134" w:firstLineChars="0" w:firstLine="0"/>
        <w:rPr>
          <w:lang w:val="fr-CH"/>
        </w:rPr>
      </w:pPr>
      <w:r>
        <w:rPr>
          <w:lang w:val="fr-FR"/>
        </w:rPr>
        <w:t>9.</w:t>
      </w:r>
      <w:r>
        <w:rPr>
          <w:lang w:val="fr-FR"/>
        </w:rPr>
        <w:tab/>
        <w:t>L’acrylate concerné est un liquide inflammable de la classe 3 et du groupe d’emballage II qui ne présente pas de danger subsidiaire et dont le risque d’explosion est nul puisqu’il est stabilisé. Conformément aux principes sous-tendant le Règlement type, il convient d’appliquer les codes « 1L » (quantité limitée) et « E2 » (quantité exceptée) ainsi que les instructions d’emballage P001 et IBC02. S’agissant des citernes mobiles, il est possible d’appliquer les dispositions correspondant au code « T4 » ou au code « T7 ». Étant donné qu’il ne s’agit pas d’une rubrique « non spécifiée par ailleurs » (</w:t>
      </w:r>
      <w:proofErr w:type="spellStart"/>
      <w:r>
        <w:rPr>
          <w:lang w:val="fr-FR"/>
        </w:rPr>
        <w:t>nsa</w:t>
      </w:r>
      <w:proofErr w:type="spellEnd"/>
      <w:r>
        <w:rPr>
          <w:lang w:val="fr-FR"/>
        </w:rPr>
        <w:t xml:space="preserve">) et que le code « T2 » a été choisi au lieu du code « T4 » pour la rubrique relevant du même numéro ONU mais correspondant au groupe d’emballage III, la Chine estime que le code « T4 » devrait être plus indiqué. La disposition spéciale correspondant au code TP1 est également affectée à la rubrique, la pression de vapeur de l’acrylate de </w:t>
      </w:r>
      <w:proofErr w:type="spellStart"/>
      <w:r>
        <w:rPr>
          <w:lang w:val="fr-FR"/>
        </w:rPr>
        <w:t>tert</w:t>
      </w:r>
      <w:proofErr w:type="spellEnd"/>
      <w:r>
        <w:rPr>
          <w:lang w:val="fr-FR"/>
        </w:rPr>
        <w:t>-butyle à 65 °C étant comprise entre 10 et 20 kPa (ECHA</w:t>
      </w:r>
      <w:r w:rsidRPr="0036250A">
        <w:rPr>
          <w:rStyle w:val="Appelnotedebasdep"/>
        </w:rPr>
        <w:footnoteReference w:id="3"/>
      </w:r>
      <w:r>
        <w:rPr>
          <w:lang w:val="fr-FR"/>
        </w:rPr>
        <w:t>).</w:t>
      </w:r>
    </w:p>
    <w:p w14:paraId="2CF30C6F" w14:textId="0D885952" w:rsidR="00807D27" w:rsidRPr="00CE0F02" w:rsidRDefault="00163432" w:rsidP="00DA157C">
      <w:pPr>
        <w:pStyle w:val="HChG"/>
        <w:spacing w:before="320" w:after="200"/>
      </w:pPr>
      <w:r>
        <w:rPr>
          <w:lang w:val="fr-FR"/>
        </w:rPr>
        <w:tab/>
      </w:r>
      <w:r w:rsidR="00807D27">
        <w:rPr>
          <w:lang w:val="fr-FR"/>
        </w:rPr>
        <w:t>V.</w:t>
      </w:r>
      <w:r w:rsidR="00807D27">
        <w:rPr>
          <w:lang w:val="fr-FR"/>
        </w:rPr>
        <w:tab/>
        <w:t>Autres observations</w:t>
      </w:r>
    </w:p>
    <w:p w14:paraId="0330D5B2" w14:textId="77777777" w:rsidR="00807D27" w:rsidRPr="00CE0F02" w:rsidRDefault="00807D27" w:rsidP="00DA157C">
      <w:pPr>
        <w:pStyle w:val="SingleTxtG"/>
        <w:spacing w:after="100"/>
        <w:rPr>
          <w:i/>
        </w:rPr>
      </w:pPr>
      <w:r>
        <w:rPr>
          <w:lang w:val="fr-FR"/>
        </w:rPr>
        <w:t>10.</w:t>
      </w:r>
      <w:r>
        <w:rPr>
          <w:lang w:val="fr-FR"/>
        </w:rPr>
        <w:tab/>
        <w:t xml:space="preserve">L’expert de la Chine souhaite par ailleurs inviter le Sous-Comité à réfléchir au classement de l’acrylate de </w:t>
      </w:r>
      <w:proofErr w:type="spellStart"/>
      <w:r>
        <w:rPr>
          <w:lang w:val="fr-FR"/>
        </w:rPr>
        <w:t>tert</w:t>
      </w:r>
      <w:proofErr w:type="spellEnd"/>
      <w:r>
        <w:rPr>
          <w:lang w:val="fr-FR"/>
        </w:rPr>
        <w:t>-butyle stabilisé dans le cadre de la version actuelle du Règlement type :</w:t>
      </w:r>
    </w:p>
    <w:p w14:paraId="0382B934" w14:textId="04559D2A" w:rsidR="00807D27" w:rsidRPr="00CE0F02" w:rsidRDefault="00807D27" w:rsidP="00DA157C">
      <w:pPr>
        <w:pStyle w:val="SingleTxtG"/>
        <w:spacing w:after="100"/>
        <w:ind w:firstLine="567"/>
      </w:pPr>
      <w:r>
        <w:rPr>
          <w:lang w:val="fr-FR"/>
        </w:rPr>
        <w:t>a)</w:t>
      </w:r>
      <w:r>
        <w:rPr>
          <w:lang w:val="fr-FR"/>
        </w:rPr>
        <w:tab/>
        <w:t>Peut-il être considéré comme une matière nommément mentionnée dans la Liste des marchandises dangereuses et, à ce titre, être transporté sous le No</w:t>
      </w:r>
      <w:r w:rsidR="00B434EC">
        <w:rPr>
          <w:lang w:val="fr-FR"/>
        </w:rPr>
        <w:t> </w:t>
      </w:r>
      <w:r>
        <w:rPr>
          <w:lang w:val="fr-FR"/>
        </w:rPr>
        <w:t>ONU</w:t>
      </w:r>
      <w:r w:rsidR="00B434EC">
        <w:rPr>
          <w:lang w:val="fr-FR"/>
        </w:rPr>
        <w:t> </w:t>
      </w:r>
      <w:r>
        <w:rPr>
          <w:lang w:val="fr-FR"/>
        </w:rPr>
        <w:t>2348, conformément au 2.0.2.2 du Règlement type, même si le groupe d’emballage qui lui est associé ne satisfait pas aux critères énoncés au 2.3.2.6 ?</w:t>
      </w:r>
    </w:p>
    <w:p w14:paraId="4907A176" w14:textId="01D9097D" w:rsidR="00807D27" w:rsidRPr="00CE0F02" w:rsidRDefault="00807D27" w:rsidP="00DA157C">
      <w:pPr>
        <w:pStyle w:val="SingleTxtG"/>
        <w:spacing w:after="100"/>
        <w:ind w:firstLine="567"/>
        <w:rPr>
          <w:i/>
        </w:rPr>
      </w:pPr>
      <w:r>
        <w:rPr>
          <w:i/>
          <w:iCs/>
          <w:lang w:val="fr-FR"/>
        </w:rPr>
        <w:t>« Les matières qui figurent nommément dans la colonne 2 de la Liste doivent être transportées selon leur classification dans la Liste ou sous les conditions énoncées au</w:t>
      </w:r>
      <w:r w:rsidR="00B434EC">
        <w:rPr>
          <w:i/>
          <w:iCs/>
          <w:lang w:val="fr-FR"/>
        </w:rPr>
        <w:t> </w:t>
      </w:r>
      <w:r>
        <w:rPr>
          <w:i/>
          <w:iCs/>
          <w:lang w:val="fr-FR"/>
        </w:rPr>
        <w:t>2.0.0.2. ».</w:t>
      </w:r>
    </w:p>
    <w:p w14:paraId="44CA04B9" w14:textId="0791B684" w:rsidR="00807D27" w:rsidRPr="00CE0F02" w:rsidRDefault="00807D27" w:rsidP="00DA157C">
      <w:pPr>
        <w:pStyle w:val="SingleTxtG"/>
        <w:spacing w:after="100"/>
        <w:ind w:firstLine="567"/>
      </w:pPr>
      <w:r>
        <w:rPr>
          <w:lang w:val="fr-FR"/>
        </w:rPr>
        <w:t>b)</w:t>
      </w:r>
      <w:r>
        <w:rPr>
          <w:lang w:val="fr-FR"/>
        </w:rPr>
        <w:tab/>
        <w:t>Le No ONU 2348 devrait-il, au contraire, être compris comme une rubrique générique correspondant à un groupe bien défini de matières (comme spécifié au 2.0.2.2</w:t>
      </w:r>
      <w:r w:rsidR="00DA157C">
        <w:rPr>
          <w:lang w:val="fr-FR"/>
        </w:rPr>
        <w:t> </w:t>
      </w:r>
      <w:r>
        <w:rPr>
          <w:lang w:val="fr-FR"/>
        </w:rPr>
        <w:t xml:space="preserve">b)), ce qui soumettrait l’acrylate de </w:t>
      </w:r>
      <w:proofErr w:type="spellStart"/>
      <w:r>
        <w:rPr>
          <w:lang w:val="fr-FR"/>
        </w:rPr>
        <w:t>tert</w:t>
      </w:r>
      <w:proofErr w:type="spellEnd"/>
      <w:r>
        <w:rPr>
          <w:lang w:val="fr-FR"/>
        </w:rPr>
        <w:t>-butyle stabilisé aux dispositions du 2.0.2.8 ? Si oui, quelle rubrique convient le mieux à cet acrylate</w:t>
      </w:r>
      <w:r w:rsidR="00DA157C">
        <w:rPr>
          <w:lang w:val="fr-FR"/>
        </w:rPr>
        <w:t> </w:t>
      </w:r>
      <w:r>
        <w:rPr>
          <w:lang w:val="fr-FR"/>
        </w:rPr>
        <w:t>? Devrait-il être affecté à une rubrique générique moyennant l’ajout du mot « STABILISÉ » dans la désignation officielle de transport (voir, par exemple, le No ONU 3271, ÉTHERS, N.S.A, STABILISÉS, groupe d’emballage</w:t>
      </w:r>
      <w:r w:rsidR="00DA157C">
        <w:rPr>
          <w:lang w:val="fr-FR"/>
        </w:rPr>
        <w:t> </w:t>
      </w:r>
      <w:r>
        <w:rPr>
          <w:lang w:val="fr-FR"/>
        </w:rPr>
        <w:t>II), comme indiqué au 3.1.2.6 ?</w:t>
      </w:r>
    </w:p>
    <w:p w14:paraId="15240819" w14:textId="149EDD68" w:rsidR="00807D27" w:rsidRPr="00CE0F02" w:rsidRDefault="00807D27" w:rsidP="00DA157C">
      <w:pPr>
        <w:pStyle w:val="SingleTxtG"/>
        <w:spacing w:after="100"/>
        <w:ind w:firstLine="567"/>
      </w:pPr>
      <w:r>
        <w:rPr>
          <w:lang w:val="fr-FR"/>
        </w:rPr>
        <w:t>11.</w:t>
      </w:r>
      <w:r>
        <w:rPr>
          <w:lang w:val="fr-FR"/>
        </w:rPr>
        <w:tab/>
        <w:t xml:space="preserve">Bien que le problème soulevé dans le présent document, qui a spécifiquement trait au classement de l’acrylate de </w:t>
      </w:r>
      <w:proofErr w:type="spellStart"/>
      <w:r>
        <w:rPr>
          <w:lang w:val="fr-FR"/>
        </w:rPr>
        <w:t>tert</w:t>
      </w:r>
      <w:proofErr w:type="spellEnd"/>
      <w:r>
        <w:rPr>
          <w:lang w:val="fr-FR"/>
        </w:rPr>
        <w:t>-butyle, puisse être réglé facilement par l’ajout d’une rubrique correspondant au groupe d’emballage II sous le No ONU 2348, l’expert de la Chine souhaite rappeler au Sous-Comité que ce n’est pas la seule matière faisant l’objet d’un tel dilemme. Le problème est peut-être systématique, de sorte qu’il conviendrait de trouver une solution qui le soit également. La Chine invite le Sous-Comité à examiner les questions ci</w:t>
      </w:r>
      <w:r w:rsidR="00DA157C">
        <w:rPr>
          <w:lang w:val="fr-FR"/>
        </w:rPr>
        <w:noBreakHyphen/>
      </w:r>
      <w:r>
        <w:rPr>
          <w:lang w:val="fr-FR"/>
        </w:rPr>
        <w:t>avant, qui pourraient servir de point de départ au débat.</w:t>
      </w:r>
    </w:p>
    <w:p w14:paraId="50BD3147" w14:textId="4B9335C1" w:rsidR="00446FE5" w:rsidRPr="00807D27" w:rsidRDefault="00807D27" w:rsidP="00DA157C">
      <w:pPr>
        <w:pStyle w:val="SingleTxtG"/>
        <w:spacing w:before="200" w:after="0"/>
        <w:jc w:val="center"/>
        <w:rPr>
          <w:u w:val="single"/>
        </w:rPr>
      </w:pPr>
      <w:r>
        <w:rPr>
          <w:u w:val="single"/>
        </w:rPr>
        <w:tab/>
      </w:r>
      <w:r>
        <w:rPr>
          <w:u w:val="single"/>
        </w:rPr>
        <w:tab/>
      </w:r>
      <w:r>
        <w:rPr>
          <w:u w:val="single"/>
        </w:rPr>
        <w:tab/>
      </w:r>
    </w:p>
    <w:sectPr w:rsidR="00446FE5" w:rsidRPr="00807D27" w:rsidSect="00807D27">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E11B" w14:textId="77777777" w:rsidR="00226BB8" w:rsidRDefault="00226BB8" w:rsidP="00F95C08">
      <w:pPr>
        <w:spacing w:line="240" w:lineRule="auto"/>
      </w:pPr>
    </w:p>
  </w:endnote>
  <w:endnote w:type="continuationSeparator" w:id="0">
    <w:p w14:paraId="0E47F6B7" w14:textId="77777777" w:rsidR="00226BB8" w:rsidRPr="00AC3823" w:rsidRDefault="00226BB8" w:rsidP="00AC3823">
      <w:pPr>
        <w:pStyle w:val="Pieddepage"/>
      </w:pPr>
    </w:p>
  </w:endnote>
  <w:endnote w:type="continuationNotice" w:id="1">
    <w:p w14:paraId="4DF01803" w14:textId="77777777" w:rsidR="00226BB8" w:rsidRDefault="00226B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670F" w14:textId="7DA58C06" w:rsidR="00807D27" w:rsidRPr="00807D27" w:rsidRDefault="00807D27" w:rsidP="00807D27">
    <w:pPr>
      <w:pStyle w:val="Pieddepage"/>
      <w:tabs>
        <w:tab w:val="right" w:pos="9638"/>
      </w:tabs>
    </w:pPr>
    <w:r w:rsidRPr="00807D27">
      <w:rPr>
        <w:b/>
        <w:sz w:val="18"/>
      </w:rPr>
      <w:fldChar w:fldCharType="begin"/>
    </w:r>
    <w:r w:rsidRPr="00807D27">
      <w:rPr>
        <w:b/>
        <w:sz w:val="18"/>
      </w:rPr>
      <w:instrText xml:space="preserve"> PAGE  \* MERGEFORMAT </w:instrText>
    </w:r>
    <w:r w:rsidRPr="00807D27">
      <w:rPr>
        <w:b/>
        <w:sz w:val="18"/>
      </w:rPr>
      <w:fldChar w:fldCharType="separate"/>
    </w:r>
    <w:r w:rsidRPr="00807D27">
      <w:rPr>
        <w:b/>
        <w:noProof/>
        <w:sz w:val="18"/>
      </w:rPr>
      <w:t>2</w:t>
    </w:r>
    <w:r w:rsidRPr="00807D27">
      <w:rPr>
        <w:b/>
        <w:sz w:val="18"/>
      </w:rPr>
      <w:fldChar w:fldCharType="end"/>
    </w:r>
    <w:r>
      <w:rPr>
        <w:b/>
        <w:sz w:val="18"/>
      </w:rPr>
      <w:tab/>
    </w:r>
    <w:r>
      <w:t>GE.24-06676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58DF" w14:textId="0DCE3A6F" w:rsidR="00807D27" w:rsidRPr="00807D27" w:rsidRDefault="00807D27" w:rsidP="00807D27">
    <w:pPr>
      <w:pStyle w:val="Pieddepage"/>
      <w:tabs>
        <w:tab w:val="right" w:pos="9638"/>
      </w:tabs>
      <w:rPr>
        <w:b/>
        <w:sz w:val="18"/>
      </w:rPr>
    </w:pPr>
    <w:r>
      <w:t>GE.24-06676</w:t>
    </w:r>
    <w:r>
      <w:tab/>
    </w:r>
    <w:r w:rsidRPr="00807D27">
      <w:rPr>
        <w:b/>
        <w:sz w:val="18"/>
      </w:rPr>
      <w:fldChar w:fldCharType="begin"/>
    </w:r>
    <w:r w:rsidRPr="00807D27">
      <w:rPr>
        <w:b/>
        <w:sz w:val="18"/>
      </w:rPr>
      <w:instrText xml:space="preserve"> PAGE  \* MERGEFORMAT </w:instrText>
    </w:r>
    <w:r w:rsidRPr="00807D27">
      <w:rPr>
        <w:b/>
        <w:sz w:val="18"/>
      </w:rPr>
      <w:fldChar w:fldCharType="separate"/>
    </w:r>
    <w:r w:rsidRPr="00807D27">
      <w:rPr>
        <w:b/>
        <w:noProof/>
        <w:sz w:val="18"/>
      </w:rPr>
      <w:t>3</w:t>
    </w:r>
    <w:r w:rsidRPr="00807D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9F52" w14:textId="59CD6BD9" w:rsidR="0068456F" w:rsidRPr="00807D27" w:rsidRDefault="00807D27" w:rsidP="00807D27">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B7774F9" wp14:editId="65AB78A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24-06676  (F)</w:t>
    </w:r>
    <w:r>
      <w:rPr>
        <w:noProof/>
        <w:sz w:val="20"/>
      </w:rPr>
      <w:drawing>
        <wp:anchor distT="0" distB="0" distL="114300" distR="114300" simplePos="0" relativeHeight="251660288" behindDoc="0" locked="0" layoutInCell="1" allowOverlap="1" wp14:anchorId="55B1B93E" wp14:editId="25FA5807">
          <wp:simplePos x="0" y="0"/>
          <wp:positionH relativeFrom="margin">
            <wp:posOffset>5489575</wp:posOffset>
          </wp:positionH>
          <wp:positionV relativeFrom="margin">
            <wp:posOffset>8891905</wp:posOffset>
          </wp:positionV>
          <wp:extent cx="628650" cy="628650"/>
          <wp:effectExtent l="0" t="0" r="0" b="0"/>
          <wp:wrapNone/>
          <wp:docPr id="3511797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260424    290424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AFF3" w14:textId="77777777" w:rsidR="00226BB8" w:rsidRPr="00AC3823" w:rsidRDefault="00226BB8" w:rsidP="00AC3823">
      <w:pPr>
        <w:pStyle w:val="Pieddepage"/>
        <w:tabs>
          <w:tab w:val="right" w:pos="2155"/>
        </w:tabs>
        <w:spacing w:after="80" w:line="240" w:lineRule="atLeast"/>
        <w:ind w:left="680"/>
        <w:rPr>
          <w:u w:val="single"/>
        </w:rPr>
      </w:pPr>
      <w:r>
        <w:rPr>
          <w:u w:val="single"/>
        </w:rPr>
        <w:tab/>
      </w:r>
    </w:p>
  </w:footnote>
  <w:footnote w:type="continuationSeparator" w:id="0">
    <w:p w14:paraId="11389715" w14:textId="77777777" w:rsidR="00226BB8" w:rsidRPr="00AC3823" w:rsidRDefault="00226BB8" w:rsidP="00AC3823">
      <w:pPr>
        <w:pStyle w:val="Pieddepage"/>
        <w:tabs>
          <w:tab w:val="right" w:pos="2155"/>
        </w:tabs>
        <w:spacing w:after="80" w:line="240" w:lineRule="atLeast"/>
        <w:ind w:left="680"/>
        <w:rPr>
          <w:u w:val="single"/>
        </w:rPr>
      </w:pPr>
      <w:r>
        <w:rPr>
          <w:u w:val="single"/>
        </w:rPr>
        <w:tab/>
      </w:r>
    </w:p>
  </w:footnote>
  <w:footnote w:type="continuationNotice" w:id="1">
    <w:p w14:paraId="4319FD24" w14:textId="77777777" w:rsidR="00226BB8" w:rsidRPr="00AC3823" w:rsidRDefault="00226BB8">
      <w:pPr>
        <w:spacing w:line="240" w:lineRule="auto"/>
        <w:rPr>
          <w:sz w:val="2"/>
          <w:szCs w:val="2"/>
        </w:rPr>
      </w:pPr>
    </w:p>
  </w:footnote>
  <w:footnote w:id="2">
    <w:p w14:paraId="2411CB6F" w14:textId="77777777" w:rsidR="00807D27" w:rsidRPr="00CE0F02" w:rsidRDefault="00807D27" w:rsidP="00807D27">
      <w:pPr>
        <w:pStyle w:val="Notedebasdepage"/>
      </w:pPr>
      <w:r>
        <w:rPr>
          <w:lang w:val="fr-FR"/>
        </w:rPr>
        <w:tab/>
      </w:r>
      <w:r w:rsidRPr="00E9138C">
        <w:rPr>
          <w:sz w:val="20"/>
          <w:lang w:val="fr-FR"/>
        </w:rPr>
        <w:t>*</w:t>
      </w:r>
      <w:r>
        <w:rPr>
          <w:lang w:val="fr-FR"/>
        </w:rPr>
        <w:tab/>
        <w:t>A/78/6 (Sect. 20), tableau 20.5.</w:t>
      </w:r>
    </w:p>
  </w:footnote>
  <w:footnote w:id="3">
    <w:p w14:paraId="59B61DA4" w14:textId="77777777" w:rsidR="00807D27" w:rsidRPr="00CE0F02" w:rsidRDefault="00807D27" w:rsidP="00807D27">
      <w:pPr>
        <w:pStyle w:val="Notedebasdepage"/>
      </w:pPr>
      <w:r>
        <w:rPr>
          <w:lang w:val="fr-FR"/>
        </w:rPr>
        <w:tab/>
      </w:r>
      <w:r w:rsidRPr="0036250A">
        <w:rPr>
          <w:rStyle w:val="Appelnotedebasdep"/>
        </w:rPr>
        <w:footnoteRef/>
      </w:r>
      <w:r>
        <w:rPr>
          <w:lang w:val="fr-FR"/>
        </w:rPr>
        <w:t xml:space="preserve"> </w:t>
      </w:r>
      <w:r>
        <w:rPr>
          <w:lang w:val="fr-FR"/>
        </w:rPr>
        <w:tab/>
        <w:t xml:space="preserve">Voir Agence européenne des produits chimiques. La pression de vapeur de l'acrylate de </w:t>
      </w:r>
      <w:proofErr w:type="spellStart"/>
      <w:r>
        <w:rPr>
          <w:lang w:val="fr-FR"/>
        </w:rPr>
        <w:t>tert</w:t>
      </w:r>
      <w:proofErr w:type="spellEnd"/>
      <w:r>
        <w:rPr>
          <w:lang w:val="fr-FR"/>
        </w:rPr>
        <w:t>-butyle est de 100 hPa à 55,05 ℃ et de 200 hPa à 71,52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BA43" w14:textId="719D030C" w:rsidR="00807D27" w:rsidRPr="00807D27" w:rsidRDefault="00807D27">
    <w:pPr>
      <w:pStyle w:val="En-tte"/>
    </w:pPr>
    <w:fldSimple w:instr=" TITLE  \* MERGEFORMAT ">
      <w:r>
        <w:t>ST/SG/AC.10/C.3/2024/37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7908" w14:textId="7B2379F5" w:rsidR="00807D27" w:rsidRPr="00807D27" w:rsidRDefault="00807D27" w:rsidP="00807D27">
    <w:pPr>
      <w:pStyle w:val="En-tte"/>
      <w:jc w:val="right"/>
    </w:pPr>
    <w:fldSimple w:instr=" TITLE  \* MERGEFORMAT ">
      <w:r>
        <w:t>ST/SG/AC.10/C.3/2024/37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85256410">
    <w:abstractNumId w:val="12"/>
  </w:num>
  <w:num w:numId="2" w16cid:durableId="949975517">
    <w:abstractNumId w:val="11"/>
  </w:num>
  <w:num w:numId="3" w16cid:durableId="614170483">
    <w:abstractNumId w:val="10"/>
  </w:num>
  <w:num w:numId="4" w16cid:durableId="956569832">
    <w:abstractNumId w:val="8"/>
  </w:num>
  <w:num w:numId="5" w16cid:durableId="131099302">
    <w:abstractNumId w:val="3"/>
  </w:num>
  <w:num w:numId="6" w16cid:durableId="1540125980">
    <w:abstractNumId w:val="2"/>
  </w:num>
  <w:num w:numId="7" w16cid:durableId="1115901646">
    <w:abstractNumId w:val="1"/>
  </w:num>
  <w:num w:numId="8" w16cid:durableId="1722753745">
    <w:abstractNumId w:val="0"/>
  </w:num>
  <w:num w:numId="9" w16cid:durableId="697242279">
    <w:abstractNumId w:val="9"/>
  </w:num>
  <w:num w:numId="10" w16cid:durableId="99567407">
    <w:abstractNumId w:val="7"/>
  </w:num>
  <w:num w:numId="11" w16cid:durableId="129128842">
    <w:abstractNumId w:val="6"/>
  </w:num>
  <w:num w:numId="12" w16cid:durableId="2057122081">
    <w:abstractNumId w:val="5"/>
  </w:num>
  <w:num w:numId="13" w16cid:durableId="1183665979">
    <w:abstractNumId w:val="4"/>
  </w:num>
  <w:num w:numId="14" w16cid:durableId="475220573">
    <w:abstractNumId w:val="12"/>
  </w:num>
  <w:num w:numId="15" w16cid:durableId="1522234946">
    <w:abstractNumId w:val="11"/>
  </w:num>
  <w:num w:numId="16" w16cid:durableId="7268024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B8"/>
    <w:rsid w:val="00017F94"/>
    <w:rsid w:val="00023842"/>
    <w:rsid w:val="000305D3"/>
    <w:rsid w:val="000334F9"/>
    <w:rsid w:val="0007796D"/>
    <w:rsid w:val="000B7790"/>
    <w:rsid w:val="00111F2F"/>
    <w:rsid w:val="00132EA9"/>
    <w:rsid w:val="0014365E"/>
    <w:rsid w:val="00163432"/>
    <w:rsid w:val="00172E49"/>
    <w:rsid w:val="00176178"/>
    <w:rsid w:val="001F525A"/>
    <w:rsid w:val="00223272"/>
    <w:rsid w:val="00226BB8"/>
    <w:rsid w:val="0024779E"/>
    <w:rsid w:val="00283190"/>
    <w:rsid w:val="002832AC"/>
    <w:rsid w:val="002D7C93"/>
    <w:rsid w:val="002E17F2"/>
    <w:rsid w:val="003D0AD4"/>
    <w:rsid w:val="00441C3B"/>
    <w:rsid w:val="00446FE5"/>
    <w:rsid w:val="00452396"/>
    <w:rsid w:val="004E468C"/>
    <w:rsid w:val="005505B7"/>
    <w:rsid w:val="00573BE5"/>
    <w:rsid w:val="00584DC4"/>
    <w:rsid w:val="00586ED3"/>
    <w:rsid w:val="00596AA9"/>
    <w:rsid w:val="0068456F"/>
    <w:rsid w:val="00697DEF"/>
    <w:rsid w:val="0071601D"/>
    <w:rsid w:val="007A62E6"/>
    <w:rsid w:val="0080684C"/>
    <w:rsid w:val="00807D27"/>
    <w:rsid w:val="008123E0"/>
    <w:rsid w:val="00871C75"/>
    <w:rsid w:val="008776DC"/>
    <w:rsid w:val="008B40CD"/>
    <w:rsid w:val="009648B5"/>
    <w:rsid w:val="009705C8"/>
    <w:rsid w:val="009C1CF4"/>
    <w:rsid w:val="00A30353"/>
    <w:rsid w:val="00A81281"/>
    <w:rsid w:val="00AC3823"/>
    <w:rsid w:val="00AE323C"/>
    <w:rsid w:val="00B00181"/>
    <w:rsid w:val="00B00B0D"/>
    <w:rsid w:val="00B434EC"/>
    <w:rsid w:val="00B765F7"/>
    <w:rsid w:val="00BA0CA9"/>
    <w:rsid w:val="00C02897"/>
    <w:rsid w:val="00D3439C"/>
    <w:rsid w:val="00DA157C"/>
    <w:rsid w:val="00DB1831"/>
    <w:rsid w:val="00DD3BFD"/>
    <w:rsid w:val="00DF6678"/>
    <w:rsid w:val="00E9138C"/>
    <w:rsid w:val="00EA688A"/>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9D6EF"/>
  <w15:docId w15:val="{9E730E57-B2BD-42C0-BC62-8D0CF22D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locked/>
    <w:rsid w:val="00807D27"/>
    <w:rPr>
      <w:rFonts w:ascii="Times New Roman" w:eastAsiaTheme="minorHAnsi" w:hAnsi="Times New Roman" w:cs="Times New Roman"/>
      <w:b/>
      <w:sz w:val="28"/>
      <w:szCs w:val="20"/>
      <w:lang w:eastAsia="en-US"/>
    </w:rPr>
  </w:style>
  <w:style w:type="character" w:customStyle="1" w:styleId="H1GChar">
    <w:name w:val="_ H_1_G Char"/>
    <w:link w:val="H1G"/>
    <w:locked/>
    <w:rsid w:val="00807D27"/>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807D27"/>
    <w:pPr>
      <w:widowControl w:val="0"/>
      <w:spacing w:line="240" w:lineRule="auto"/>
      <w:ind w:firstLineChars="200" w:firstLine="420"/>
      <w:jc w:val="both"/>
    </w:pPr>
    <w:rPr>
      <w:kern w:val="2"/>
      <w:sz w:val="21"/>
      <w:lang w:val="en-US"/>
    </w:rPr>
  </w:style>
  <w:style w:type="character" w:customStyle="1" w:styleId="SingleTxtGChar">
    <w:name w:val="_ Single Txt_G Char"/>
    <w:link w:val="SingleTxtG"/>
    <w:qFormat/>
    <w:locked/>
    <w:rsid w:val="00807D2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DC945-9066-4234-A1FA-ED3A62105269}"/>
</file>

<file path=customXml/itemProps2.xml><?xml version="1.0" encoding="utf-8"?>
<ds:datastoreItem xmlns:ds="http://schemas.openxmlformats.org/officeDocument/2006/customXml" ds:itemID="{6A0AE2B0-2311-40F4-A966-A333E02F7B1A}"/>
</file>

<file path=docProps/app.xml><?xml version="1.0" encoding="utf-8"?>
<Properties xmlns="http://schemas.openxmlformats.org/officeDocument/2006/extended-properties" xmlns:vt="http://schemas.openxmlformats.org/officeDocument/2006/docPropsVTypes">
  <Template>ST.dotm</Template>
  <TotalTime>1</TotalTime>
  <Pages>3</Pages>
  <Words>791</Words>
  <Characters>6063</Characters>
  <Application>Microsoft Office Word</Application>
  <DocSecurity>0</DocSecurity>
  <Lines>2021</Lines>
  <Paragraphs>571</Paragraphs>
  <ScaleCrop>false</ScaleCrop>
  <HeadingPairs>
    <vt:vector size="2" baseType="variant">
      <vt:variant>
        <vt:lpstr>Titre</vt:lpstr>
      </vt:variant>
      <vt:variant>
        <vt:i4>1</vt:i4>
      </vt:variant>
    </vt:vector>
  </HeadingPairs>
  <TitlesOfParts>
    <vt:vector size="1" baseType="lpstr">
      <vt:lpstr>ST/SG/AC.10/C.3/2024/37</vt:lpstr>
    </vt:vector>
  </TitlesOfParts>
  <Company>DCM</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ST/SG/AC.10/C.3/2024/37</dc:title>
  <dc:subject/>
  <dc:creator>Nathalie VITTOZ</dc:creator>
  <cp:keywords/>
  <cp:lastModifiedBy>Nathalie VITTOZ</cp:lastModifiedBy>
  <cp:revision>2</cp:revision>
  <cp:lastPrinted>2014-05-14T10:59:00Z</cp:lastPrinted>
  <dcterms:created xsi:type="dcterms:W3CDTF">2024-04-29T07:00:00Z</dcterms:created>
  <dcterms:modified xsi:type="dcterms:W3CDTF">2024-04-29T07:00:00Z</dcterms:modified>
</cp:coreProperties>
</file>