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27BA4ED" w14:textId="77777777" w:rsidTr="005316B0">
        <w:trPr>
          <w:trHeight w:hRule="exact" w:val="851"/>
        </w:trPr>
        <w:tc>
          <w:tcPr>
            <w:tcW w:w="1276" w:type="dxa"/>
            <w:tcBorders>
              <w:bottom w:val="single" w:sz="4" w:space="0" w:color="auto"/>
            </w:tcBorders>
          </w:tcPr>
          <w:p w14:paraId="0553E74C" w14:textId="77777777" w:rsidR="001433FD" w:rsidRPr="00DB58B5" w:rsidRDefault="001433FD" w:rsidP="0001207F"/>
        </w:tc>
        <w:tc>
          <w:tcPr>
            <w:tcW w:w="2268" w:type="dxa"/>
            <w:tcBorders>
              <w:bottom w:val="single" w:sz="4" w:space="0" w:color="auto"/>
            </w:tcBorders>
            <w:vAlign w:val="bottom"/>
          </w:tcPr>
          <w:p w14:paraId="7EDCFEDC" w14:textId="77777777" w:rsidR="001433FD" w:rsidRPr="00DB58B5" w:rsidRDefault="001433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2A3D39" w14:textId="77777777" w:rsidR="001433FD" w:rsidRPr="00DB58B5" w:rsidRDefault="008930BE" w:rsidP="008930BE">
            <w:pPr>
              <w:jc w:val="right"/>
            </w:pPr>
            <w:r w:rsidRPr="008930BE">
              <w:rPr>
                <w:sz w:val="40"/>
              </w:rPr>
              <w:t>ECE</w:t>
            </w:r>
            <w:r>
              <w:t>/TRANS/WP.15/AC.2/2024/35</w:t>
            </w:r>
          </w:p>
        </w:tc>
      </w:tr>
      <w:tr w:rsidR="001433FD" w:rsidRPr="00DB58B5" w14:paraId="26F07E0E" w14:textId="77777777">
        <w:trPr>
          <w:trHeight w:hRule="exact" w:val="2835"/>
        </w:trPr>
        <w:tc>
          <w:tcPr>
            <w:tcW w:w="1276" w:type="dxa"/>
            <w:tcBorders>
              <w:top w:val="single" w:sz="4" w:space="0" w:color="auto"/>
              <w:bottom w:val="single" w:sz="12" w:space="0" w:color="auto"/>
            </w:tcBorders>
          </w:tcPr>
          <w:p w14:paraId="2C72DD42" w14:textId="77777777" w:rsidR="001433FD" w:rsidRPr="00DB58B5" w:rsidRDefault="001433FD">
            <w:pPr>
              <w:spacing w:before="120"/>
              <w:jc w:val="center"/>
            </w:pPr>
            <w:r>
              <w:rPr>
                <w:noProof/>
                <w:lang w:eastAsia="fr-CH"/>
              </w:rPr>
              <w:drawing>
                <wp:inline distT="0" distB="0" distL="0" distR="0" wp14:anchorId="46BFAC29" wp14:editId="423C83BA">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9EF98E" w14:textId="77777777" w:rsidR="001433FD" w:rsidRPr="00740562" w:rsidRDefault="001433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D8887C" w14:textId="77777777" w:rsidR="0001207F" w:rsidRDefault="008930BE" w:rsidP="008930BE">
            <w:pPr>
              <w:spacing w:before="240" w:line="240" w:lineRule="exact"/>
            </w:pPr>
            <w:proofErr w:type="spellStart"/>
            <w:r>
              <w:t>Distr</w:t>
            </w:r>
            <w:proofErr w:type="spellEnd"/>
            <w:r>
              <w:t>. générale</w:t>
            </w:r>
          </w:p>
          <w:p w14:paraId="1BF8FD54" w14:textId="77777777" w:rsidR="008930BE" w:rsidRDefault="008930BE" w:rsidP="008930BE">
            <w:pPr>
              <w:spacing w:line="240" w:lineRule="exact"/>
            </w:pPr>
            <w:r>
              <w:t>29 avril 2024</w:t>
            </w:r>
          </w:p>
          <w:p w14:paraId="3A1B31CB" w14:textId="77777777" w:rsidR="008930BE" w:rsidRDefault="008930BE" w:rsidP="008930BE">
            <w:pPr>
              <w:spacing w:line="240" w:lineRule="exact"/>
            </w:pPr>
          </w:p>
          <w:p w14:paraId="40520E04" w14:textId="77777777" w:rsidR="008930BE" w:rsidRPr="00DB58B5" w:rsidRDefault="008930BE" w:rsidP="008930BE">
            <w:pPr>
              <w:spacing w:line="240" w:lineRule="exact"/>
            </w:pPr>
            <w:r>
              <w:t>Original : français</w:t>
            </w:r>
          </w:p>
        </w:tc>
      </w:tr>
    </w:tbl>
    <w:p w14:paraId="6DA5E1C1" w14:textId="77777777" w:rsidR="00C11F5A" w:rsidRDefault="00C11F5A" w:rsidP="00FD1581">
      <w:pPr>
        <w:spacing w:before="120"/>
        <w:rPr>
          <w:b/>
          <w:sz w:val="28"/>
          <w:szCs w:val="28"/>
        </w:rPr>
      </w:pPr>
      <w:r w:rsidRPr="00883605">
        <w:rPr>
          <w:b/>
          <w:sz w:val="28"/>
          <w:szCs w:val="28"/>
        </w:rPr>
        <w:t>Commission économique pour l’Europe</w:t>
      </w:r>
    </w:p>
    <w:p w14:paraId="0FD2AABE" w14:textId="77777777" w:rsidR="00C11F5A" w:rsidRDefault="00C11F5A" w:rsidP="00FD1581">
      <w:pPr>
        <w:spacing w:before="120"/>
        <w:rPr>
          <w:sz w:val="28"/>
          <w:szCs w:val="28"/>
        </w:rPr>
      </w:pPr>
      <w:r w:rsidRPr="00685843">
        <w:rPr>
          <w:sz w:val="28"/>
          <w:szCs w:val="28"/>
        </w:rPr>
        <w:t>Comité des transports intérieurs</w:t>
      </w:r>
    </w:p>
    <w:p w14:paraId="1FECF7CB" w14:textId="77777777" w:rsidR="00C11F5A" w:rsidRPr="009E01B8" w:rsidRDefault="00C11F5A"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0EAE622" w14:textId="77777777" w:rsidR="00C11F5A" w:rsidRPr="004812F5" w:rsidRDefault="00C11F5A"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CB1DC28" w14:textId="77777777" w:rsidR="00CE480F" w:rsidRPr="00CE6C41" w:rsidRDefault="00CE480F" w:rsidP="00CE480F">
      <w:pPr>
        <w:spacing w:before="120"/>
        <w:rPr>
          <w:b/>
          <w:bCs/>
        </w:rPr>
      </w:pPr>
      <w:r w:rsidRPr="00470BA2">
        <w:rPr>
          <w:b/>
          <w:bCs/>
        </w:rPr>
        <w:t>Quarante-quatrième</w:t>
      </w:r>
      <w:r>
        <w:rPr>
          <w:b/>
          <w:bCs/>
        </w:rPr>
        <w:t xml:space="preserve"> </w:t>
      </w:r>
      <w:r w:rsidRPr="00CE6C41">
        <w:rPr>
          <w:b/>
          <w:bCs/>
        </w:rPr>
        <w:t>session</w:t>
      </w:r>
    </w:p>
    <w:p w14:paraId="0E57CF8A" w14:textId="77777777" w:rsidR="00CE480F" w:rsidRDefault="00CE480F" w:rsidP="00CE480F">
      <w:pPr>
        <w:rPr>
          <w:bCs/>
          <w:lang w:val="fr-FR"/>
        </w:rPr>
      </w:pPr>
      <w:r>
        <w:t xml:space="preserve">Genève, </w:t>
      </w:r>
      <w:r>
        <w:rPr>
          <w:bCs/>
          <w:lang w:val="fr-FR"/>
        </w:rPr>
        <w:t>26-30 août 2024</w:t>
      </w:r>
    </w:p>
    <w:p w14:paraId="4AA0D6F4" w14:textId="46D39E8F" w:rsidR="00C11F5A" w:rsidRDefault="00C11F5A" w:rsidP="00FD1581">
      <w:r w:rsidRPr="00B93E72">
        <w:t xml:space="preserve">Point </w:t>
      </w:r>
      <w:r w:rsidR="006C7776">
        <w:t>4 b)</w:t>
      </w:r>
      <w:r>
        <w:t xml:space="preserve"> </w:t>
      </w:r>
      <w:r w:rsidRPr="00B93E72">
        <w:t>de l’ordre du jour provisoire</w:t>
      </w:r>
    </w:p>
    <w:p w14:paraId="14DFAEFD" w14:textId="77777777" w:rsidR="005C65EE" w:rsidRPr="005C65EE" w:rsidRDefault="00E2781F" w:rsidP="00FD1581">
      <w:pPr>
        <w:rPr>
          <w:b/>
          <w:bCs/>
        </w:rPr>
      </w:pPr>
      <w:r w:rsidRPr="005C65EE">
        <w:rPr>
          <w:b/>
          <w:bCs/>
        </w:rPr>
        <w:t xml:space="preserve">Propositions d’amendements au règlement annexé à l’ADN : </w:t>
      </w:r>
    </w:p>
    <w:p w14:paraId="46330AC0" w14:textId="2ADA5445" w:rsidR="00E2781F" w:rsidRPr="005C65EE" w:rsidRDefault="00E2781F" w:rsidP="00FD1581">
      <w:pPr>
        <w:rPr>
          <w:b/>
          <w:bCs/>
        </w:rPr>
      </w:pPr>
      <w:r w:rsidRPr="005C65EE">
        <w:rPr>
          <w:b/>
          <w:bCs/>
        </w:rPr>
        <w:t>autres propositions d'amendements</w:t>
      </w:r>
    </w:p>
    <w:p w14:paraId="19507D22" w14:textId="77777777" w:rsidR="000464D8" w:rsidRPr="0062783F" w:rsidRDefault="000464D8" w:rsidP="000464D8">
      <w:pPr>
        <w:pStyle w:val="HChG"/>
        <w:spacing w:line="240" w:lineRule="atLeast"/>
        <w:ind w:right="142"/>
        <w:rPr>
          <w:sz w:val="32"/>
          <w:lang w:val="fr-FR"/>
        </w:rPr>
      </w:pPr>
      <w:r w:rsidRPr="0062783F">
        <w:rPr>
          <w:sz w:val="32"/>
          <w:lang w:val="fr-FR"/>
        </w:rPr>
        <w:tab/>
      </w:r>
      <w:r w:rsidRPr="0062783F">
        <w:rPr>
          <w:sz w:val="32"/>
          <w:lang w:val="fr-FR"/>
        </w:rPr>
        <w:tab/>
        <w:t>Modifications connexes concernant le « degré de remplissage » et le « taux de remplissage »</w:t>
      </w:r>
    </w:p>
    <w:p w14:paraId="3FDD2FF5" w14:textId="0B39E09D" w:rsidR="000464D8" w:rsidRPr="0062783F" w:rsidRDefault="00D919EE" w:rsidP="000464D8">
      <w:pPr>
        <w:spacing w:after="120"/>
        <w:ind w:left="567" w:firstLine="567"/>
        <w:rPr>
          <w:b/>
          <w:sz w:val="24"/>
          <w:lang w:val="fr-FR"/>
        </w:rPr>
      </w:pPr>
      <w:r>
        <w:rPr>
          <w:b/>
          <w:sz w:val="24"/>
          <w:lang w:val="fr-FR"/>
        </w:rPr>
        <w:t>Communication du Gouvernement de</w:t>
      </w:r>
      <w:r w:rsidR="000464D8" w:rsidRPr="0062783F">
        <w:rPr>
          <w:b/>
          <w:sz w:val="24"/>
          <w:lang w:val="fr-FR"/>
        </w:rPr>
        <w:t xml:space="preserve"> l'Autriche</w:t>
      </w:r>
      <w:r w:rsidR="000464D8" w:rsidRPr="0062783F">
        <w:rPr>
          <w:b/>
          <w:sz w:val="24"/>
          <w:lang w:val="fr-FR"/>
        </w:rPr>
        <w:footnoteReference w:customMarkFollows="1" w:id="2"/>
        <w:t xml:space="preserve">*, </w:t>
      </w:r>
      <w:r w:rsidR="000464D8" w:rsidRPr="0062783F">
        <w:rPr>
          <w:b/>
          <w:sz w:val="24"/>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51267" w14:paraId="0F3DB2F8" w14:textId="77777777" w:rsidTr="23693C5B">
        <w:trPr>
          <w:jc w:val="center"/>
        </w:trPr>
        <w:tc>
          <w:tcPr>
            <w:tcW w:w="9628" w:type="dxa"/>
            <w:shd w:val="clear" w:color="auto" w:fill="auto"/>
          </w:tcPr>
          <w:p w14:paraId="04D8E108" w14:textId="175409F7" w:rsidR="00651267" w:rsidRPr="00C6263E" w:rsidRDefault="00517A0D">
            <w:pPr>
              <w:spacing w:before="240" w:after="120"/>
              <w:ind w:left="255"/>
              <w:rPr>
                <w:i/>
                <w:sz w:val="24"/>
                <w:lang w:val="en-GB"/>
              </w:rPr>
            </w:pPr>
            <w:r w:rsidRPr="00517A0D">
              <w:rPr>
                <w:i/>
                <w:sz w:val="24"/>
                <w:lang w:val="en-GB"/>
              </w:rPr>
              <w:t>Résumé</w:t>
            </w:r>
          </w:p>
        </w:tc>
      </w:tr>
      <w:tr w:rsidR="00651267" w14:paraId="382D3814" w14:textId="77777777" w:rsidTr="23693C5B">
        <w:trPr>
          <w:jc w:val="center"/>
        </w:trPr>
        <w:tc>
          <w:tcPr>
            <w:tcW w:w="9628" w:type="dxa"/>
            <w:shd w:val="clear" w:color="auto" w:fill="auto"/>
          </w:tcPr>
          <w:p w14:paraId="72DE6018" w14:textId="631716B4" w:rsidR="0094709E" w:rsidRPr="00357B92" w:rsidRDefault="0094709E" w:rsidP="23693C5B">
            <w:pPr>
              <w:ind w:left="3109" w:right="416" w:hanging="1985"/>
            </w:pPr>
            <w:r w:rsidRPr="23693C5B">
              <w:rPr>
                <w:b/>
                <w:bCs/>
              </w:rPr>
              <w:t>Résumé analytique</w:t>
            </w:r>
            <w:r w:rsidRPr="23693C5B">
              <w:t xml:space="preserve"> :</w:t>
            </w:r>
            <w:r>
              <w:tab/>
            </w:r>
            <w:r w:rsidRPr="00EE74F0">
              <w:t xml:space="preserve">Par le document </w:t>
            </w:r>
            <w:r w:rsidR="00977D49" w:rsidRPr="00537A4A">
              <w:t>ECE/TRANS/</w:t>
            </w:r>
            <w:r w:rsidRPr="00EE74F0">
              <w:t xml:space="preserve">WP.15/AC.2/2024/30 ont été soumis des amendements issus de la Réunion commune et </w:t>
            </w:r>
            <w:r w:rsidR="00A40A10">
              <w:t>du</w:t>
            </w:r>
            <w:r w:rsidR="00E354CA" w:rsidRPr="00EE74F0">
              <w:t xml:space="preserve"> </w:t>
            </w:r>
            <w:r w:rsidR="00615D79" w:rsidRPr="00EE74F0">
              <w:t>Groupe de travail des transports de marchandises dangereuses</w:t>
            </w:r>
            <w:r w:rsidRPr="00EE74F0">
              <w:t xml:space="preserve"> </w:t>
            </w:r>
            <w:r w:rsidR="00E354CA" w:rsidRPr="00EE74F0">
              <w:t>(</w:t>
            </w:r>
            <w:r w:rsidRPr="00EE74F0">
              <w:t>WP.15</w:t>
            </w:r>
            <w:r w:rsidR="00E354CA" w:rsidRPr="00EE74F0">
              <w:t>)</w:t>
            </w:r>
            <w:r w:rsidRPr="00EE74F0">
              <w:t>. Ainsi sont notamment reprises dans l'ADN les définitions de « degré de remplissage » (pour les matières solides et liquides) et de « taux de remplissage (pour les gaz). Or, l'ADN contient également une définition pour « Taux de remplissage (citerne à cargaison) », qu'il convient de réviser en conséquence.</w:t>
            </w:r>
          </w:p>
          <w:p w14:paraId="581963A4" w14:textId="40207EDC" w:rsidR="0094709E" w:rsidRPr="00357B92" w:rsidRDefault="00B970BD" w:rsidP="0092404D">
            <w:pPr>
              <w:ind w:left="3109" w:hanging="2858"/>
              <w:rPr>
                <w:lang w:val="fr-FR"/>
              </w:rPr>
            </w:pPr>
            <w:r w:rsidRPr="00357B92">
              <w:rPr>
                <w:lang w:val="fr-FR"/>
              </w:rPr>
              <w:tab/>
            </w:r>
            <w:r w:rsidR="0094709E" w:rsidRPr="00357B92">
              <w:rPr>
                <w:lang w:val="fr-FR"/>
              </w:rPr>
              <w:t>Pour chaque occurrence des termes susmentionnés, il conviendrait de clarifier lequel des nouveaux termes doit être utilisé.</w:t>
            </w:r>
          </w:p>
          <w:p w14:paraId="61106C35" w14:textId="5C124D8A" w:rsidR="0094709E" w:rsidRPr="00357B92" w:rsidRDefault="0092404D" w:rsidP="00D21BCB">
            <w:pPr>
              <w:spacing w:after="120"/>
              <w:ind w:left="3107" w:hanging="2858"/>
              <w:rPr>
                <w:lang w:val="fr-FR"/>
              </w:rPr>
            </w:pPr>
            <w:r w:rsidRPr="00357B92">
              <w:rPr>
                <w:lang w:val="fr-FR"/>
              </w:rPr>
              <w:tab/>
            </w:r>
            <w:r w:rsidR="0094709E" w:rsidRPr="00357B92">
              <w:rPr>
                <w:lang w:val="fr-FR"/>
              </w:rPr>
              <w:t xml:space="preserve">Le présent document repose sur le </w:t>
            </w:r>
            <w:r w:rsidR="0094709E" w:rsidRPr="00CE2687">
              <w:rPr>
                <w:lang w:val="fr-FR"/>
              </w:rPr>
              <w:t xml:space="preserve">document </w:t>
            </w:r>
            <w:r w:rsidR="00D359DC" w:rsidRPr="00CE2687">
              <w:rPr>
                <w:lang w:val="fr-FR"/>
              </w:rPr>
              <w:t xml:space="preserve">informel </w:t>
            </w:r>
            <w:r w:rsidR="0094709E" w:rsidRPr="00CE2687">
              <w:rPr>
                <w:lang w:val="fr-FR"/>
              </w:rPr>
              <w:t>INF</w:t>
            </w:r>
            <w:r w:rsidR="00271BB2">
              <w:rPr>
                <w:lang w:val="fr-FR"/>
              </w:rPr>
              <w:t>.</w:t>
            </w:r>
            <w:r w:rsidR="0094709E" w:rsidRPr="00CE2687">
              <w:rPr>
                <w:lang w:val="fr-FR"/>
              </w:rPr>
              <w:t>9</w:t>
            </w:r>
            <w:r w:rsidR="0094709E" w:rsidRPr="00357B92">
              <w:rPr>
                <w:lang w:val="fr-FR"/>
              </w:rPr>
              <w:t xml:space="preserve"> de </w:t>
            </w:r>
            <w:r w:rsidR="00E47521" w:rsidRPr="00357B92">
              <w:rPr>
                <w:lang w:val="fr-FR"/>
              </w:rPr>
              <w:t>la q</w:t>
            </w:r>
            <w:r w:rsidR="006118AB" w:rsidRPr="00357B92">
              <w:rPr>
                <w:lang w:val="fr-FR"/>
              </w:rPr>
              <w:t>uarante-troisième session</w:t>
            </w:r>
            <w:r w:rsidR="0094709E" w:rsidRPr="00357B92">
              <w:rPr>
                <w:lang w:val="fr-FR"/>
              </w:rPr>
              <w:t>, et sur les résultats de la discussion au sein du Comité de sécurité</w:t>
            </w:r>
            <w:r w:rsidR="00A52486">
              <w:rPr>
                <w:lang w:val="fr-FR"/>
              </w:rPr>
              <w:t xml:space="preserve"> de l</w:t>
            </w:r>
            <w:r w:rsidR="00271BB2">
              <w:rPr>
                <w:lang w:val="fr-FR"/>
              </w:rPr>
              <w:t>’ADN</w:t>
            </w:r>
            <w:r w:rsidR="0094709E" w:rsidRPr="00357B92">
              <w:rPr>
                <w:lang w:val="fr-FR"/>
              </w:rPr>
              <w:t>.</w:t>
            </w:r>
          </w:p>
          <w:p w14:paraId="58055161" w14:textId="77777777" w:rsidR="00736C1B" w:rsidRPr="00357B92" w:rsidRDefault="00736C1B" w:rsidP="00D21BCB">
            <w:pPr>
              <w:spacing w:after="120"/>
              <w:ind w:left="3108" w:right="414" w:hanging="1985"/>
              <w:rPr>
                <w:lang w:val="fr-FR"/>
              </w:rPr>
            </w:pPr>
            <w:r w:rsidRPr="00357B92">
              <w:rPr>
                <w:b/>
                <w:lang w:val="fr-FR"/>
              </w:rPr>
              <w:t>Mesures à prendre :</w:t>
            </w:r>
            <w:r w:rsidRPr="00357B92">
              <w:rPr>
                <w:lang w:val="fr-FR"/>
              </w:rPr>
              <w:tab/>
              <w:t>Décision concernant les modifications pour l'édition 2025.</w:t>
            </w:r>
          </w:p>
          <w:p w14:paraId="4D079D60" w14:textId="2430414A" w:rsidR="00651267" w:rsidRPr="00357B92" w:rsidRDefault="00D21BCB" w:rsidP="00802CF8">
            <w:pPr>
              <w:ind w:left="3109" w:right="416" w:hanging="1985"/>
            </w:pPr>
            <w:r w:rsidRPr="00357B92">
              <w:rPr>
                <w:b/>
                <w:lang w:val="fr-FR"/>
              </w:rPr>
              <w:t>Documents connexes</w:t>
            </w:r>
            <w:r w:rsidRPr="00357B92">
              <w:rPr>
                <w:lang w:val="fr-FR"/>
              </w:rPr>
              <w:t xml:space="preserve"> :</w:t>
            </w:r>
            <w:r w:rsidRPr="00357B92">
              <w:rPr>
                <w:lang w:val="fr-FR"/>
              </w:rPr>
              <w:tab/>
            </w:r>
            <w:r w:rsidR="00E47521" w:rsidRPr="00357B92">
              <w:rPr>
                <w:lang w:val="fr-FR"/>
              </w:rPr>
              <w:t>ECE/TRANS/</w:t>
            </w:r>
            <w:r w:rsidRPr="00CE2687">
              <w:rPr>
                <w:lang w:val="fr-FR"/>
              </w:rPr>
              <w:t>WP.15/AC.2/2024/30</w:t>
            </w:r>
            <w:r w:rsidRPr="00CE2687">
              <w:rPr>
                <w:lang w:val="fr-FR"/>
              </w:rPr>
              <w:br/>
            </w:r>
            <w:r w:rsidR="009B7A18" w:rsidRPr="00CE2687">
              <w:rPr>
                <w:lang w:val="fr-FR"/>
              </w:rPr>
              <w:t>document informel INF</w:t>
            </w:r>
            <w:r w:rsidR="00271BB2">
              <w:rPr>
                <w:lang w:val="fr-FR"/>
              </w:rPr>
              <w:t>.</w:t>
            </w:r>
            <w:r w:rsidR="009B7A18" w:rsidRPr="00357B92">
              <w:rPr>
                <w:lang w:val="fr-FR"/>
              </w:rPr>
              <w:t>11 de la quarante-</w:t>
            </w:r>
            <w:r w:rsidR="00904048" w:rsidRPr="00357B92">
              <w:rPr>
                <w:lang w:val="fr-FR"/>
              </w:rPr>
              <w:t>deuxième</w:t>
            </w:r>
            <w:r w:rsidR="009B7A18" w:rsidRPr="00357B92">
              <w:rPr>
                <w:lang w:val="fr-FR"/>
              </w:rPr>
              <w:t xml:space="preserve"> session</w:t>
            </w:r>
            <w:r w:rsidRPr="00CE2687">
              <w:rPr>
                <w:lang w:val="fr-FR"/>
              </w:rPr>
              <w:br/>
            </w:r>
            <w:r w:rsidR="009B7A18" w:rsidRPr="00CE2687">
              <w:rPr>
                <w:lang w:val="fr-FR"/>
              </w:rPr>
              <w:t>document informel INF</w:t>
            </w:r>
            <w:r w:rsidR="00C75EBD">
              <w:rPr>
                <w:lang w:val="fr-FR"/>
              </w:rPr>
              <w:t>.</w:t>
            </w:r>
            <w:r w:rsidR="009B7A18" w:rsidRPr="00CE2687">
              <w:rPr>
                <w:lang w:val="fr-FR"/>
              </w:rPr>
              <w:t>9</w:t>
            </w:r>
            <w:r w:rsidR="009B7A18" w:rsidRPr="00357B92">
              <w:rPr>
                <w:lang w:val="fr-FR"/>
              </w:rPr>
              <w:t xml:space="preserve"> de la quarante-troisième session</w:t>
            </w:r>
            <w:r w:rsidR="009B7A18" w:rsidRPr="00CE2687">
              <w:rPr>
                <w:lang w:val="fr-FR"/>
              </w:rPr>
              <w:t xml:space="preserve"> </w:t>
            </w:r>
          </w:p>
        </w:tc>
      </w:tr>
    </w:tbl>
    <w:p w14:paraId="6E7633D9" w14:textId="7F7E71CB" w:rsidR="008E30ED" w:rsidRPr="008E30ED" w:rsidRDefault="008E30ED" w:rsidP="008E30ED">
      <w:pPr>
        <w:pStyle w:val="HChG"/>
        <w:rPr>
          <w:lang w:val="en-US"/>
        </w:rPr>
      </w:pPr>
      <w:r>
        <w:rPr>
          <w:lang w:val="en-US"/>
        </w:rPr>
        <w:lastRenderedPageBreak/>
        <w:tab/>
      </w:r>
      <w:r>
        <w:rPr>
          <w:lang w:val="en-US"/>
        </w:rPr>
        <w:tab/>
      </w:r>
      <w:r w:rsidRPr="008E30ED">
        <w:rPr>
          <w:lang w:val="en-US"/>
        </w:rPr>
        <w:t>Introduction</w:t>
      </w:r>
    </w:p>
    <w:p w14:paraId="7320A750" w14:textId="21EE6610" w:rsidR="00C1626B" w:rsidRPr="00CE2687" w:rsidRDefault="008C3257" w:rsidP="008C3257">
      <w:pPr>
        <w:pStyle w:val="SingleTxtG"/>
        <w:rPr>
          <w:lang w:val="fr-FR"/>
        </w:rPr>
      </w:pPr>
      <w:r w:rsidRPr="00CE2687">
        <w:rPr>
          <w:lang w:val="fr-FR"/>
        </w:rPr>
        <w:t>1.</w:t>
      </w:r>
      <w:r w:rsidRPr="00CE2687">
        <w:rPr>
          <w:lang w:val="fr-FR"/>
        </w:rPr>
        <w:tab/>
      </w:r>
      <w:r w:rsidR="008E30ED" w:rsidRPr="00CE2687">
        <w:rPr>
          <w:lang w:val="fr-FR"/>
        </w:rPr>
        <w:t xml:space="preserve">Par le document </w:t>
      </w:r>
      <w:r w:rsidR="00357B92" w:rsidRPr="00CE2687">
        <w:rPr>
          <w:lang w:val="fr-FR"/>
        </w:rPr>
        <w:t>ECE/TRANS/</w:t>
      </w:r>
      <w:r w:rsidR="008E30ED" w:rsidRPr="00CE2687">
        <w:rPr>
          <w:lang w:val="fr-FR"/>
        </w:rPr>
        <w:t>WP.15/AC.2/2024/30 ont été soumis des amendements issus de la Réunion commune</w:t>
      </w:r>
      <w:r w:rsidR="00834675" w:rsidRPr="00CE2687">
        <w:rPr>
          <w:lang w:val="fr-FR"/>
        </w:rPr>
        <w:t xml:space="preserve"> </w:t>
      </w:r>
      <w:r w:rsidR="008E30ED" w:rsidRPr="00CE2687">
        <w:rPr>
          <w:lang w:val="fr-FR"/>
        </w:rPr>
        <w:t>et du WP.15. Ce document contient notamment des définitions de « degré de remplissage » (pour les matières solides et liquides) et de « taux de remplissage » (pour les gaz), qui doivent être reprises dans l'ADN. Étant donné que ces termes sont utilisés dans les parties harmonisées de l'ADN ainsi que dans les parties 4 et 6 de l'ADR et du RID qui y font référence, il est nécessaire de reprendre ces définitions dans l'ADN.</w:t>
      </w:r>
    </w:p>
    <w:p w14:paraId="02887ABE" w14:textId="77777777" w:rsidR="00F36E85" w:rsidRPr="0062783F" w:rsidRDefault="00F36E85" w:rsidP="008C3257">
      <w:pPr>
        <w:pStyle w:val="SingleTxtG"/>
        <w:rPr>
          <w:lang w:val="fr-FR"/>
        </w:rPr>
      </w:pPr>
      <w:r w:rsidRPr="0062783F">
        <w:rPr>
          <w:lang w:val="fr-FR"/>
        </w:rPr>
        <w:t>2.</w:t>
      </w:r>
      <w:r w:rsidRPr="0062783F">
        <w:rPr>
          <w:lang w:val="fr-FR"/>
        </w:rPr>
        <w:tab/>
        <w:t>Or, l'ADN contient également une définition pour « taux de remplissage (citerne à cargaison) », laquelle s'écarte des définitions harmonisées. Dans l'ADN 2005, cette définition se référait à une température de 15 °C. Cette température de référence a cependant été supprimée dès la première édition officielle de l'ADN 2009. De ce fait, il n'est plus autorisé de dépasser la marque du taux de remplissage maximal autorisé lors du remplissage d'une citerne à cargaison avec un liquide dont la température est supérieure à 15 °C. Si la définition du « taux de remplissage (citerne à cargaison) » était à présent supprimée, cela rétablirait la situation d'avant 2009, ce qui n'est pas souhaitable. La définition de « taux de remplissage (citerne à cargaison) » sans référence à la température devrait par conséquent être maintenue.</w:t>
      </w:r>
    </w:p>
    <w:p w14:paraId="48D97BCD" w14:textId="1A1CA959" w:rsidR="00F36E85" w:rsidRPr="0062783F" w:rsidRDefault="00F36E85" w:rsidP="008C3257">
      <w:pPr>
        <w:pStyle w:val="SingleTxtG"/>
        <w:rPr>
          <w:lang w:val="fr-FR"/>
        </w:rPr>
      </w:pPr>
      <w:r w:rsidRPr="0062783F">
        <w:rPr>
          <w:lang w:val="fr-FR"/>
        </w:rPr>
        <w:t>3.</w:t>
      </w:r>
      <w:r w:rsidRPr="0062783F">
        <w:rPr>
          <w:lang w:val="fr-FR"/>
        </w:rPr>
        <w:tab/>
        <w:t xml:space="preserve">Avec les deux nouvelles définitions harmonisées, il </w:t>
      </w:r>
      <w:proofErr w:type="spellStart"/>
      <w:r w:rsidRPr="0062783F">
        <w:rPr>
          <w:lang w:val="fr-FR"/>
        </w:rPr>
        <w:t>apparait</w:t>
      </w:r>
      <w:proofErr w:type="spellEnd"/>
      <w:r w:rsidRPr="0062783F">
        <w:rPr>
          <w:lang w:val="fr-FR"/>
        </w:rPr>
        <w:t xml:space="preserve"> cependant clairement que le </w:t>
      </w:r>
      <w:r w:rsidRPr="008C3294">
        <w:rPr>
          <w:lang w:val="fr-FR"/>
        </w:rPr>
        <w:t>degré</w:t>
      </w:r>
      <w:r w:rsidRPr="0062783F">
        <w:rPr>
          <w:lang w:val="fr-FR"/>
        </w:rPr>
        <w:t xml:space="preserve"> de remplissage doit être indiqué en pourcentage volumique pour les matières liquides et solides, tandis que le </w:t>
      </w:r>
      <w:r>
        <w:rPr>
          <w:lang w:val="fr-FR"/>
        </w:rPr>
        <w:t>taux</w:t>
      </w:r>
      <w:r w:rsidRPr="0062783F">
        <w:rPr>
          <w:lang w:val="fr-FR"/>
        </w:rPr>
        <w:t xml:space="preserve"> de remplissage pour les gaz doit être indiqué en pourcentage massique. Jusqu'à présent, la version allemande du Tableau C utilisait l'expression </w:t>
      </w:r>
      <w:r w:rsidRPr="00CE2687">
        <w:rPr>
          <w:i/>
          <w:iCs/>
          <w:lang w:val="fr-FR"/>
        </w:rPr>
        <w:t>«</w:t>
      </w:r>
      <w:r w:rsidRPr="0062783F">
        <w:rPr>
          <w:lang w:val="fr-FR"/>
        </w:rPr>
        <w:t> </w:t>
      </w:r>
      <w:r w:rsidRPr="00CE2687">
        <w:rPr>
          <w:i/>
          <w:iCs/>
          <w:lang w:val="fr-FR"/>
        </w:rPr>
        <w:t xml:space="preserve">maximal </w:t>
      </w:r>
      <w:proofErr w:type="spellStart"/>
      <w:r w:rsidRPr="00CE2687">
        <w:rPr>
          <w:i/>
          <w:iCs/>
          <w:lang w:val="fr-FR"/>
        </w:rPr>
        <w:t>zulässiger</w:t>
      </w:r>
      <w:proofErr w:type="spellEnd"/>
      <w:r w:rsidRPr="00CE2687">
        <w:rPr>
          <w:i/>
          <w:iCs/>
          <w:lang w:val="fr-FR"/>
        </w:rPr>
        <w:t xml:space="preserve"> </w:t>
      </w:r>
      <w:proofErr w:type="spellStart"/>
      <w:r w:rsidRPr="00CE2687">
        <w:rPr>
          <w:i/>
          <w:iCs/>
          <w:lang w:val="fr-FR"/>
        </w:rPr>
        <w:t>Tankfüllungsgrad</w:t>
      </w:r>
      <w:proofErr w:type="spellEnd"/>
      <w:r w:rsidRPr="00CE2687">
        <w:rPr>
          <w:i/>
          <w:iCs/>
          <w:lang w:val="fr-FR"/>
        </w:rPr>
        <w:t xml:space="preserve"> in %</w:t>
      </w:r>
      <w:r w:rsidRPr="0062783F">
        <w:rPr>
          <w:lang w:val="fr-FR"/>
        </w:rPr>
        <w:t> </w:t>
      </w:r>
      <w:r w:rsidRPr="00CE2687">
        <w:rPr>
          <w:i/>
          <w:iCs/>
          <w:lang w:val="fr-FR"/>
        </w:rPr>
        <w:t>»</w:t>
      </w:r>
      <w:r w:rsidRPr="0062783F">
        <w:rPr>
          <w:lang w:val="fr-FR"/>
        </w:rPr>
        <w:t xml:space="preserve"> </w:t>
      </w:r>
      <w:r w:rsidRPr="00CE2687">
        <w:rPr>
          <w:iCs/>
          <w:lang w:val="fr-FR"/>
        </w:rPr>
        <w:t>[taux de remplissage maximal autorisé de la citerne en %]</w:t>
      </w:r>
      <w:r w:rsidRPr="0062783F">
        <w:rPr>
          <w:lang w:val="fr-FR"/>
        </w:rPr>
        <w:t xml:space="preserve">, ce qui permettait d'appliquer la définition </w:t>
      </w:r>
      <w:r w:rsidRPr="00CE2687">
        <w:rPr>
          <w:i/>
          <w:iCs/>
          <w:lang w:val="fr-FR"/>
        </w:rPr>
        <w:t>«</w:t>
      </w:r>
      <w:r w:rsidRPr="0062783F">
        <w:rPr>
          <w:lang w:val="fr-FR"/>
        </w:rPr>
        <w:t> </w:t>
      </w:r>
      <w:proofErr w:type="spellStart"/>
      <w:r w:rsidRPr="00CE2687">
        <w:rPr>
          <w:i/>
          <w:iCs/>
          <w:lang w:val="fr-FR"/>
        </w:rPr>
        <w:t>Füllungsgrad</w:t>
      </w:r>
      <w:proofErr w:type="spellEnd"/>
      <w:r w:rsidRPr="00CE2687">
        <w:rPr>
          <w:i/>
          <w:iCs/>
          <w:lang w:val="fr-FR"/>
        </w:rPr>
        <w:t xml:space="preserve"> (</w:t>
      </w:r>
      <w:proofErr w:type="spellStart"/>
      <w:r w:rsidRPr="00CE2687">
        <w:rPr>
          <w:i/>
          <w:iCs/>
          <w:lang w:val="fr-FR"/>
        </w:rPr>
        <w:t>Ladetank</w:t>
      </w:r>
      <w:proofErr w:type="spellEnd"/>
      <w:r w:rsidRPr="00CE2687">
        <w:rPr>
          <w:i/>
          <w:iCs/>
          <w:lang w:val="fr-FR"/>
        </w:rPr>
        <w:t>)</w:t>
      </w:r>
      <w:r w:rsidRPr="0062783F">
        <w:rPr>
          <w:lang w:val="fr-FR"/>
        </w:rPr>
        <w:t> </w:t>
      </w:r>
      <w:r w:rsidRPr="00CE2687">
        <w:rPr>
          <w:i/>
          <w:iCs/>
          <w:lang w:val="fr-FR"/>
        </w:rPr>
        <w:t>»</w:t>
      </w:r>
      <w:r w:rsidRPr="0062783F">
        <w:rPr>
          <w:lang w:val="fr-FR"/>
        </w:rPr>
        <w:t xml:space="preserve">" </w:t>
      </w:r>
      <w:r w:rsidRPr="00CE2687">
        <w:rPr>
          <w:iCs/>
          <w:lang w:val="fr-FR"/>
        </w:rPr>
        <w:t>[taux de remplissage (citerne à cargaison)]</w:t>
      </w:r>
      <w:r w:rsidRPr="0062783F">
        <w:rPr>
          <w:lang w:val="fr-FR"/>
        </w:rPr>
        <w:t xml:space="preserve"> pour les matières liquides et l'ancienne définition </w:t>
      </w:r>
      <w:r w:rsidRPr="00CE2687">
        <w:rPr>
          <w:i/>
          <w:iCs/>
          <w:lang w:val="fr-FR"/>
        </w:rPr>
        <w:t>« </w:t>
      </w:r>
      <w:proofErr w:type="spellStart"/>
      <w:r w:rsidRPr="00CE2687">
        <w:rPr>
          <w:i/>
          <w:iCs/>
          <w:lang w:val="fr-FR"/>
        </w:rPr>
        <w:t>Füllungsgrad</w:t>
      </w:r>
      <w:proofErr w:type="spellEnd"/>
      <w:r w:rsidRPr="00CE2687">
        <w:rPr>
          <w:i/>
          <w:iCs/>
          <w:lang w:val="fr-FR"/>
        </w:rPr>
        <w:t> »</w:t>
      </w:r>
      <w:r w:rsidRPr="0062783F">
        <w:rPr>
          <w:lang w:val="fr-FR"/>
        </w:rPr>
        <w:t xml:space="preserve"> </w:t>
      </w:r>
      <w:r w:rsidRPr="00CE2687">
        <w:rPr>
          <w:iCs/>
          <w:lang w:val="fr-FR"/>
        </w:rPr>
        <w:t>[taux de remplissage]</w:t>
      </w:r>
      <w:r w:rsidRPr="0062783F">
        <w:rPr>
          <w:lang w:val="fr-FR"/>
        </w:rPr>
        <w:t xml:space="preserve">, qui se référait aux gaz, pour les matières gazeuses. Étant donné que cette deuxième définition est à présent remplacée par </w:t>
      </w:r>
      <w:r w:rsidRPr="00CE2687">
        <w:rPr>
          <w:i/>
          <w:iCs/>
          <w:lang w:val="fr-FR"/>
        </w:rPr>
        <w:t>« </w:t>
      </w:r>
      <w:proofErr w:type="spellStart"/>
      <w:r w:rsidRPr="00CE2687">
        <w:rPr>
          <w:i/>
          <w:iCs/>
          <w:lang w:val="fr-FR"/>
        </w:rPr>
        <w:t>Füllfaktor</w:t>
      </w:r>
      <w:proofErr w:type="spellEnd"/>
      <w:r w:rsidRPr="00CE2687">
        <w:rPr>
          <w:i/>
          <w:iCs/>
          <w:lang w:val="fr-FR"/>
        </w:rPr>
        <w:t> »</w:t>
      </w:r>
      <w:r w:rsidRPr="0062783F">
        <w:rPr>
          <w:lang w:val="fr-FR"/>
        </w:rPr>
        <w:t>, cette interprétation n'est plus possible. Il convient par conséquent de préciser à quoi se réfère la colonne 11.</w:t>
      </w:r>
    </w:p>
    <w:p w14:paraId="5A6F4AD4" w14:textId="77777777" w:rsidR="00F36E85" w:rsidRPr="0062783F" w:rsidRDefault="00F36E85" w:rsidP="008C3257">
      <w:pPr>
        <w:pStyle w:val="SingleTxtG"/>
        <w:rPr>
          <w:lang w:val="fr-FR"/>
        </w:rPr>
      </w:pPr>
      <w:r w:rsidRPr="0062783F">
        <w:rPr>
          <w:lang w:val="fr-FR"/>
        </w:rPr>
        <w:t>4.</w:t>
      </w:r>
      <w:r w:rsidRPr="0062783F">
        <w:rPr>
          <w:lang w:val="fr-FR"/>
        </w:rPr>
        <w:tab/>
        <w:t xml:space="preserve">Dans la version anglaise, le tableau C utilise </w:t>
      </w:r>
      <w:r w:rsidRPr="00CE2687">
        <w:rPr>
          <w:i/>
          <w:iCs/>
          <w:lang w:val="fr-FR"/>
        </w:rPr>
        <w:t xml:space="preserve">« maximum </w:t>
      </w:r>
      <w:proofErr w:type="spellStart"/>
      <w:r w:rsidRPr="00CE2687">
        <w:rPr>
          <w:i/>
          <w:iCs/>
          <w:lang w:val="fr-FR"/>
        </w:rPr>
        <w:t>degree</w:t>
      </w:r>
      <w:proofErr w:type="spellEnd"/>
      <w:r w:rsidRPr="00CE2687">
        <w:rPr>
          <w:i/>
          <w:iCs/>
          <w:lang w:val="fr-FR"/>
        </w:rPr>
        <w:t xml:space="preserve"> of </w:t>
      </w:r>
      <w:proofErr w:type="spellStart"/>
      <w:r w:rsidRPr="00CE2687">
        <w:rPr>
          <w:i/>
          <w:iCs/>
          <w:lang w:val="fr-FR"/>
        </w:rPr>
        <w:t>filling</w:t>
      </w:r>
      <w:proofErr w:type="spellEnd"/>
      <w:r w:rsidRPr="00CE2687">
        <w:rPr>
          <w:i/>
          <w:iCs/>
          <w:lang w:val="fr-FR"/>
        </w:rPr>
        <w:t xml:space="preserve"> in % »,</w:t>
      </w:r>
      <w:r w:rsidRPr="0062783F">
        <w:rPr>
          <w:lang w:val="fr-FR"/>
        </w:rPr>
        <w:t xml:space="preserve"> tandis que le 1.2.1 contient des définitions pour </w:t>
      </w:r>
      <w:r w:rsidRPr="00CE2687">
        <w:rPr>
          <w:i/>
          <w:iCs/>
          <w:lang w:val="fr-FR"/>
        </w:rPr>
        <w:t>« </w:t>
      </w:r>
      <w:proofErr w:type="spellStart"/>
      <w:r w:rsidRPr="00CE2687">
        <w:rPr>
          <w:i/>
          <w:iCs/>
          <w:lang w:val="fr-FR"/>
        </w:rPr>
        <w:t>Filling</w:t>
      </w:r>
      <w:proofErr w:type="spellEnd"/>
      <w:r w:rsidRPr="00CE2687">
        <w:rPr>
          <w:i/>
          <w:iCs/>
          <w:lang w:val="fr-FR"/>
        </w:rPr>
        <w:t xml:space="preserve"> ratio »</w:t>
      </w:r>
      <w:r w:rsidRPr="0062783F">
        <w:rPr>
          <w:lang w:val="fr-FR"/>
        </w:rPr>
        <w:t xml:space="preserve"> (pour les gaz) et </w:t>
      </w:r>
      <w:r w:rsidRPr="00CE2687">
        <w:rPr>
          <w:i/>
          <w:iCs/>
          <w:lang w:val="fr-FR"/>
        </w:rPr>
        <w:t>« </w:t>
      </w:r>
      <w:proofErr w:type="spellStart"/>
      <w:r w:rsidRPr="00CE2687">
        <w:rPr>
          <w:i/>
          <w:iCs/>
          <w:lang w:val="fr-FR"/>
        </w:rPr>
        <w:t>Filling</w:t>
      </w:r>
      <w:proofErr w:type="spellEnd"/>
      <w:r w:rsidRPr="00CE2687">
        <w:rPr>
          <w:i/>
          <w:iCs/>
          <w:lang w:val="fr-FR"/>
        </w:rPr>
        <w:t xml:space="preserve"> ratio (cargo tanks) »</w:t>
      </w:r>
      <w:r w:rsidRPr="0062783F">
        <w:rPr>
          <w:lang w:val="fr-FR"/>
        </w:rPr>
        <w:t>. Dans la version française, le tableau C utilise « Degré maximal de remplissage en % », tandis que le 1.2.1 contient des définitions pour « Taux de remplissage » (pour les gaz) et « Taux de remplissage (citerne à cargaison) ». Une clarification est nécessaire dans les deux langues.</w:t>
      </w:r>
    </w:p>
    <w:p w14:paraId="7A96924F" w14:textId="77777777" w:rsidR="00F36E85" w:rsidRPr="0062783F" w:rsidRDefault="00F36E85" w:rsidP="008C3257">
      <w:pPr>
        <w:pStyle w:val="SingleTxtG"/>
        <w:rPr>
          <w:lang w:val="fr-FR"/>
        </w:rPr>
      </w:pPr>
      <w:r w:rsidRPr="0062783F">
        <w:rPr>
          <w:lang w:val="fr-FR"/>
        </w:rPr>
        <w:t>5.</w:t>
      </w:r>
      <w:r w:rsidRPr="0062783F">
        <w:rPr>
          <w:lang w:val="fr-FR"/>
        </w:rPr>
        <w:tab/>
        <w:t>Il conviendrait également de déterminer pour chaque autre occurrence des termes susmentionnés lequel des deux nouveaux termes est effectivement visé.</w:t>
      </w:r>
    </w:p>
    <w:p w14:paraId="7D77E518" w14:textId="2B3413B7" w:rsidR="00F36E85" w:rsidRPr="0062783F" w:rsidRDefault="00F36E85" w:rsidP="008C3257">
      <w:pPr>
        <w:pStyle w:val="SingleTxtG"/>
        <w:rPr>
          <w:lang w:val="fr-FR"/>
        </w:rPr>
      </w:pPr>
      <w:r w:rsidRPr="0062783F">
        <w:rPr>
          <w:lang w:val="fr-FR"/>
        </w:rPr>
        <w:t>6.</w:t>
      </w:r>
      <w:r w:rsidRPr="0062783F">
        <w:rPr>
          <w:lang w:val="fr-FR"/>
        </w:rPr>
        <w:tab/>
        <w:t xml:space="preserve">Lors de sa réunion de janvier, le Comité de sécurité </w:t>
      </w:r>
      <w:r w:rsidR="00E742DD">
        <w:rPr>
          <w:lang w:val="fr-FR"/>
        </w:rPr>
        <w:t>de</w:t>
      </w:r>
      <w:r w:rsidR="00295B4E">
        <w:rPr>
          <w:lang w:val="fr-FR"/>
        </w:rPr>
        <w:t xml:space="preserve"> </w:t>
      </w:r>
      <w:r w:rsidR="00E742DD">
        <w:rPr>
          <w:lang w:val="fr-FR"/>
        </w:rPr>
        <w:t xml:space="preserve">l’ADN </w:t>
      </w:r>
      <w:r w:rsidRPr="0062783F">
        <w:rPr>
          <w:lang w:val="fr-FR"/>
        </w:rPr>
        <w:t xml:space="preserve">a conclu que, pour le transport en citernes à cargaison, la définition du </w:t>
      </w:r>
      <w:r>
        <w:rPr>
          <w:lang w:val="fr-FR"/>
        </w:rPr>
        <w:t>taux</w:t>
      </w:r>
      <w:r w:rsidRPr="0062783F">
        <w:rPr>
          <w:lang w:val="fr-FR"/>
        </w:rPr>
        <w:t xml:space="preserve"> de remplissage ne devait être utilisée que pour les gaz transportés sous forme gazeuse, tandis que le </w:t>
      </w:r>
      <w:r w:rsidRPr="00565826">
        <w:rPr>
          <w:lang w:val="fr-FR"/>
        </w:rPr>
        <w:t>degré</w:t>
      </w:r>
      <w:r w:rsidRPr="0062783F">
        <w:rPr>
          <w:lang w:val="fr-FR"/>
        </w:rPr>
        <w:t xml:space="preserve"> de remplissage (pourcentage volumique) devait être utilisé pour les gaz transportés sous forme liquéfiée sous pression ou sous forme liquéfiée réfrigérée.</w:t>
      </w:r>
    </w:p>
    <w:p w14:paraId="7B9CC86B" w14:textId="29A771E0" w:rsidR="00F36E85" w:rsidRPr="0062783F" w:rsidRDefault="008C3257" w:rsidP="007F5BBC">
      <w:pPr>
        <w:pStyle w:val="HChG"/>
        <w:rPr>
          <w:lang w:val="fr-FR"/>
        </w:rPr>
      </w:pPr>
      <w:r>
        <w:rPr>
          <w:lang w:val="fr-FR"/>
        </w:rPr>
        <w:tab/>
      </w:r>
      <w:r w:rsidR="00F36E85" w:rsidRPr="0062783F">
        <w:rPr>
          <w:lang w:val="fr-FR"/>
        </w:rPr>
        <w:t>I.</w:t>
      </w:r>
      <w:r w:rsidR="00F36E85" w:rsidRPr="0062783F">
        <w:rPr>
          <w:lang w:val="fr-FR"/>
        </w:rPr>
        <w:tab/>
        <w:t>Proposition</w:t>
      </w:r>
    </w:p>
    <w:p w14:paraId="48C1B711" w14:textId="51CE4170" w:rsidR="00F36E85" w:rsidRPr="0092437C" w:rsidRDefault="00B67DC2" w:rsidP="0067540F">
      <w:pPr>
        <w:pStyle w:val="SingleTxtG"/>
        <w:rPr>
          <w:lang w:val="fr-FR"/>
        </w:rPr>
      </w:pPr>
      <w:r>
        <w:rPr>
          <w:lang w:val="fr-FR"/>
        </w:rPr>
        <w:t>7.</w:t>
      </w:r>
      <w:r>
        <w:rPr>
          <w:lang w:val="fr-FR"/>
        </w:rPr>
        <w:tab/>
      </w:r>
      <w:r w:rsidR="00F36E85" w:rsidRPr="0092437C">
        <w:rPr>
          <w:lang w:val="fr-FR"/>
        </w:rPr>
        <w:t>1.2.1</w:t>
      </w:r>
      <w:r w:rsidR="004F4626">
        <w:rPr>
          <w:lang w:val="fr-FR"/>
        </w:rPr>
        <w:t> </w:t>
      </w:r>
      <w:r w:rsidR="00336C1E">
        <w:rPr>
          <w:lang w:val="fr-FR"/>
        </w:rPr>
        <w:t>:</w:t>
      </w:r>
      <w:r w:rsidR="0048003F">
        <w:rPr>
          <w:lang w:val="fr-FR"/>
        </w:rPr>
        <w:t xml:space="preserve"> </w:t>
      </w:r>
      <w:r w:rsidR="00F36E85" w:rsidRPr="0092437C">
        <w:rPr>
          <w:lang w:val="fr-FR"/>
        </w:rPr>
        <w:t xml:space="preserve">Dans la définition du </w:t>
      </w:r>
      <w:r w:rsidR="00F36E85" w:rsidRPr="00CE2687">
        <w:rPr>
          <w:i/>
          <w:iCs/>
          <w:lang w:val="fr-FR"/>
        </w:rPr>
        <w:t>« Taux de remplissage »</w:t>
      </w:r>
      <w:r w:rsidR="00F36E85" w:rsidRPr="0092437C">
        <w:rPr>
          <w:lang w:val="fr-FR"/>
        </w:rPr>
        <w:t>, apporter les modifications suivantes :</w:t>
      </w:r>
    </w:p>
    <w:p w14:paraId="4A98ED4D" w14:textId="230849FF" w:rsidR="00F36E85" w:rsidRPr="0092437C" w:rsidRDefault="00F36E85" w:rsidP="00B67DC2">
      <w:pPr>
        <w:pStyle w:val="Bullet1G"/>
        <w:rPr>
          <w:lang w:val="fr-FR"/>
        </w:rPr>
      </w:pPr>
      <w:r w:rsidRPr="0092437C">
        <w:rPr>
          <w:lang w:val="fr-FR"/>
        </w:rPr>
        <w:tab/>
        <w:t xml:space="preserve">ajouter la remarque suivante : « NOTA : pour le degré de remplissage des citernes à cargaison, voir </w:t>
      </w:r>
      <w:r w:rsidRPr="0092437C">
        <w:rPr>
          <w:i/>
          <w:lang w:val="fr-FR"/>
        </w:rPr>
        <w:t>Degré de remplissage de la citerne à cargaison</w:t>
      </w:r>
      <w:r w:rsidRPr="0092437C">
        <w:rPr>
          <w:lang w:val="fr-FR"/>
        </w:rPr>
        <w:t>. »</w:t>
      </w:r>
    </w:p>
    <w:p w14:paraId="67D492EA" w14:textId="253BF479" w:rsidR="00F36E85" w:rsidRPr="0092437C" w:rsidRDefault="00F36E85" w:rsidP="00B67DC2">
      <w:pPr>
        <w:pStyle w:val="Bullet1G"/>
        <w:rPr>
          <w:lang w:val="fr-FR"/>
        </w:rPr>
      </w:pPr>
      <w:r w:rsidRPr="0092437C">
        <w:rPr>
          <w:lang w:val="fr-FR"/>
        </w:rPr>
        <w:tab/>
        <w:t>remplacer « un réservoir à pression » par « le moyen de rétention ».</w:t>
      </w:r>
    </w:p>
    <w:p w14:paraId="61150315" w14:textId="70B1466B" w:rsidR="00F36E85" w:rsidRPr="0092437C" w:rsidRDefault="00B67DC2" w:rsidP="0067540F">
      <w:pPr>
        <w:pStyle w:val="SingleTxtG"/>
        <w:rPr>
          <w:lang w:val="fr-FR"/>
        </w:rPr>
      </w:pPr>
      <w:r>
        <w:rPr>
          <w:lang w:val="fr-FR"/>
        </w:rPr>
        <w:t>8.</w:t>
      </w:r>
      <w:r>
        <w:rPr>
          <w:lang w:val="fr-FR"/>
        </w:rPr>
        <w:tab/>
      </w:r>
      <w:r w:rsidR="00F36E85" w:rsidRPr="0092437C">
        <w:rPr>
          <w:lang w:val="fr-FR"/>
        </w:rPr>
        <w:t>1.2.1</w:t>
      </w:r>
      <w:r w:rsidR="004F4626">
        <w:rPr>
          <w:lang w:val="fr-FR"/>
        </w:rPr>
        <w:t> </w:t>
      </w:r>
      <w:r w:rsidR="0048003F">
        <w:rPr>
          <w:lang w:val="fr-FR"/>
        </w:rPr>
        <w:t xml:space="preserve">: </w:t>
      </w:r>
      <w:r w:rsidR="00F36E85" w:rsidRPr="0092437C">
        <w:rPr>
          <w:lang w:val="fr-FR"/>
        </w:rPr>
        <w:t>Ajouter la nouvelle définition suivante dans l’ordre alphabétique :</w:t>
      </w:r>
    </w:p>
    <w:p w14:paraId="7E2421EE" w14:textId="77777777" w:rsidR="00F36E85" w:rsidRPr="0092437C" w:rsidRDefault="00F36E85" w:rsidP="006E5FA4">
      <w:pPr>
        <w:pStyle w:val="SingleTxtG"/>
        <w:ind w:left="1701"/>
        <w:rPr>
          <w:lang w:val="fr-FR"/>
        </w:rPr>
      </w:pPr>
      <w:bookmarkStart w:id="0" w:name="_Hlk160104525"/>
      <w:r w:rsidRPr="0092437C">
        <w:rPr>
          <w:lang w:val="fr-FR"/>
        </w:rPr>
        <w:t>« Degré de remplissage : le rapport, exprimé en pourcentage, entre le volume de matière liquide ou solide introduit, à 15 °C, dans le moyen de rétention, et le volume du moyen de rétention prêt à l’emploi ; »</w:t>
      </w:r>
      <w:bookmarkEnd w:id="0"/>
    </w:p>
    <w:p w14:paraId="4B36977A" w14:textId="56ED26F6" w:rsidR="00F36E85" w:rsidRPr="0062783F" w:rsidRDefault="006E5FA4" w:rsidP="0067540F">
      <w:pPr>
        <w:pStyle w:val="SingleTxtG"/>
        <w:rPr>
          <w:lang w:val="fr-FR"/>
        </w:rPr>
      </w:pPr>
      <w:r>
        <w:rPr>
          <w:lang w:val="fr-FR"/>
        </w:rPr>
        <w:lastRenderedPageBreak/>
        <w:t>9.</w:t>
      </w:r>
      <w:r>
        <w:rPr>
          <w:lang w:val="fr-FR"/>
        </w:rPr>
        <w:tab/>
      </w:r>
      <w:r w:rsidR="00F36E85" w:rsidRPr="0062783F">
        <w:rPr>
          <w:lang w:val="fr-FR"/>
        </w:rPr>
        <w:t>1.2.1</w:t>
      </w:r>
      <w:r w:rsidR="0048003F">
        <w:rPr>
          <w:lang w:val="fr-FR"/>
        </w:rPr>
        <w:t xml:space="preserve"> : </w:t>
      </w:r>
      <w:r w:rsidR="00F36E85" w:rsidRPr="0062783F">
        <w:rPr>
          <w:lang w:val="fr-FR"/>
        </w:rPr>
        <w:t>La définition « </w:t>
      </w:r>
      <w:r w:rsidR="00F36E85" w:rsidRPr="0062783F">
        <w:rPr>
          <w:i/>
          <w:lang w:val="fr-FR"/>
        </w:rPr>
        <w:t>Taux de remplissage (citerne à cargaison)</w:t>
      </w:r>
      <w:r w:rsidR="00F36E85" w:rsidRPr="0062783F">
        <w:rPr>
          <w:lang w:val="fr-FR"/>
        </w:rPr>
        <w:t> » est remplacée par « </w:t>
      </w:r>
      <w:r w:rsidR="00F36E85">
        <w:rPr>
          <w:i/>
          <w:lang w:val="fr-FR"/>
        </w:rPr>
        <w:t>Degré</w:t>
      </w:r>
      <w:r w:rsidR="00F36E85" w:rsidRPr="0062783F">
        <w:rPr>
          <w:i/>
          <w:lang w:val="fr-FR"/>
        </w:rPr>
        <w:t xml:space="preserve"> de remplissage de la citerne à cargaison</w:t>
      </w:r>
      <w:r w:rsidR="00F36E85" w:rsidRPr="0062783F">
        <w:rPr>
          <w:lang w:val="fr-FR"/>
        </w:rPr>
        <w:t xml:space="preserve"> : </w:t>
      </w:r>
      <w:bookmarkStart w:id="1" w:name="_Hlk159922261"/>
      <w:r w:rsidR="00F36E85" w:rsidRPr="00567DBD">
        <w:rPr>
          <w:lang w:val="fr-FR"/>
        </w:rPr>
        <w:t xml:space="preserve">lorsque, pour le transport de matières liquides ou fondues, de gaz liquéfiés sous pression ou de gaz liquéfiés réfrigérés, un </w:t>
      </w:r>
      <w:r w:rsidR="00F36E85" w:rsidRPr="003023AB">
        <w:rPr>
          <w:lang w:val="fr-FR"/>
        </w:rPr>
        <w:t>degré</w:t>
      </w:r>
      <w:r w:rsidR="00F36E85" w:rsidRPr="00567DBD">
        <w:rPr>
          <w:lang w:val="fr-FR"/>
        </w:rPr>
        <w:t xml:space="preserve"> de remplissage est indiqué pour les citernes à cargaison, celui-ci désigne le pourcentage du volume de la citerne à cargaison qui est rempli de liquide. Pour le transport de gaz transportés en phase gazeuse dans des citernes sous pression, le </w:t>
      </w:r>
      <w:r w:rsidR="00F36E85" w:rsidRPr="003023AB">
        <w:rPr>
          <w:lang w:val="fr-FR"/>
        </w:rPr>
        <w:t>degré</w:t>
      </w:r>
      <w:r w:rsidR="00F36E85" w:rsidRPr="00567DBD">
        <w:rPr>
          <w:lang w:val="fr-FR"/>
        </w:rPr>
        <w:t xml:space="preserve"> de remplissage de la citerne à cargaison désigne le rapport entre la masse de gaz et la masse d'eau à 15 °C qui remplirait </w:t>
      </w:r>
      <w:proofErr w:type="spellStart"/>
      <w:r w:rsidR="00F36E85" w:rsidRPr="00567DBD">
        <w:rPr>
          <w:lang w:val="fr-FR"/>
        </w:rPr>
        <w:t>complètement</w:t>
      </w:r>
      <w:proofErr w:type="spellEnd"/>
      <w:r w:rsidR="00F36E85" w:rsidRPr="00567DBD">
        <w:rPr>
          <w:lang w:val="fr-FR"/>
        </w:rPr>
        <w:t xml:space="preserve"> la citerne sous pression, ce qui correspond</w:t>
      </w:r>
      <w:r w:rsidR="00F36E85" w:rsidRPr="0062783F">
        <w:rPr>
          <w:lang w:val="fr-FR"/>
        </w:rPr>
        <w:t xml:space="preserve"> à un </w:t>
      </w:r>
      <w:r w:rsidR="00F36E85">
        <w:rPr>
          <w:i/>
          <w:lang w:val="fr-FR"/>
        </w:rPr>
        <w:t>taux</w:t>
      </w:r>
      <w:r w:rsidR="00F36E85" w:rsidRPr="0062783F">
        <w:rPr>
          <w:i/>
          <w:lang w:val="fr-FR"/>
        </w:rPr>
        <w:t xml:space="preserve"> de remplissage</w:t>
      </w:r>
      <w:r w:rsidR="00F36E85" w:rsidRPr="0062783F">
        <w:rPr>
          <w:lang w:val="fr-FR"/>
        </w:rPr>
        <w:t>. ».</w:t>
      </w:r>
      <w:bookmarkEnd w:id="1"/>
    </w:p>
    <w:p w14:paraId="085E1271" w14:textId="7EE0BD13" w:rsidR="00F36E85" w:rsidRPr="0062783F" w:rsidRDefault="006E5FA4" w:rsidP="0067540F">
      <w:pPr>
        <w:pStyle w:val="SingleTxtG"/>
        <w:rPr>
          <w:lang w:val="fr-FR"/>
        </w:rPr>
      </w:pPr>
      <w:r>
        <w:rPr>
          <w:lang w:val="fr-FR"/>
        </w:rPr>
        <w:t>10.</w:t>
      </w:r>
      <w:r>
        <w:rPr>
          <w:lang w:val="fr-FR"/>
        </w:rPr>
        <w:tab/>
      </w:r>
      <w:r w:rsidR="00F36E85" w:rsidRPr="0062783F">
        <w:rPr>
          <w:lang w:val="fr-FR"/>
        </w:rPr>
        <w:t>1.6.7.2.2.2 : Dans la disposition transitoire pour le 9.3.3.21.1 b), remplacer « degré de remplissage » par « degré de remplissage de la citerne à cargaison ».</w:t>
      </w:r>
    </w:p>
    <w:p w14:paraId="1BF63AD7" w14:textId="62FC83A2" w:rsidR="00F36E85" w:rsidRPr="0062783F" w:rsidRDefault="006E5FA4" w:rsidP="0067540F">
      <w:pPr>
        <w:pStyle w:val="SingleTxtG"/>
        <w:rPr>
          <w:lang w:val="fr-FR"/>
        </w:rPr>
      </w:pPr>
      <w:r>
        <w:rPr>
          <w:lang w:val="fr-FR"/>
        </w:rPr>
        <w:t>11.</w:t>
      </w:r>
      <w:r>
        <w:rPr>
          <w:lang w:val="fr-FR"/>
        </w:rPr>
        <w:tab/>
      </w:r>
      <w:r w:rsidR="00F36E85" w:rsidRPr="0062783F">
        <w:rPr>
          <w:lang w:val="fr-FR"/>
        </w:rPr>
        <w:t>2.2.2.1.1</w:t>
      </w:r>
      <w:r w:rsidR="00F36E85">
        <w:rPr>
          <w:lang w:val="fr-FR"/>
        </w:rPr>
        <w:t> :</w:t>
      </w:r>
      <w:r w:rsidR="00F36E85" w:rsidRPr="0062783F">
        <w:rPr>
          <w:lang w:val="fr-FR"/>
        </w:rPr>
        <w:t xml:space="preserve"> </w:t>
      </w:r>
      <w:r w:rsidR="0048003F">
        <w:rPr>
          <w:lang w:val="fr-FR"/>
        </w:rPr>
        <w:t>R</w:t>
      </w:r>
      <w:r w:rsidR="00F36E85" w:rsidRPr="0062783F">
        <w:rPr>
          <w:lang w:val="fr-FR"/>
        </w:rPr>
        <w:t>emplacer « telles que le taux de remplissage » par « telles que le taux de remplissage, le degré de remplissage de la citerne à cargaison », étant donné que cette disposition porte sur les gaz.</w:t>
      </w:r>
    </w:p>
    <w:p w14:paraId="2B3F2EFD" w14:textId="3803B738" w:rsidR="00F36E85" w:rsidRPr="0062783F" w:rsidRDefault="004F4924" w:rsidP="00460800">
      <w:pPr>
        <w:pStyle w:val="SingleTxtG"/>
        <w:rPr>
          <w:lang w:val="fr-FR"/>
        </w:rPr>
      </w:pPr>
      <w:r>
        <w:rPr>
          <w:lang w:val="fr-FR"/>
        </w:rPr>
        <w:t>12.</w:t>
      </w:r>
      <w:r>
        <w:rPr>
          <w:lang w:val="fr-FR"/>
        </w:rPr>
        <w:tab/>
      </w:r>
      <w:r w:rsidR="00F36E85" w:rsidRPr="0062783F">
        <w:rPr>
          <w:lang w:val="fr-FR"/>
        </w:rPr>
        <w:t xml:space="preserve">3.2.3.1, </w:t>
      </w:r>
      <w:r w:rsidR="00460800">
        <w:rPr>
          <w:lang w:val="fr-FR"/>
        </w:rPr>
        <w:t>N</w:t>
      </w:r>
      <w:r w:rsidR="00F36E85" w:rsidRPr="0062783F">
        <w:rPr>
          <w:lang w:val="fr-FR"/>
        </w:rPr>
        <w:t>ote explicative pour la colonne (11)</w:t>
      </w:r>
      <w:r w:rsidR="00C70BF7">
        <w:rPr>
          <w:lang w:val="fr-FR"/>
        </w:rPr>
        <w:t> :</w:t>
      </w:r>
      <w:r w:rsidR="00557FC9">
        <w:rPr>
          <w:lang w:val="fr-FR"/>
        </w:rPr>
        <w:t xml:space="preserve"> </w:t>
      </w:r>
      <w:r w:rsidR="00F36E85" w:rsidRPr="0062783F">
        <w:rPr>
          <w:lang w:val="fr-FR"/>
        </w:rPr>
        <w:t>Dans le titre, remplacer « Degré maximum de remplissage en % » par « Degré de remplissage maximal de la citerne à cargaison en % ».</w:t>
      </w:r>
    </w:p>
    <w:p w14:paraId="6E99A963" w14:textId="54F9465E" w:rsidR="00F36E85" w:rsidRPr="0062783F" w:rsidRDefault="00C70BF7" w:rsidP="004C1400">
      <w:pPr>
        <w:pStyle w:val="SingleTxtG"/>
        <w:rPr>
          <w:lang w:val="fr-FR"/>
        </w:rPr>
      </w:pPr>
      <w:r>
        <w:rPr>
          <w:lang w:val="fr-FR"/>
        </w:rPr>
        <w:t>13.</w:t>
      </w:r>
      <w:r>
        <w:rPr>
          <w:lang w:val="fr-FR"/>
        </w:rPr>
        <w:tab/>
      </w:r>
      <w:r w:rsidR="00F36E85" w:rsidRPr="0062783F">
        <w:rPr>
          <w:lang w:val="fr-FR"/>
        </w:rPr>
        <w:t>3.2.3.1, Note explicative n° 42 pour la colonne (20)</w:t>
      </w:r>
      <w:r w:rsidR="004F4924">
        <w:rPr>
          <w:lang w:val="fr-FR"/>
        </w:rPr>
        <w:t> :</w:t>
      </w:r>
      <w:r w:rsidR="002555CD">
        <w:rPr>
          <w:lang w:val="fr-FR"/>
        </w:rPr>
        <w:t xml:space="preserve"> </w:t>
      </w:r>
      <w:r w:rsidR="00F36E85" w:rsidRPr="0062783F">
        <w:rPr>
          <w:lang w:val="fr-FR"/>
        </w:rPr>
        <w:t>Remplacer « degré de remplissage » par « degré de remplissage de la citerne à cargaison ».</w:t>
      </w:r>
    </w:p>
    <w:p w14:paraId="18043D1E" w14:textId="7A0D7476" w:rsidR="00F36E85" w:rsidRPr="0062783F" w:rsidRDefault="00041873" w:rsidP="0067540F">
      <w:pPr>
        <w:pStyle w:val="SingleTxtG"/>
        <w:rPr>
          <w:lang w:val="fr-FR"/>
        </w:rPr>
      </w:pPr>
      <w:r>
        <w:rPr>
          <w:lang w:val="fr-FR"/>
        </w:rPr>
        <w:t>14.</w:t>
      </w:r>
      <w:r>
        <w:rPr>
          <w:lang w:val="fr-FR"/>
        </w:rPr>
        <w:tab/>
      </w:r>
      <w:r w:rsidR="00F36E85" w:rsidRPr="0062783F">
        <w:rPr>
          <w:lang w:val="fr-FR"/>
        </w:rPr>
        <w:t xml:space="preserve">3.2.3.2, tableau C, titre de la colonne (11) : </w:t>
      </w:r>
      <w:r w:rsidR="001B04AB">
        <w:rPr>
          <w:lang w:val="fr-FR"/>
        </w:rPr>
        <w:t>R</w:t>
      </w:r>
      <w:r w:rsidR="00F36E85" w:rsidRPr="0062783F">
        <w:rPr>
          <w:lang w:val="fr-FR"/>
        </w:rPr>
        <w:t>emplacer « Degré maximal de remplissage en % » par « Degré de remplissage maximal de la citerne à cargaison en % »</w:t>
      </w:r>
      <w:r w:rsidR="005B4EEE">
        <w:rPr>
          <w:lang w:val="fr-FR"/>
        </w:rPr>
        <w:t>.</w:t>
      </w:r>
    </w:p>
    <w:p w14:paraId="75A96F01" w14:textId="7139DDC8" w:rsidR="00F36E85" w:rsidRPr="0062783F" w:rsidRDefault="00972DA3" w:rsidP="0067540F">
      <w:pPr>
        <w:pStyle w:val="SingleTxtG"/>
        <w:rPr>
          <w:lang w:val="fr-FR"/>
        </w:rPr>
      </w:pPr>
      <w:r>
        <w:rPr>
          <w:lang w:val="fr-FR"/>
        </w:rPr>
        <w:t>1</w:t>
      </w:r>
      <w:r w:rsidR="001B04AB">
        <w:rPr>
          <w:lang w:val="fr-FR"/>
        </w:rPr>
        <w:t>5</w:t>
      </w:r>
      <w:r>
        <w:rPr>
          <w:lang w:val="fr-FR"/>
        </w:rPr>
        <w:t>.</w:t>
      </w:r>
      <w:r>
        <w:rPr>
          <w:lang w:val="fr-FR"/>
        </w:rPr>
        <w:tab/>
      </w:r>
      <w:r w:rsidR="00F36E85" w:rsidRPr="0062783F">
        <w:rPr>
          <w:lang w:val="fr-FR"/>
        </w:rPr>
        <w:t>3.3.1, D</w:t>
      </w:r>
      <w:r w:rsidR="003763A5">
        <w:rPr>
          <w:lang w:val="fr-FR"/>
        </w:rPr>
        <w:t xml:space="preserve">isposition </w:t>
      </w:r>
      <w:r w:rsidR="00F36E85" w:rsidRPr="0062783F">
        <w:rPr>
          <w:lang w:val="fr-FR"/>
        </w:rPr>
        <w:t>S</w:t>
      </w:r>
      <w:r w:rsidR="003763A5">
        <w:rPr>
          <w:lang w:val="fr-FR"/>
        </w:rPr>
        <w:t>péciale</w:t>
      </w:r>
      <w:r w:rsidR="00F36E85" w:rsidRPr="0062783F">
        <w:rPr>
          <w:lang w:val="fr-FR"/>
        </w:rPr>
        <w:t xml:space="preserve"> 392 f) : </w:t>
      </w:r>
      <w:r w:rsidR="00B065D8">
        <w:rPr>
          <w:lang w:val="fr-FR"/>
        </w:rPr>
        <w:t>D</w:t>
      </w:r>
      <w:r w:rsidR="00F36E85" w:rsidRPr="0062783F">
        <w:rPr>
          <w:lang w:val="fr-FR"/>
        </w:rPr>
        <w:t>ans la version allemande, remplacer « </w:t>
      </w:r>
      <w:proofErr w:type="spellStart"/>
      <w:r w:rsidR="00F36E85" w:rsidRPr="0062783F">
        <w:rPr>
          <w:lang w:val="fr-FR"/>
        </w:rPr>
        <w:t>Füllungsgrades</w:t>
      </w:r>
      <w:proofErr w:type="spellEnd"/>
      <w:r w:rsidR="00F36E85" w:rsidRPr="0062783F">
        <w:rPr>
          <w:lang w:val="fr-FR"/>
        </w:rPr>
        <w:t> » par « </w:t>
      </w:r>
      <w:proofErr w:type="spellStart"/>
      <w:r w:rsidR="00F36E85" w:rsidRPr="0062783F">
        <w:rPr>
          <w:lang w:val="fr-FR"/>
        </w:rPr>
        <w:t>Füllfaktors</w:t>
      </w:r>
      <w:proofErr w:type="spellEnd"/>
      <w:r w:rsidR="00F36E85" w:rsidRPr="0062783F">
        <w:rPr>
          <w:lang w:val="fr-FR"/>
        </w:rPr>
        <w:t> », étant donné que cette disposition porte sur les gaz.</w:t>
      </w:r>
    </w:p>
    <w:p w14:paraId="001461AB" w14:textId="53FE38DE" w:rsidR="00F36E85" w:rsidRPr="0062783F" w:rsidRDefault="00972DA3" w:rsidP="0067540F">
      <w:pPr>
        <w:pStyle w:val="SingleTxtG"/>
        <w:rPr>
          <w:lang w:val="fr-FR"/>
        </w:rPr>
      </w:pPr>
      <w:r>
        <w:rPr>
          <w:lang w:val="fr-FR"/>
        </w:rPr>
        <w:t>1</w:t>
      </w:r>
      <w:r w:rsidR="001B04AB">
        <w:rPr>
          <w:lang w:val="fr-FR"/>
        </w:rPr>
        <w:t>6</w:t>
      </w:r>
      <w:r>
        <w:rPr>
          <w:lang w:val="fr-FR"/>
        </w:rPr>
        <w:t>.</w:t>
      </w:r>
      <w:r>
        <w:rPr>
          <w:lang w:val="fr-FR"/>
        </w:rPr>
        <w:tab/>
      </w:r>
      <w:r w:rsidR="00F36E85" w:rsidRPr="0062783F">
        <w:rPr>
          <w:lang w:val="fr-FR"/>
        </w:rPr>
        <w:t xml:space="preserve">7.2.4.16.17, troisième tiret : </w:t>
      </w:r>
      <w:r w:rsidR="00B065D8">
        <w:rPr>
          <w:lang w:val="fr-FR"/>
        </w:rPr>
        <w:t>R</w:t>
      </w:r>
      <w:r w:rsidR="00F36E85" w:rsidRPr="0062783F">
        <w:rPr>
          <w:lang w:val="fr-FR"/>
        </w:rPr>
        <w:t>emplacer « degré de remplissage » par « degré de remplissage de la citerne à cargaison ».</w:t>
      </w:r>
    </w:p>
    <w:p w14:paraId="28F38A9B" w14:textId="73C5B1B2" w:rsidR="00F36E85" w:rsidRPr="0062783F" w:rsidRDefault="00972DA3" w:rsidP="0067540F">
      <w:pPr>
        <w:pStyle w:val="SingleTxtG"/>
        <w:rPr>
          <w:lang w:val="fr-FR"/>
        </w:rPr>
      </w:pPr>
      <w:r>
        <w:rPr>
          <w:lang w:val="fr-FR"/>
        </w:rPr>
        <w:t>1</w:t>
      </w:r>
      <w:r w:rsidR="001B04AB">
        <w:rPr>
          <w:lang w:val="fr-FR"/>
        </w:rPr>
        <w:t>7</w:t>
      </w:r>
      <w:r>
        <w:rPr>
          <w:lang w:val="fr-FR"/>
        </w:rPr>
        <w:t>.</w:t>
      </w:r>
      <w:r>
        <w:rPr>
          <w:lang w:val="fr-FR"/>
        </w:rPr>
        <w:tab/>
      </w:r>
      <w:r w:rsidR="00F36E85" w:rsidRPr="0062783F">
        <w:rPr>
          <w:lang w:val="fr-FR"/>
        </w:rPr>
        <w:t xml:space="preserve">7.2.4.21.1 : Remplacer « Le degré de remplissage indiqué à la colonne (11) du tableau C du chapitre 3.2 ou calculé conformément au paragraphe 7.2.4.21.3 </w:t>
      </w:r>
      <w:r w:rsidR="00F36E85" w:rsidRPr="007E38F7">
        <w:rPr>
          <w:lang w:val="fr-FR"/>
        </w:rPr>
        <w:t>pour la citerne</w:t>
      </w:r>
      <w:r w:rsidR="00F36E85" w:rsidRPr="0062783F">
        <w:rPr>
          <w:lang w:val="fr-FR"/>
        </w:rPr>
        <w:t xml:space="preserve"> considérée ne doit pas être dépassé » par : « Le degré de remplissage de la citerne à cargaison indiqué à la colonne (11) du tableau C du chapitre 3.2 ou calculé conformément au 7.2.4.21.3 ne doit pas être dépassé ».</w:t>
      </w:r>
    </w:p>
    <w:p w14:paraId="2219199A" w14:textId="438EDC35" w:rsidR="00F36E85" w:rsidRPr="0062783F" w:rsidRDefault="00972DA3" w:rsidP="0067540F">
      <w:pPr>
        <w:pStyle w:val="SingleTxtG"/>
        <w:rPr>
          <w:lang w:val="fr-FR"/>
        </w:rPr>
      </w:pPr>
      <w:r>
        <w:rPr>
          <w:lang w:val="fr-FR"/>
        </w:rPr>
        <w:t>1</w:t>
      </w:r>
      <w:r w:rsidR="001B04AB">
        <w:rPr>
          <w:lang w:val="fr-FR"/>
        </w:rPr>
        <w:t>8</w:t>
      </w:r>
      <w:r>
        <w:rPr>
          <w:lang w:val="fr-FR"/>
        </w:rPr>
        <w:t>.</w:t>
      </w:r>
      <w:r>
        <w:rPr>
          <w:lang w:val="fr-FR"/>
        </w:rPr>
        <w:tab/>
      </w:r>
      <w:r w:rsidR="00F36E85" w:rsidRPr="0062783F">
        <w:rPr>
          <w:lang w:val="fr-FR"/>
        </w:rPr>
        <w:t>7.2.4.21.2 : Remplacer « degré de remplissage » par « degré de remplissage de la citerne à cargaison » et remplacer « degré maximal de remplissage » par « degré de remplissage maximal de la citerne à cargaison ».</w:t>
      </w:r>
    </w:p>
    <w:p w14:paraId="37F80063" w14:textId="301D5379" w:rsidR="00F36E85" w:rsidRPr="0062783F" w:rsidRDefault="00972DA3" w:rsidP="0067540F">
      <w:pPr>
        <w:pStyle w:val="SingleTxtG"/>
        <w:rPr>
          <w:lang w:val="fr-FR"/>
        </w:rPr>
      </w:pPr>
      <w:r>
        <w:rPr>
          <w:lang w:val="fr-FR"/>
        </w:rPr>
        <w:t>1</w:t>
      </w:r>
      <w:r w:rsidR="001B04AB">
        <w:rPr>
          <w:lang w:val="fr-FR"/>
        </w:rPr>
        <w:t>9</w:t>
      </w:r>
      <w:r>
        <w:rPr>
          <w:lang w:val="fr-FR"/>
        </w:rPr>
        <w:t>.</w:t>
      </w:r>
      <w:r>
        <w:rPr>
          <w:lang w:val="fr-FR"/>
        </w:rPr>
        <w:tab/>
      </w:r>
      <w:r w:rsidR="00F36E85" w:rsidRPr="0062783F">
        <w:rPr>
          <w:lang w:val="fr-FR"/>
        </w:rPr>
        <w:t>7.2.4.21.3 : Dans la phrase introductive est utilisé « degré de remplissage de la citerne à cargaison ». Dans la phrase suivante et au 7.2.4.21.4 est utilisé « degré de remplissage ». Étant donné que « degré de remplissage » désigne ici clairement le « degré de remplissage de la citerne à cargaison » mentionné dans la phrase introductive, il n'est pas nécessaire d'ajouter à chaque fois « de la citerne à cargaison ».</w:t>
      </w:r>
    </w:p>
    <w:p w14:paraId="4033AED5" w14:textId="4537650D" w:rsidR="00F36E85" w:rsidRPr="0062783F" w:rsidRDefault="001B04AB" w:rsidP="0067540F">
      <w:pPr>
        <w:pStyle w:val="SingleTxtG"/>
        <w:rPr>
          <w:lang w:val="fr-FR"/>
        </w:rPr>
      </w:pPr>
      <w:r>
        <w:rPr>
          <w:lang w:val="fr-FR"/>
        </w:rPr>
        <w:t>20</w:t>
      </w:r>
      <w:r w:rsidR="00972DA3">
        <w:rPr>
          <w:lang w:val="fr-FR"/>
        </w:rPr>
        <w:t>.</w:t>
      </w:r>
      <w:r w:rsidR="00972DA3">
        <w:rPr>
          <w:lang w:val="fr-FR"/>
        </w:rPr>
        <w:tab/>
      </w:r>
      <w:r w:rsidR="00F36E85" w:rsidRPr="0062783F">
        <w:rPr>
          <w:lang w:val="fr-FR"/>
        </w:rPr>
        <w:t>8.2.2.3.3.1 : Remplacer « degré de remplissage » par « degré de remplissage de la citerne à cargaison » et remplacer « degré maximal de remplissage » par « degré de remplissage maximal de la citerne à cargaison ».</w:t>
      </w:r>
    </w:p>
    <w:p w14:paraId="19C6E531" w14:textId="75F5AC21" w:rsidR="00F36E85" w:rsidRPr="0062783F" w:rsidRDefault="001B04AB" w:rsidP="0067540F">
      <w:pPr>
        <w:pStyle w:val="SingleTxtG"/>
        <w:rPr>
          <w:lang w:val="fr-FR"/>
        </w:rPr>
      </w:pPr>
      <w:r>
        <w:rPr>
          <w:lang w:val="fr-FR"/>
        </w:rPr>
        <w:t>21.</w:t>
      </w:r>
      <w:r>
        <w:rPr>
          <w:lang w:val="fr-FR"/>
        </w:rPr>
        <w:tab/>
      </w:r>
      <w:r w:rsidR="00F36E85" w:rsidRPr="0062783F">
        <w:rPr>
          <w:lang w:val="fr-FR"/>
        </w:rPr>
        <w:t>8.2.2.3.3.2 : Remplacer « degrés maximum de remplissage » par « degré de remplissage maximal de la citerne à cargaison ». Remplacer « degré de remplissage » par « degré de remplissage de la citerne à cargaison ».</w:t>
      </w:r>
    </w:p>
    <w:p w14:paraId="7E534B09" w14:textId="32436D5B" w:rsidR="00F36E85" w:rsidRPr="0062783F" w:rsidRDefault="00E70041" w:rsidP="0067540F">
      <w:pPr>
        <w:pStyle w:val="SingleTxtG"/>
        <w:rPr>
          <w:lang w:val="fr-FR"/>
        </w:rPr>
      </w:pPr>
      <w:r>
        <w:rPr>
          <w:lang w:val="fr-FR"/>
        </w:rPr>
        <w:t>22.</w:t>
      </w:r>
      <w:r>
        <w:rPr>
          <w:lang w:val="fr-FR"/>
        </w:rPr>
        <w:tab/>
      </w:r>
      <w:r w:rsidR="00F36E85" w:rsidRPr="0062783F">
        <w:rPr>
          <w:lang w:val="fr-FR"/>
        </w:rPr>
        <w:t>9.1.0.40.2.10, 9.1.0.40.2.11, 9.1.0.40.2.13, 9.3.x.40.2.10, 9.3.x.40.2.11, 9.3.x.40.2.13 : Ajouter la note de bas de page suivante à « degré de remplissage » : « *) Le texte ayant été repris de l'ES-TRIN, la définition de « degré de remplissage » n'est pas applicable ici. ».</w:t>
      </w:r>
    </w:p>
    <w:p w14:paraId="5C7287FC" w14:textId="12E991D5" w:rsidR="00F36E85" w:rsidRPr="0062783F" w:rsidRDefault="00E70041" w:rsidP="0067540F">
      <w:pPr>
        <w:pStyle w:val="SingleTxtG"/>
        <w:rPr>
          <w:lang w:val="fr-FR"/>
        </w:rPr>
      </w:pPr>
      <w:r>
        <w:rPr>
          <w:lang w:val="fr-FR"/>
        </w:rPr>
        <w:t>23.</w:t>
      </w:r>
      <w:r>
        <w:rPr>
          <w:lang w:val="fr-FR"/>
        </w:rPr>
        <w:tab/>
      </w:r>
      <w:r w:rsidR="00F36E85" w:rsidRPr="0062783F">
        <w:rPr>
          <w:lang w:val="fr-FR"/>
        </w:rPr>
        <w:t>9.3.1.21.1 c) et d) : Remplacer « degré de remplissage » par « degré de remplissage de la citerne à cargaison ».</w:t>
      </w:r>
    </w:p>
    <w:p w14:paraId="30D7C828" w14:textId="12C6BF90" w:rsidR="00F36E85" w:rsidRPr="0062783F" w:rsidRDefault="00E70041" w:rsidP="0067540F">
      <w:pPr>
        <w:pStyle w:val="SingleTxtG"/>
        <w:rPr>
          <w:lang w:val="fr-FR"/>
        </w:rPr>
      </w:pPr>
      <w:r>
        <w:rPr>
          <w:lang w:val="fr-FR"/>
        </w:rPr>
        <w:t>24.</w:t>
      </w:r>
      <w:r>
        <w:rPr>
          <w:lang w:val="fr-FR"/>
        </w:rPr>
        <w:tab/>
      </w:r>
      <w:r w:rsidR="00F36E85" w:rsidRPr="0062783F">
        <w:rPr>
          <w:lang w:val="fr-FR"/>
        </w:rPr>
        <w:t>9.3.1.21.2 : Remplacer « degré de remplissage » par « degré de remplissage de la citerne à cargaison ».</w:t>
      </w:r>
    </w:p>
    <w:p w14:paraId="612678CD" w14:textId="42E655B6" w:rsidR="00F36E85" w:rsidRPr="0062783F" w:rsidRDefault="00E70041" w:rsidP="0067540F">
      <w:pPr>
        <w:pStyle w:val="SingleTxtG"/>
        <w:rPr>
          <w:lang w:val="fr-FR"/>
        </w:rPr>
      </w:pPr>
      <w:r>
        <w:rPr>
          <w:lang w:val="fr-FR"/>
        </w:rPr>
        <w:lastRenderedPageBreak/>
        <w:t>25.</w:t>
      </w:r>
      <w:r>
        <w:rPr>
          <w:lang w:val="fr-FR"/>
        </w:rPr>
        <w:tab/>
      </w:r>
      <w:r w:rsidR="00F36E85" w:rsidRPr="0062783F">
        <w:rPr>
          <w:lang w:val="fr-FR"/>
        </w:rPr>
        <w:t>9.3.2.21.1 a) : Remplacer « degré de remplissage » par « degré de remplissage de la citerne à cargaison ».</w:t>
      </w:r>
    </w:p>
    <w:p w14:paraId="1BF53B3F" w14:textId="1269B232" w:rsidR="00F36E85" w:rsidRPr="0062783F" w:rsidRDefault="00E70041" w:rsidP="0067540F">
      <w:pPr>
        <w:pStyle w:val="SingleTxtG"/>
        <w:rPr>
          <w:lang w:val="fr-FR"/>
        </w:rPr>
      </w:pPr>
      <w:r>
        <w:rPr>
          <w:lang w:val="fr-FR"/>
        </w:rPr>
        <w:t>26.</w:t>
      </w:r>
      <w:r>
        <w:rPr>
          <w:lang w:val="fr-FR"/>
        </w:rPr>
        <w:tab/>
      </w:r>
      <w:r w:rsidR="00F36E85" w:rsidRPr="0062783F">
        <w:rPr>
          <w:lang w:val="fr-FR"/>
        </w:rPr>
        <w:t>9.3.2.21.1 c) et d) : Remplacer « degré de remplissage » par « degré de remplissage de la citerne à cargaison ».</w:t>
      </w:r>
    </w:p>
    <w:p w14:paraId="29EEB382" w14:textId="3EBF000D" w:rsidR="00F36E85" w:rsidRPr="0062783F" w:rsidRDefault="00E70041" w:rsidP="0067540F">
      <w:pPr>
        <w:pStyle w:val="SingleTxtG"/>
        <w:rPr>
          <w:lang w:val="fr-FR"/>
        </w:rPr>
      </w:pPr>
      <w:r>
        <w:rPr>
          <w:lang w:val="fr-FR"/>
        </w:rPr>
        <w:t>27.</w:t>
      </w:r>
      <w:r>
        <w:rPr>
          <w:lang w:val="fr-FR"/>
        </w:rPr>
        <w:tab/>
      </w:r>
      <w:r w:rsidR="00F36E85" w:rsidRPr="0062783F">
        <w:rPr>
          <w:lang w:val="fr-FR"/>
        </w:rPr>
        <w:t>9.3.2.21.2 : Remplacer « degré de remplissage » par « degré de remplissage de la citerne à cargaison ».</w:t>
      </w:r>
    </w:p>
    <w:p w14:paraId="456950FA" w14:textId="1F5DDE1A" w:rsidR="00F36E85" w:rsidRPr="0062783F" w:rsidRDefault="00E70041" w:rsidP="0067540F">
      <w:pPr>
        <w:pStyle w:val="SingleTxtG"/>
        <w:rPr>
          <w:lang w:val="fr-FR"/>
        </w:rPr>
      </w:pPr>
      <w:r>
        <w:rPr>
          <w:lang w:val="fr-FR"/>
        </w:rPr>
        <w:t>28.</w:t>
      </w:r>
      <w:r>
        <w:rPr>
          <w:lang w:val="fr-FR"/>
        </w:rPr>
        <w:tab/>
      </w:r>
      <w:r w:rsidR="00F36E85" w:rsidRPr="0062783F">
        <w:rPr>
          <w:lang w:val="fr-FR"/>
        </w:rPr>
        <w:t>9.3.3.21.1 a) : Remplacer « degré de remplissage » par « degré de remplissage de la citerne à cargaison ».</w:t>
      </w:r>
    </w:p>
    <w:p w14:paraId="74545CFC" w14:textId="34330780" w:rsidR="00F36E85" w:rsidRPr="0062783F" w:rsidRDefault="00E70041" w:rsidP="0067540F">
      <w:pPr>
        <w:pStyle w:val="SingleTxtG"/>
        <w:rPr>
          <w:lang w:val="fr-FR"/>
        </w:rPr>
      </w:pPr>
      <w:r>
        <w:rPr>
          <w:lang w:val="fr-FR"/>
        </w:rPr>
        <w:t>29.</w:t>
      </w:r>
      <w:r>
        <w:rPr>
          <w:lang w:val="fr-FR"/>
        </w:rPr>
        <w:tab/>
      </w:r>
      <w:r w:rsidR="00F36E85" w:rsidRPr="0062783F">
        <w:rPr>
          <w:lang w:val="fr-FR"/>
        </w:rPr>
        <w:t>9.3.3.21.1 c) et d) : Remplacer « degré de remplissage » par « degré de remplissage de la citerne à cargaison ».</w:t>
      </w:r>
    </w:p>
    <w:p w14:paraId="470DF1FF" w14:textId="15162BEA" w:rsidR="00F36E85" w:rsidRPr="0062783F" w:rsidRDefault="00E70041" w:rsidP="007F5BBC">
      <w:pPr>
        <w:pStyle w:val="SingleTxtG"/>
        <w:rPr>
          <w:lang w:val="fr-FR"/>
        </w:rPr>
      </w:pPr>
      <w:r>
        <w:rPr>
          <w:lang w:val="fr-FR"/>
        </w:rPr>
        <w:t>30.</w:t>
      </w:r>
      <w:r>
        <w:rPr>
          <w:lang w:val="fr-FR"/>
        </w:rPr>
        <w:tab/>
      </w:r>
      <w:r w:rsidR="00F36E85" w:rsidRPr="0062783F">
        <w:rPr>
          <w:lang w:val="fr-FR"/>
        </w:rPr>
        <w:t>9.3.3.21.2 : Remplacer « degré de remplissage » par « degré de remplissage de la citerne à cargaison ».</w:t>
      </w:r>
    </w:p>
    <w:p w14:paraId="7D09ACD5" w14:textId="22B3A1F1" w:rsidR="00F36E85" w:rsidRPr="0062783F" w:rsidRDefault="007F5BBC" w:rsidP="007F5BBC">
      <w:pPr>
        <w:pStyle w:val="HChG"/>
        <w:rPr>
          <w:lang w:val="fr-FR"/>
        </w:rPr>
      </w:pPr>
      <w:r>
        <w:rPr>
          <w:lang w:val="fr-FR"/>
        </w:rPr>
        <w:tab/>
      </w:r>
      <w:r w:rsidR="00F36E85" w:rsidRPr="0062783F">
        <w:rPr>
          <w:lang w:val="fr-FR"/>
        </w:rPr>
        <w:t>II.</w:t>
      </w:r>
      <w:r w:rsidR="00F36E85" w:rsidRPr="0062783F">
        <w:rPr>
          <w:lang w:val="fr-FR"/>
        </w:rPr>
        <w:tab/>
        <w:t>Motif</w:t>
      </w:r>
    </w:p>
    <w:p w14:paraId="7738687A" w14:textId="07A02F6C" w:rsidR="00F36E85" w:rsidRPr="0096584C" w:rsidRDefault="0096584C" w:rsidP="0096584C">
      <w:pPr>
        <w:pStyle w:val="SingleTxtG"/>
      </w:pPr>
      <w:r>
        <w:t>31.</w:t>
      </w:r>
      <w:r>
        <w:tab/>
      </w:r>
      <w:r w:rsidR="00F36E85" w:rsidRPr="0096584C">
        <w:t>Sécurité : les modifications rédactionnelles garantissent que l'introduction de nouvelles définitions n'aura pas d'incidence sur la sécurité.</w:t>
      </w:r>
    </w:p>
    <w:p w14:paraId="7211B87E" w14:textId="63274FD2" w:rsidR="00F36E85" w:rsidRPr="0096584C" w:rsidRDefault="0096584C" w:rsidP="0096584C">
      <w:pPr>
        <w:pStyle w:val="SingleTxtG"/>
      </w:pPr>
      <w:r>
        <w:t>32.</w:t>
      </w:r>
      <w:r>
        <w:tab/>
      </w:r>
      <w:r w:rsidR="00F36E85" w:rsidRPr="0096584C">
        <w:t>Délai transitoire</w:t>
      </w:r>
      <w:r w:rsidR="00A06318">
        <w:t xml:space="preserve"> </w:t>
      </w:r>
      <w:r w:rsidR="00F36E85" w:rsidRPr="0096584C">
        <w:t>: Aucun délai transitoire n'est nécessaire.</w:t>
      </w:r>
    </w:p>
    <w:p w14:paraId="1D4AA504" w14:textId="54A72650" w:rsidR="00F36E85" w:rsidRPr="0096584C" w:rsidRDefault="0096584C" w:rsidP="0096584C">
      <w:pPr>
        <w:pStyle w:val="SingleTxtG"/>
      </w:pPr>
      <w:r>
        <w:t>33.</w:t>
      </w:r>
      <w:r>
        <w:tab/>
      </w:r>
      <w:r w:rsidR="00F36E85" w:rsidRPr="0096584C">
        <w:t>Applicabilité : ces modifications rédactionnelles rendent le texte plus clair.</w:t>
      </w:r>
    </w:p>
    <w:p w14:paraId="183DBC0D" w14:textId="2B75B05E" w:rsidR="00F36E85" w:rsidRPr="0096584C" w:rsidRDefault="0096584C" w:rsidP="0096584C">
      <w:pPr>
        <w:spacing w:before="240"/>
        <w:jc w:val="center"/>
        <w:rPr>
          <w:u w:val="single"/>
          <w:lang w:val="en-US"/>
        </w:rPr>
      </w:pPr>
      <w:r>
        <w:rPr>
          <w:u w:val="single"/>
          <w:lang w:val="en-US"/>
        </w:rPr>
        <w:tab/>
      </w:r>
      <w:r>
        <w:rPr>
          <w:u w:val="single"/>
          <w:lang w:val="en-US"/>
        </w:rPr>
        <w:tab/>
      </w:r>
      <w:r>
        <w:rPr>
          <w:u w:val="single"/>
          <w:lang w:val="en-US"/>
        </w:rPr>
        <w:tab/>
      </w:r>
    </w:p>
    <w:sectPr w:rsidR="00F36E85" w:rsidRPr="0096584C" w:rsidSect="008930B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8812" w14:textId="77777777" w:rsidR="00FB4FDE" w:rsidRDefault="00FB4FDE" w:rsidP="00F95C08">
      <w:pPr>
        <w:spacing w:line="240" w:lineRule="auto"/>
      </w:pPr>
    </w:p>
  </w:endnote>
  <w:endnote w:type="continuationSeparator" w:id="0">
    <w:p w14:paraId="7D2FA8DD" w14:textId="77777777" w:rsidR="00FB4FDE" w:rsidRPr="00AC3823" w:rsidRDefault="00FB4FDE" w:rsidP="00AC3823">
      <w:pPr>
        <w:pStyle w:val="Footer"/>
      </w:pPr>
    </w:p>
  </w:endnote>
  <w:endnote w:type="continuationNotice" w:id="1">
    <w:p w14:paraId="264889D4" w14:textId="77777777" w:rsidR="00FB4FDE" w:rsidRDefault="00FB4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7A4C" w14:textId="77777777" w:rsidR="008930BE" w:rsidRPr="008930BE" w:rsidRDefault="008930BE" w:rsidP="008930BE">
    <w:pPr>
      <w:pStyle w:val="Footer"/>
      <w:tabs>
        <w:tab w:val="right" w:pos="9638"/>
      </w:tabs>
      <w:rPr>
        <w:sz w:val="18"/>
      </w:rPr>
    </w:pPr>
    <w:r w:rsidRPr="008930BE">
      <w:rPr>
        <w:b/>
        <w:sz w:val="18"/>
      </w:rPr>
      <w:fldChar w:fldCharType="begin"/>
    </w:r>
    <w:r w:rsidRPr="008930BE">
      <w:rPr>
        <w:b/>
        <w:sz w:val="18"/>
      </w:rPr>
      <w:instrText xml:space="preserve"> PAGE  \* MERGEFORMAT </w:instrText>
    </w:r>
    <w:r w:rsidRPr="008930BE">
      <w:rPr>
        <w:b/>
        <w:sz w:val="18"/>
      </w:rPr>
      <w:fldChar w:fldCharType="separate"/>
    </w:r>
    <w:r w:rsidRPr="008930BE">
      <w:rPr>
        <w:b/>
        <w:noProof/>
        <w:sz w:val="18"/>
      </w:rPr>
      <w:t>2</w:t>
    </w:r>
    <w:r w:rsidRPr="008930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B7DC" w14:textId="77777777" w:rsidR="008930BE" w:rsidRPr="008930BE" w:rsidRDefault="008930BE" w:rsidP="008930BE">
    <w:pPr>
      <w:pStyle w:val="Footer"/>
      <w:tabs>
        <w:tab w:val="right" w:pos="9638"/>
      </w:tabs>
      <w:rPr>
        <w:b/>
        <w:sz w:val="18"/>
      </w:rPr>
    </w:pPr>
    <w:r>
      <w:tab/>
    </w:r>
    <w:r w:rsidRPr="008930BE">
      <w:rPr>
        <w:b/>
        <w:sz w:val="18"/>
      </w:rPr>
      <w:fldChar w:fldCharType="begin"/>
    </w:r>
    <w:r w:rsidRPr="008930BE">
      <w:rPr>
        <w:b/>
        <w:sz w:val="18"/>
      </w:rPr>
      <w:instrText xml:space="preserve"> PAGE  \* MERGEFORMAT </w:instrText>
    </w:r>
    <w:r w:rsidRPr="008930BE">
      <w:rPr>
        <w:b/>
        <w:sz w:val="18"/>
      </w:rPr>
      <w:fldChar w:fldCharType="separate"/>
    </w:r>
    <w:r w:rsidRPr="008930BE">
      <w:rPr>
        <w:b/>
        <w:noProof/>
        <w:sz w:val="18"/>
      </w:rPr>
      <w:t>3</w:t>
    </w:r>
    <w:r w:rsidRPr="008930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0C04" w14:textId="77777777" w:rsidR="000D3EE9" w:rsidRPr="008930BE"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5D6CBC0B" wp14:editId="2F76DBB9">
          <wp:simplePos x="0" y="0"/>
          <wp:positionH relativeFrom="margin">
            <wp:posOffset>5004435</wp:posOffset>
          </wp:positionH>
          <wp:positionV relativeFrom="margin">
            <wp:posOffset>9324975</wp:posOffset>
          </wp:positionV>
          <wp:extent cx="1105200" cy="234000"/>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AF27" w14:textId="77777777" w:rsidR="00FB4FDE" w:rsidRPr="00AC3823" w:rsidRDefault="00FB4FDE" w:rsidP="00AC3823">
      <w:pPr>
        <w:pStyle w:val="Footer"/>
        <w:tabs>
          <w:tab w:val="right" w:pos="2155"/>
        </w:tabs>
        <w:spacing w:after="80" w:line="240" w:lineRule="atLeast"/>
        <w:ind w:left="680"/>
        <w:rPr>
          <w:u w:val="single"/>
        </w:rPr>
      </w:pPr>
      <w:r>
        <w:rPr>
          <w:u w:val="single"/>
        </w:rPr>
        <w:tab/>
      </w:r>
    </w:p>
  </w:footnote>
  <w:footnote w:type="continuationSeparator" w:id="0">
    <w:p w14:paraId="39CABD4F" w14:textId="77777777" w:rsidR="00FB4FDE" w:rsidRPr="00AC3823" w:rsidRDefault="00FB4FDE" w:rsidP="00AC3823">
      <w:pPr>
        <w:pStyle w:val="Footer"/>
        <w:tabs>
          <w:tab w:val="right" w:pos="2155"/>
        </w:tabs>
        <w:spacing w:after="80" w:line="240" w:lineRule="atLeast"/>
        <w:ind w:left="680"/>
        <w:rPr>
          <w:u w:val="single"/>
        </w:rPr>
      </w:pPr>
      <w:r>
        <w:rPr>
          <w:u w:val="single"/>
        </w:rPr>
        <w:tab/>
      </w:r>
    </w:p>
  </w:footnote>
  <w:footnote w:type="continuationNotice" w:id="1">
    <w:p w14:paraId="2EA5ECA9" w14:textId="77777777" w:rsidR="00FB4FDE" w:rsidRPr="00AC3823" w:rsidRDefault="00FB4FDE">
      <w:pPr>
        <w:spacing w:line="240" w:lineRule="auto"/>
        <w:rPr>
          <w:sz w:val="2"/>
          <w:szCs w:val="2"/>
        </w:rPr>
      </w:pPr>
    </w:p>
  </w:footnote>
  <w:footnote w:id="2">
    <w:p w14:paraId="2385A319" w14:textId="4686C1D1" w:rsidR="000464D8" w:rsidRPr="00244EFB" w:rsidRDefault="000464D8" w:rsidP="00DA2408">
      <w:pPr>
        <w:pStyle w:val="FootnoteText"/>
        <w:rPr>
          <w:sz w:val="16"/>
          <w:lang w:val="fr-FR"/>
        </w:rPr>
      </w:pPr>
      <w:r w:rsidRPr="00244EFB">
        <w:rPr>
          <w:rStyle w:val="FootnoteReference"/>
          <w:lang w:val="fr-FR"/>
        </w:rPr>
        <w:tab/>
        <w:t>*</w:t>
      </w:r>
      <w:r w:rsidRPr="00244EFB">
        <w:rPr>
          <w:rStyle w:val="FootnoteReference"/>
          <w:lang w:val="fr-FR"/>
        </w:rPr>
        <w:tab/>
      </w:r>
      <w:r w:rsidR="00593AA3" w:rsidRPr="006E3CAE">
        <w:rPr>
          <w:sz w:val="16"/>
          <w:szCs w:val="16"/>
          <w:lang w:val="fr-FR"/>
        </w:rPr>
        <w:t>Diffusée en langue allemande par la Commission centrale pour la navigation du Rhin sous la cote CCNR-ZKR/ADN/WP.15/AC.2/202</w:t>
      </w:r>
      <w:r w:rsidR="00593AA3">
        <w:rPr>
          <w:sz w:val="16"/>
          <w:szCs w:val="16"/>
          <w:lang w:val="fr-FR"/>
        </w:rPr>
        <w:t>4</w:t>
      </w:r>
      <w:r w:rsidR="00593AA3" w:rsidRPr="006E3CAE">
        <w:rPr>
          <w:sz w:val="16"/>
          <w:szCs w:val="16"/>
          <w:lang w:val="fr-FR"/>
        </w:rPr>
        <w:t>/</w:t>
      </w:r>
      <w:r w:rsidR="00DA2408">
        <w:rPr>
          <w:sz w:val="16"/>
          <w:szCs w:val="16"/>
          <w:lang w:val="fr-FR"/>
        </w:rPr>
        <w:t>35</w:t>
      </w:r>
    </w:p>
  </w:footnote>
  <w:footnote w:id="3">
    <w:p w14:paraId="58CEA86F" w14:textId="77777777" w:rsidR="000464D8" w:rsidRPr="00244EFB" w:rsidRDefault="000464D8" w:rsidP="000464D8">
      <w:pPr>
        <w:pStyle w:val="FootnoteText"/>
        <w:rPr>
          <w:sz w:val="16"/>
          <w:lang w:val="fr-FR"/>
        </w:rPr>
      </w:pPr>
      <w:r w:rsidRPr="00244EFB">
        <w:rPr>
          <w:rStyle w:val="FootnoteReference"/>
          <w:lang w:val="fr-FR"/>
        </w:rPr>
        <w:tab/>
        <w:t>**</w:t>
      </w:r>
      <w:r w:rsidRPr="00244EFB">
        <w:rPr>
          <w:rStyle w:val="FootnoteReference"/>
          <w:lang w:val="fr-FR"/>
        </w:rPr>
        <w:tab/>
      </w:r>
      <w:r w:rsidRPr="00244EFB">
        <w:rPr>
          <w:sz w:val="16"/>
          <w:lang w:val="fr-FR"/>
        </w:rPr>
        <w:t>A/78/6 (chap.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C7EC" w14:textId="77777777" w:rsidR="008930BE" w:rsidRPr="008930BE" w:rsidRDefault="00000000">
    <w:pPr>
      <w:pStyle w:val="Header"/>
    </w:pPr>
    <w:r>
      <w:fldChar w:fldCharType="begin"/>
    </w:r>
    <w:r>
      <w:instrText>TITLE  \* MERGEFORMAT</w:instrText>
    </w:r>
    <w:r>
      <w:fldChar w:fldCharType="separate"/>
    </w:r>
    <w:r w:rsidR="008930BE">
      <w:t>ECE/TRANS/WP.15/AC.2/2024/35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6A0B" w14:textId="77777777" w:rsidR="008930BE" w:rsidRPr="008930BE" w:rsidRDefault="00000000" w:rsidP="008930BE">
    <w:pPr>
      <w:pStyle w:val="Header"/>
      <w:jc w:val="right"/>
    </w:pPr>
    <w:r>
      <w:fldChar w:fldCharType="begin"/>
    </w:r>
    <w:r>
      <w:instrText>TITLE  \* MERGEFORMAT</w:instrText>
    </w:r>
    <w:r>
      <w:fldChar w:fldCharType="separate"/>
    </w:r>
    <w:r w:rsidR="008930BE">
      <w:t>ECE/TRANS/WP.15/AC.2/2024/35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B53BB4"/>
    <w:multiLevelType w:val="hybridMultilevel"/>
    <w:tmpl w:val="EC647EEE"/>
    <w:lvl w:ilvl="0" w:tplc="1D4A13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49940944">
    <w:abstractNumId w:val="13"/>
  </w:num>
  <w:num w:numId="2" w16cid:durableId="859583031">
    <w:abstractNumId w:val="12"/>
  </w:num>
  <w:num w:numId="3" w16cid:durableId="1704474639">
    <w:abstractNumId w:val="10"/>
  </w:num>
  <w:num w:numId="4" w16cid:durableId="1378049165">
    <w:abstractNumId w:val="8"/>
  </w:num>
  <w:num w:numId="5" w16cid:durableId="1375233839">
    <w:abstractNumId w:val="3"/>
  </w:num>
  <w:num w:numId="6" w16cid:durableId="1306088088">
    <w:abstractNumId w:val="2"/>
  </w:num>
  <w:num w:numId="7" w16cid:durableId="218907175">
    <w:abstractNumId w:val="1"/>
  </w:num>
  <w:num w:numId="8" w16cid:durableId="366565847">
    <w:abstractNumId w:val="0"/>
  </w:num>
  <w:num w:numId="9" w16cid:durableId="1421754317">
    <w:abstractNumId w:val="9"/>
  </w:num>
  <w:num w:numId="10" w16cid:durableId="947738784">
    <w:abstractNumId w:val="7"/>
  </w:num>
  <w:num w:numId="11" w16cid:durableId="1044526395">
    <w:abstractNumId w:val="6"/>
  </w:num>
  <w:num w:numId="12" w16cid:durableId="1275598623">
    <w:abstractNumId w:val="5"/>
  </w:num>
  <w:num w:numId="13" w16cid:durableId="1608271167">
    <w:abstractNumId w:val="4"/>
  </w:num>
  <w:num w:numId="14" w16cid:durableId="982735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930BE"/>
    <w:rsid w:val="0001207F"/>
    <w:rsid w:val="00015E7F"/>
    <w:rsid w:val="00017F94"/>
    <w:rsid w:val="00021330"/>
    <w:rsid w:val="00023842"/>
    <w:rsid w:val="000334F9"/>
    <w:rsid w:val="00041873"/>
    <w:rsid w:val="0004639C"/>
    <w:rsid w:val="000464D8"/>
    <w:rsid w:val="0007796D"/>
    <w:rsid w:val="000942EE"/>
    <w:rsid w:val="000A52BF"/>
    <w:rsid w:val="000B7790"/>
    <w:rsid w:val="000D3EE9"/>
    <w:rsid w:val="000D62F3"/>
    <w:rsid w:val="00111F2F"/>
    <w:rsid w:val="001263A7"/>
    <w:rsid w:val="00126C08"/>
    <w:rsid w:val="001433FD"/>
    <w:rsid w:val="0014365E"/>
    <w:rsid w:val="001541D3"/>
    <w:rsid w:val="00156B77"/>
    <w:rsid w:val="00176178"/>
    <w:rsid w:val="00177140"/>
    <w:rsid w:val="0019213E"/>
    <w:rsid w:val="0019582A"/>
    <w:rsid w:val="001B04AB"/>
    <w:rsid w:val="001D400F"/>
    <w:rsid w:val="001F525A"/>
    <w:rsid w:val="00217D3E"/>
    <w:rsid w:val="00223272"/>
    <w:rsid w:val="00240333"/>
    <w:rsid w:val="0024779E"/>
    <w:rsid w:val="002555CD"/>
    <w:rsid w:val="00271BB2"/>
    <w:rsid w:val="00275CAA"/>
    <w:rsid w:val="002832AC"/>
    <w:rsid w:val="00295B4E"/>
    <w:rsid w:val="002D7C93"/>
    <w:rsid w:val="00307F9F"/>
    <w:rsid w:val="003345AC"/>
    <w:rsid w:val="00336C1E"/>
    <w:rsid w:val="00357B92"/>
    <w:rsid w:val="0037241C"/>
    <w:rsid w:val="003763A5"/>
    <w:rsid w:val="003819FF"/>
    <w:rsid w:val="003C7469"/>
    <w:rsid w:val="00435D05"/>
    <w:rsid w:val="00441C3B"/>
    <w:rsid w:val="00446B0A"/>
    <w:rsid w:val="00446FE5"/>
    <w:rsid w:val="00452396"/>
    <w:rsid w:val="00460800"/>
    <w:rsid w:val="00471288"/>
    <w:rsid w:val="0048003F"/>
    <w:rsid w:val="0049687C"/>
    <w:rsid w:val="004B1DF9"/>
    <w:rsid w:val="004B3D87"/>
    <w:rsid w:val="004B7686"/>
    <w:rsid w:val="004C1400"/>
    <w:rsid w:val="004E3D78"/>
    <w:rsid w:val="004E468C"/>
    <w:rsid w:val="004F4626"/>
    <w:rsid w:val="004F4924"/>
    <w:rsid w:val="00517A0D"/>
    <w:rsid w:val="005316B0"/>
    <w:rsid w:val="005505B7"/>
    <w:rsid w:val="00557FC9"/>
    <w:rsid w:val="00573BE5"/>
    <w:rsid w:val="00586AED"/>
    <w:rsid w:val="00586ED3"/>
    <w:rsid w:val="00593AA3"/>
    <w:rsid w:val="00596AA9"/>
    <w:rsid w:val="005B4D0F"/>
    <w:rsid w:val="005B4EEE"/>
    <w:rsid w:val="005C65EE"/>
    <w:rsid w:val="005F4AAD"/>
    <w:rsid w:val="006118AB"/>
    <w:rsid w:val="00615D79"/>
    <w:rsid w:val="00651267"/>
    <w:rsid w:val="0067540F"/>
    <w:rsid w:val="006A611A"/>
    <w:rsid w:val="006C7776"/>
    <w:rsid w:val="006D4E44"/>
    <w:rsid w:val="006E5FA4"/>
    <w:rsid w:val="006F13D1"/>
    <w:rsid w:val="00703D0F"/>
    <w:rsid w:val="00706363"/>
    <w:rsid w:val="007158BB"/>
    <w:rsid w:val="0071601D"/>
    <w:rsid w:val="00736C1B"/>
    <w:rsid w:val="0075410D"/>
    <w:rsid w:val="007A62E6"/>
    <w:rsid w:val="007F1FE1"/>
    <w:rsid w:val="007F5BBC"/>
    <w:rsid w:val="00802CF8"/>
    <w:rsid w:val="0080684C"/>
    <w:rsid w:val="00807528"/>
    <w:rsid w:val="008204DA"/>
    <w:rsid w:val="00834675"/>
    <w:rsid w:val="00846465"/>
    <w:rsid w:val="008535AD"/>
    <w:rsid w:val="008657EE"/>
    <w:rsid w:val="00871C75"/>
    <w:rsid w:val="008767E8"/>
    <w:rsid w:val="008776DC"/>
    <w:rsid w:val="00883605"/>
    <w:rsid w:val="008930BE"/>
    <w:rsid w:val="008C3257"/>
    <w:rsid w:val="008E30ED"/>
    <w:rsid w:val="008E6043"/>
    <w:rsid w:val="008F3050"/>
    <w:rsid w:val="00904048"/>
    <w:rsid w:val="0092404D"/>
    <w:rsid w:val="00937D28"/>
    <w:rsid w:val="00940C4E"/>
    <w:rsid w:val="0094709E"/>
    <w:rsid w:val="00961E7B"/>
    <w:rsid w:val="0096584C"/>
    <w:rsid w:val="009705C8"/>
    <w:rsid w:val="00972DA3"/>
    <w:rsid w:val="00977D49"/>
    <w:rsid w:val="009B7A18"/>
    <w:rsid w:val="009C1CF4"/>
    <w:rsid w:val="009F02C9"/>
    <w:rsid w:val="00A06318"/>
    <w:rsid w:val="00A24C7F"/>
    <w:rsid w:val="00A30353"/>
    <w:rsid w:val="00A40A10"/>
    <w:rsid w:val="00A52486"/>
    <w:rsid w:val="00A62D91"/>
    <w:rsid w:val="00A64950"/>
    <w:rsid w:val="00A85C75"/>
    <w:rsid w:val="00A90D54"/>
    <w:rsid w:val="00AA113A"/>
    <w:rsid w:val="00AC3823"/>
    <w:rsid w:val="00AD4189"/>
    <w:rsid w:val="00AE323C"/>
    <w:rsid w:val="00AE756E"/>
    <w:rsid w:val="00AF16A3"/>
    <w:rsid w:val="00AF774C"/>
    <w:rsid w:val="00B00181"/>
    <w:rsid w:val="00B00B0D"/>
    <w:rsid w:val="00B065D8"/>
    <w:rsid w:val="00B247C1"/>
    <w:rsid w:val="00B36762"/>
    <w:rsid w:val="00B40927"/>
    <w:rsid w:val="00B50E25"/>
    <w:rsid w:val="00B64918"/>
    <w:rsid w:val="00B67DC2"/>
    <w:rsid w:val="00B765F7"/>
    <w:rsid w:val="00B77316"/>
    <w:rsid w:val="00B970BD"/>
    <w:rsid w:val="00BA0CA9"/>
    <w:rsid w:val="00BE052B"/>
    <w:rsid w:val="00BE2AE7"/>
    <w:rsid w:val="00C02897"/>
    <w:rsid w:val="00C11F5A"/>
    <w:rsid w:val="00C1626B"/>
    <w:rsid w:val="00C60A04"/>
    <w:rsid w:val="00C66A47"/>
    <w:rsid w:val="00C70BF7"/>
    <w:rsid w:val="00C75EBD"/>
    <w:rsid w:val="00C7616F"/>
    <w:rsid w:val="00CA46A5"/>
    <w:rsid w:val="00CB16B5"/>
    <w:rsid w:val="00CC57ED"/>
    <w:rsid w:val="00CE0608"/>
    <w:rsid w:val="00CE2687"/>
    <w:rsid w:val="00CE480F"/>
    <w:rsid w:val="00D05D88"/>
    <w:rsid w:val="00D112A7"/>
    <w:rsid w:val="00D21BCB"/>
    <w:rsid w:val="00D3439C"/>
    <w:rsid w:val="00D359DC"/>
    <w:rsid w:val="00D44CF3"/>
    <w:rsid w:val="00D46C8C"/>
    <w:rsid w:val="00D919EE"/>
    <w:rsid w:val="00DA2408"/>
    <w:rsid w:val="00DB1831"/>
    <w:rsid w:val="00DD3BFD"/>
    <w:rsid w:val="00DE239D"/>
    <w:rsid w:val="00DF431C"/>
    <w:rsid w:val="00DF6678"/>
    <w:rsid w:val="00E2781F"/>
    <w:rsid w:val="00E354CA"/>
    <w:rsid w:val="00E368F7"/>
    <w:rsid w:val="00E428C8"/>
    <w:rsid w:val="00E47521"/>
    <w:rsid w:val="00E70041"/>
    <w:rsid w:val="00E742DD"/>
    <w:rsid w:val="00EC031B"/>
    <w:rsid w:val="00EE74F0"/>
    <w:rsid w:val="00EF2E22"/>
    <w:rsid w:val="00F0592C"/>
    <w:rsid w:val="00F06ED4"/>
    <w:rsid w:val="00F36E85"/>
    <w:rsid w:val="00F43289"/>
    <w:rsid w:val="00F660DF"/>
    <w:rsid w:val="00F95C08"/>
    <w:rsid w:val="00FB4FDE"/>
    <w:rsid w:val="00FD1581"/>
    <w:rsid w:val="23693C5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806FE"/>
  <w15:docId w15:val="{C5C775F8-B31B-47B7-A539-FCD7935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evision">
    <w:name w:val="Revision"/>
    <w:hidden/>
    <w:uiPriority w:val="99"/>
    <w:semiHidden/>
    <w:rsid w:val="00977D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98899716-A220-4631-AA29-24B47F7C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TRANS_WP1_24_F.dotm</Template>
  <TotalTime>14</TotalTime>
  <Pages>4</Pages>
  <Words>1593</Words>
  <Characters>9086</Characters>
  <Application>Microsoft Office Word</Application>
  <DocSecurity>0</DocSecurity>
  <Lines>75</Lines>
  <Paragraphs>21</Paragraphs>
  <ScaleCrop>false</ScaleCrop>
  <Company>DCM</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ECE/TRANS/WP.15/AC.2/2024/35</dc:title>
  <dc:subject>FINAL</dc:subject>
  <dc:creator>Nadiya Dzyubynska</dc:creator>
  <cp:keywords/>
  <dc:description/>
  <cp:lastModifiedBy>Nadiya Dzyubynska</cp:lastModifiedBy>
  <cp:revision>84</cp:revision>
  <cp:lastPrinted>2014-05-14T19:59:00Z</cp:lastPrinted>
  <dcterms:created xsi:type="dcterms:W3CDTF">2024-04-26T00:20:00Z</dcterms:created>
  <dcterms:modified xsi:type="dcterms:W3CDTF">2024-04-29T10:44:00Z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