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2DC432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F7FBBA" w14:textId="77777777" w:rsidR="00F35BAF" w:rsidRPr="00DB58B5" w:rsidRDefault="00F35BAF" w:rsidP="009E5C4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80BBF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7B84282" w14:textId="2F57DAE3" w:rsidR="00F35BAF" w:rsidRPr="00DB58B5" w:rsidRDefault="009E5C4E" w:rsidP="009E5C4E">
            <w:pPr>
              <w:jc w:val="right"/>
            </w:pPr>
            <w:r w:rsidRPr="009E5C4E">
              <w:rPr>
                <w:sz w:val="40"/>
              </w:rPr>
              <w:t>ECE</w:t>
            </w:r>
            <w:r>
              <w:t>/TRANS/WP.29/GRE/2024/7</w:t>
            </w:r>
          </w:p>
        </w:tc>
      </w:tr>
      <w:tr w:rsidR="00F35BAF" w:rsidRPr="00DB58B5" w14:paraId="0EBAEEE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709056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7851C44" wp14:editId="689A086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21699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E1DB509" w14:textId="77777777" w:rsidR="00F35BAF" w:rsidRDefault="009E5C4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D3045F6" w14:textId="77777777" w:rsidR="009E5C4E" w:rsidRDefault="009E5C4E" w:rsidP="009E5C4E">
            <w:pPr>
              <w:spacing w:line="240" w:lineRule="exact"/>
            </w:pPr>
            <w:r>
              <w:t>6 février 2024</w:t>
            </w:r>
          </w:p>
          <w:p w14:paraId="26981182" w14:textId="77777777" w:rsidR="009E5C4E" w:rsidRDefault="009E5C4E" w:rsidP="009E5C4E">
            <w:pPr>
              <w:spacing w:line="240" w:lineRule="exact"/>
            </w:pPr>
            <w:r>
              <w:t>Français</w:t>
            </w:r>
          </w:p>
          <w:p w14:paraId="3CDD3EB1" w14:textId="7FFA7EE7" w:rsidR="009E5C4E" w:rsidRPr="00DB58B5" w:rsidRDefault="009E5C4E" w:rsidP="009E5C4E">
            <w:pPr>
              <w:spacing w:line="240" w:lineRule="exact"/>
            </w:pPr>
            <w:r>
              <w:t>Original : anglais</w:t>
            </w:r>
          </w:p>
        </w:tc>
      </w:tr>
    </w:tbl>
    <w:p w14:paraId="346C159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186385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6D30DEB" w14:textId="77777777" w:rsidR="00896936" w:rsidRDefault="0089693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9C9CD35" w14:textId="77777777" w:rsidR="00896936" w:rsidRDefault="00896936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2DD2461E" w14:textId="5AD9BFFE" w:rsidR="00896936" w:rsidRDefault="00896936" w:rsidP="00257168">
      <w:pPr>
        <w:spacing w:before="120" w:line="240" w:lineRule="exact"/>
        <w:rPr>
          <w:b/>
        </w:rPr>
      </w:pPr>
      <w:r>
        <w:rPr>
          <w:b/>
        </w:rPr>
        <w:t>Quatre-vingt-dixième session</w:t>
      </w:r>
    </w:p>
    <w:p w14:paraId="68547C6F" w14:textId="19D6C861" w:rsidR="000217A3" w:rsidRPr="009519DF" w:rsidRDefault="000217A3" w:rsidP="000217A3">
      <w:pPr>
        <w:ind w:right="1134"/>
        <w:rPr>
          <w:lang w:val="fr-FR"/>
        </w:rPr>
      </w:pPr>
      <w:r>
        <w:rPr>
          <w:lang w:val="fr-FR"/>
        </w:rPr>
        <w:t>Genève, 29 avril</w:t>
      </w:r>
      <w:r w:rsidR="00B32AC3">
        <w:rPr>
          <w:lang w:val="fr-FR"/>
        </w:rPr>
        <w:t>-</w:t>
      </w:r>
      <w:r>
        <w:rPr>
          <w:lang w:val="fr-FR"/>
        </w:rPr>
        <w:t>3 mai 2024</w:t>
      </w:r>
    </w:p>
    <w:p w14:paraId="0C368E63" w14:textId="77777777" w:rsidR="000217A3" w:rsidRPr="009519DF" w:rsidRDefault="000217A3" w:rsidP="000217A3">
      <w:pPr>
        <w:ind w:right="1134"/>
        <w:rPr>
          <w:bCs/>
          <w:lang w:val="fr-FR"/>
        </w:rPr>
      </w:pPr>
      <w:r>
        <w:rPr>
          <w:lang w:val="fr-FR"/>
        </w:rPr>
        <w:t>Point 7 b) de l’ordre du jour provisoire</w:t>
      </w:r>
    </w:p>
    <w:p w14:paraId="24011A33" w14:textId="679A9489" w:rsidR="000217A3" w:rsidRPr="009519DF" w:rsidRDefault="000217A3" w:rsidP="000217A3">
      <w:pPr>
        <w:ind w:right="1467"/>
        <w:rPr>
          <w:b/>
          <w:bCs/>
          <w:lang w:val="fr-FR"/>
        </w:rPr>
      </w:pPr>
      <w:r>
        <w:rPr>
          <w:b/>
          <w:bCs/>
          <w:lang w:val="fr-FR"/>
        </w:rPr>
        <w:t>Règlements ONU concernant les dispositifs</w:t>
      </w:r>
      <w:r w:rsidR="00B32AC3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: </w:t>
      </w:r>
      <w:r w:rsidR="00B32AC3"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Règlement ONU </w:t>
      </w:r>
      <w:r w:rsidRPr="000217A3">
        <w:rPr>
          <w:rFonts w:eastAsia="MS Mincho"/>
          <w:b/>
          <w:bCs/>
          <w:lang w:val="fr-FR"/>
        </w:rPr>
        <w:t>n</w:t>
      </w:r>
      <w:r w:rsidRPr="000217A3">
        <w:rPr>
          <w:rFonts w:eastAsia="MS Mincho"/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149 (Dispositifs d’éclairage de la route)</w:t>
      </w:r>
    </w:p>
    <w:p w14:paraId="5956CCC6" w14:textId="60AC2245" w:rsidR="000217A3" w:rsidRPr="009519DF" w:rsidRDefault="000217A3" w:rsidP="000217A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à la série 01 d’amendements </w:t>
      </w:r>
      <w:r w:rsidR="00B32AC3">
        <w:rPr>
          <w:lang w:val="fr-FR"/>
        </w:rPr>
        <w:br/>
      </w:r>
      <w:r>
        <w:rPr>
          <w:lang w:val="fr-FR"/>
        </w:rPr>
        <w:t xml:space="preserve">au Règlement ONU </w:t>
      </w:r>
      <w:r w:rsidR="00B32AC3" w:rsidRPr="00B32AC3">
        <w:rPr>
          <w:rFonts w:eastAsia="MS Mincho"/>
          <w:lang w:val="fr-FR"/>
        </w:rPr>
        <w:t>n</w:t>
      </w:r>
      <w:r w:rsidR="00B32AC3" w:rsidRPr="00B32AC3">
        <w:rPr>
          <w:rFonts w:eastAsia="MS Mincho"/>
          <w:vertAlign w:val="superscript"/>
          <w:lang w:val="fr-FR"/>
        </w:rPr>
        <w:t>o</w:t>
      </w:r>
      <w:r w:rsidR="00B32AC3">
        <w:rPr>
          <w:lang w:val="fr-FR"/>
        </w:rPr>
        <w:t> </w:t>
      </w:r>
      <w:r>
        <w:rPr>
          <w:lang w:val="fr-FR"/>
        </w:rPr>
        <w:t>149</w:t>
      </w:r>
    </w:p>
    <w:p w14:paraId="71FAB53F" w14:textId="76654103" w:rsidR="000217A3" w:rsidRPr="009519DF" w:rsidRDefault="000217A3" w:rsidP="000217A3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des experts du Groupe de travail «</w:t>
      </w:r>
      <w:r>
        <w:rPr>
          <w:lang w:val="fr-FR"/>
        </w:rPr>
        <w:t> </w:t>
      </w:r>
      <w:r>
        <w:rPr>
          <w:lang w:val="fr-FR"/>
        </w:rPr>
        <w:t>Bruxelles 1952</w:t>
      </w:r>
      <w:r>
        <w:rPr>
          <w:lang w:val="fr-FR"/>
        </w:rPr>
        <w:t> </w:t>
      </w:r>
      <w:r>
        <w:rPr>
          <w:lang w:val="fr-FR"/>
        </w:rPr>
        <w:t>»</w:t>
      </w:r>
      <w:r w:rsidRPr="000217A3">
        <w:rPr>
          <w:b w:val="0"/>
          <w:bCs/>
          <w:sz w:val="20"/>
          <w:lang w:val="fr-FR"/>
        </w:rPr>
        <w:t>*</w:t>
      </w:r>
      <w:r>
        <w:rPr>
          <w:lang w:val="fr-FR"/>
        </w:rPr>
        <w:t xml:space="preserve"> </w:t>
      </w:r>
    </w:p>
    <w:p w14:paraId="42DFC9C5" w14:textId="06C8A885" w:rsidR="000217A3" w:rsidRDefault="000217A3" w:rsidP="000217A3">
      <w:pPr>
        <w:pStyle w:val="SingleTxtG"/>
        <w:ind w:firstLine="567"/>
        <w:rPr>
          <w:lang w:val="fr-FR"/>
        </w:rPr>
      </w:pPr>
      <w:r>
        <w:rPr>
          <w:lang w:val="fr-FR"/>
        </w:rPr>
        <w:footnoteReference w:customMarkFollows="1" w:id="2"/>
        <w:t>Le texte ci-après, établi par les experts du Groupe de travail «</w:t>
      </w:r>
      <w:r>
        <w:rPr>
          <w:lang w:val="fr-FR"/>
        </w:rPr>
        <w:t> </w:t>
      </w:r>
      <w:r>
        <w:rPr>
          <w:lang w:val="fr-FR"/>
        </w:rPr>
        <w:t>Bruxelles 1952</w:t>
      </w:r>
      <w:r>
        <w:rPr>
          <w:lang w:val="fr-FR"/>
        </w:rPr>
        <w:t> </w:t>
      </w:r>
      <w:r>
        <w:rPr>
          <w:lang w:val="fr-FR"/>
        </w:rPr>
        <w:t>» , vise à apporter une précision concernant la mesure de la qualité de la ligne de coupure. Les</w:t>
      </w:r>
      <w:r w:rsidR="008909D9">
        <w:rPr>
          <w:lang w:val="fr-FR"/>
        </w:rPr>
        <w:t> </w:t>
      </w:r>
      <w:r>
        <w:rPr>
          <w:lang w:val="fr-FR"/>
        </w:rPr>
        <w:t>modifications qu’il est proposé d’apporter au texte actuel du Règlement figurent en caractères gras pour les ajouts et biffés pour les suppressions</w:t>
      </w:r>
      <w:r>
        <w:rPr>
          <w:lang w:val="fr-FR"/>
        </w:rPr>
        <w:t>.</w:t>
      </w:r>
    </w:p>
    <w:p w14:paraId="518CC55E" w14:textId="77777777" w:rsidR="000217A3" w:rsidRDefault="000217A3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1072B76E" w14:textId="03D18472" w:rsidR="00D21752" w:rsidRPr="009519DF" w:rsidRDefault="008909D9" w:rsidP="008909D9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D21752">
        <w:rPr>
          <w:lang w:val="fr-FR"/>
        </w:rPr>
        <w:t>I.</w:t>
      </w:r>
      <w:r w:rsidR="00D21752">
        <w:rPr>
          <w:lang w:val="fr-FR"/>
        </w:rPr>
        <w:tab/>
        <w:t>Proposition</w:t>
      </w:r>
    </w:p>
    <w:p w14:paraId="1BF3B335" w14:textId="77777777" w:rsidR="00D21752" w:rsidRPr="009519DF" w:rsidRDefault="00D21752" w:rsidP="00430E98">
      <w:pPr>
        <w:pStyle w:val="SingleTxtG"/>
        <w:keepNext/>
        <w:rPr>
          <w:lang w:val="fr-FR"/>
        </w:rPr>
      </w:pPr>
      <w:r w:rsidRPr="00430E98">
        <w:rPr>
          <w:i/>
          <w:iCs/>
          <w:lang w:val="fr-FR"/>
        </w:rPr>
        <w:t>Annexe 6, paragraphe 2.2</w:t>
      </w:r>
      <w:r>
        <w:rPr>
          <w:lang w:val="fr-FR"/>
        </w:rPr>
        <w:t>, lire :</w:t>
      </w:r>
    </w:p>
    <w:p w14:paraId="6F2EAD3A" w14:textId="177977AC" w:rsidR="00D21752" w:rsidRPr="00202152" w:rsidRDefault="00D21752" w:rsidP="00430E98">
      <w:pPr>
        <w:pStyle w:val="para"/>
        <w:keepNext/>
        <w:jc w:val="left"/>
      </w:pPr>
      <w:r>
        <w:t>«</w:t>
      </w:r>
      <w:r w:rsidR="00430E98">
        <w:t> </w:t>
      </w:r>
      <w:r>
        <w:t>2.2</w:t>
      </w:r>
      <w:r>
        <w:tab/>
        <w:t>Mesure de la qualité de la ligne de coupure</w:t>
      </w:r>
    </w:p>
    <w:p w14:paraId="6CB87404" w14:textId="77777777" w:rsidR="00D21752" w:rsidRPr="009519DF" w:rsidRDefault="00D21752" w:rsidP="00430E98">
      <w:pPr>
        <w:pStyle w:val="SingleTxtG"/>
        <w:keepNext/>
        <w:ind w:left="2268"/>
        <w:rPr>
          <w:lang w:val="fr-FR"/>
        </w:rPr>
      </w:pPr>
      <w:r>
        <w:rPr>
          <w:lang w:val="fr-FR"/>
        </w:rPr>
        <w:t>Pour déterminer la netteté minimale de la ligne de coupure, on exécute un balayage vertical de sa partie horizontale par paliers angulaires de 0,05° :</w:t>
      </w:r>
    </w:p>
    <w:p w14:paraId="7B47B7A8" w14:textId="3EAD3163" w:rsidR="00D21752" w:rsidRPr="009519DF" w:rsidRDefault="00D21752" w:rsidP="00D21752">
      <w:pPr>
        <w:pStyle w:val="a"/>
        <w:ind w:left="2835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Soit à une distance de mesure de 10 m avec un détecteur d’environ 10</w:t>
      </w:r>
      <w:r w:rsidR="00430E98">
        <w:rPr>
          <w:lang w:val="fr-FR"/>
        </w:rPr>
        <w:t> </w:t>
      </w:r>
      <w:r>
        <w:rPr>
          <w:lang w:val="fr-FR"/>
        </w:rPr>
        <w:t>mm de diamètre</w:t>
      </w:r>
      <w:r w:rsidR="00430E98">
        <w:rPr>
          <w:lang w:val="fr-FR"/>
        </w:rPr>
        <w:t> </w:t>
      </w:r>
      <w:r>
        <w:rPr>
          <w:lang w:val="fr-FR"/>
        </w:rPr>
        <w:t>;</w:t>
      </w:r>
    </w:p>
    <w:p w14:paraId="095DB221" w14:textId="64D26451" w:rsidR="00D21752" w:rsidRPr="009519DF" w:rsidRDefault="00D21752" w:rsidP="00D21752">
      <w:pPr>
        <w:pStyle w:val="a"/>
        <w:ind w:left="2835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Soit à une distance de mesure de 25 m avec un détecteur d’environ 30</w:t>
      </w:r>
      <w:r w:rsidR="00A565B9">
        <w:rPr>
          <w:lang w:val="fr-FR"/>
        </w:rPr>
        <w:t> </w:t>
      </w:r>
      <w:r>
        <w:rPr>
          <w:lang w:val="fr-FR"/>
        </w:rPr>
        <w:t>mm de diamètre.</w:t>
      </w:r>
    </w:p>
    <w:p w14:paraId="6A874678" w14:textId="435E3C9F" w:rsidR="00D21752" w:rsidRPr="009519DF" w:rsidRDefault="00D21752" w:rsidP="00430E98">
      <w:pPr>
        <w:pStyle w:val="SingleTxtG"/>
        <w:ind w:left="2268"/>
        <w:rPr>
          <w:lang w:val="fr-FR"/>
        </w:rPr>
      </w:pPr>
      <w:r>
        <w:rPr>
          <w:lang w:val="fr-FR"/>
        </w:rPr>
        <w:t>La distance de mesure à laquelle l’essai a été effectué doit être consignée au point</w:t>
      </w:r>
      <w:r w:rsidR="00A565B9">
        <w:rPr>
          <w:lang w:val="fr-FR"/>
        </w:rPr>
        <w:t> </w:t>
      </w:r>
      <w:r>
        <w:rPr>
          <w:lang w:val="fr-FR"/>
        </w:rPr>
        <w:t>9 de la fiche de communication (voir l’annexe 1 du présent Règlement).</w:t>
      </w:r>
    </w:p>
    <w:p w14:paraId="62A7696B" w14:textId="28F00335" w:rsidR="00D21752" w:rsidRPr="009519DF" w:rsidRDefault="00D21752" w:rsidP="00430E98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Pour déterminer la netteté </w:t>
      </w:r>
      <w:r>
        <w:rPr>
          <w:b/>
          <w:bCs/>
          <w:lang w:val="fr-FR"/>
        </w:rPr>
        <w:t xml:space="preserve">et la linéarité </w:t>
      </w:r>
      <w:r>
        <w:rPr>
          <w:lang w:val="fr-FR"/>
        </w:rPr>
        <w:t>maximale</w:t>
      </w:r>
      <w:r>
        <w:rPr>
          <w:b/>
          <w:bCs/>
          <w:lang w:val="fr-FR"/>
        </w:rPr>
        <w:t>s</w:t>
      </w:r>
      <w:r>
        <w:rPr>
          <w:lang w:val="fr-FR"/>
        </w:rPr>
        <w:t xml:space="preserve"> de la ligne de coupure, on exécute un balayage vertical de sa partie horizontale par paliers angulaires de 0,05° uniquement à une distance de mesure de 25</w:t>
      </w:r>
      <w:r w:rsidR="00E24B4E">
        <w:rPr>
          <w:lang w:val="fr-FR"/>
        </w:rPr>
        <w:t> </w:t>
      </w:r>
      <w:r>
        <w:rPr>
          <w:lang w:val="fr-FR"/>
        </w:rPr>
        <w:t>m avec un détecteur d’environ 30</w:t>
      </w:r>
      <w:r w:rsidR="00E24B4E">
        <w:rPr>
          <w:lang w:val="fr-FR"/>
        </w:rPr>
        <w:t> </w:t>
      </w:r>
      <w:r>
        <w:rPr>
          <w:lang w:val="fr-FR"/>
        </w:rPr>
        <w:t>mm de diamètre.</w:t>
      </w:r>
    </w:p>
    <w:p w14:paraId="4B84296D" w14:textId="1B7503E0" w:rsidR="00D21752" w:rsidRPr="009519DF" w:rsidRDefault="00D21752" w:rsidP="00430E98">
      <w:pPr>
        <w:pStyle w:val="SingleTxtG"/>
        <w:ind w:left="2268"/>
        <w:rPr>
          <w:lang w:val="fr-FR"/>
        </w:rPr>
      </w:pPr>
      <w:r>
        <w:rPr>
          <w:lang w:val="fr-FR"/>
        </w:rPr>
        <w:t>La qualité de la ligne de coupure est considérée comme acceptable si au moins une série de mesures satisfait aux prescriptions des paragraphes 2.2.1 à</w:t>
      </w:r>
      <w:r w:rsidR="00E24B4E">
        <w:rPr>
          <w:lang w:val="fr-FR"/>
        </w:rPr>
        <w:t> </w:t>
      </w:r>
      <w:r>
        <w:rPr>
          <w:lang w:val="fr-FR"/>
        </w:rPr>
        <w:t>2.2.3.</w:t>
      </w:r>
      <w:r w:rsidR="00A565B9">
        <w:rPr>
          <w:lang w:val="fr-FR"/>
        </w:rPr>
        <w:t> </w:t>
      </w:r>
      <w:r>
        <w:rPr>
          <w:lang w:val="fr-FR"/>
        </w:rPr>
        <w:t>».</w:t>
      </w:r>
    </w:p>
    <w:p w14:paraId="28362898" w14:textId="1148897D" w:rsidR="00D21752" w:rsidRPr="009519DF" w:rsidRDefault="00A565B9" w:rsidP="00A565B9">
      <w:pPr>
        <w:pStyle w:val="HChG"/>
        <w:rPr>
          <w:lang w:val="fr-FR"/>
        </w:rPr>
      </w:pPr>
      <w:r>
        <w:rPr>
          <w:lang w:val="fr-FR"/>
        </w:rPr>
        <w:tab/>
      </w:r>
      <w:r w:rsidR="00D21752">
        <w:rPr>
          <w:lang w:val="fr-FR"/>
        </w:rPr>
        <w:t>II.</w:t>
      </w:r>
      <w:r w:rsidR="00D21752">
        <w:rPr>
          <w:lang w:val="fr-FR"/>
        </w:rPr>
        <w:tab/>
        <w:t>Justification</w:t>
      </w:r>
    </w:p>
    <w:p w14:paraId="40C01B92" w14:textId="1C5F0717" w:rsidR="00D21752" w:rsidRPr="009519DF" w:rsidRDefault="00D21752" w:rsidP="00E24B4E">
      <w:pPr>
        <w:pStyle w:val="SingleTxtG"/>
        <w:ind w:firstLine="567"/>
        <w:rPr>
          <w:bCs/>
          <w:lang w:val="fr-FR"/>
        </w:rPr>
      </w:pPr>
      <w:r>
        <w:rPr>
          <w:lang w:val="fr-FR"/>
        </w:rPr>
        <w:tab/>
        <w:t xml:space="preserve">Le texte actuel de la série 01 d’amendements au Règlement ONU </w:t>
      </w:r>
      <w:r w:rsidR="00E24B4E" w:rsidRPr="00E24B4E">
        <w:rPr>
          <w:rFonts w:eastAsia="MS Mincho"/>
          <w:lang w:val="fr-FR"/>
        </w:rPr>
        <w:t>n</w:t>
      </w:r>
      <w:r w:rsidR="00E24B4E" w:rsidRPr="00E24B4E">
        <w:rPr>
          <w:rFonts w:eastAsia="MS Mincho"/>
          <w:vertAlign w:val="superscript"/>
          <w:lang w:val="fr-FR"/>
        </w:rPr>
        <w:t>o</w:t>
      </w:r>
      <w:r w:rsidR="00E24B4E">
        <w:rPr>
          <w:lang w:val="fr-FR"/>
        </w:rPr>
        <w:t> </w:t>
      </w:r>
      <w:r>
        <w:rPr>
          <w:lang w:val="fr-FR"/>
        </w:rPr>
        <w:t>149 (annexe</w:t>
      </w:r>
      <w:r w:rsidR="00E24B4E">
        <w:rPr>
          <w:lang w:val="fr-FR"/>
        </w:rPr>
        <w:t> </w:t>
      </w:r>
      <w:r>
        <w:rPr>
          <w:lang w:val="fr-FR"/>
        </w:rPr>
        <w:t>6, par</w:t>
      </w:r>
      <w:r w:rsidR="00E24B4E">
        <w:rPr>
          <w:lang w:val="fr-FR"/>
        </w:rPr>
        <w:t>. </w:t>
      </w:r>
      <w:r>
        <w:rPr>
          <w:lang w:val="fr-FR"/>
        </w:rPr>
        <w:t>2.2) décrit de façon claire une méthode de mesure par paliers angulaires de 0,05°, qu’il attribue uniquement à la mesure de la netteté de la ligne de coupure. Néanmoins, l’écart entre ces paliers joue également un rôle important dans la mesure de la linéarité (annexe</w:t>
      </w:r>
      <w:r w:rsidR="0023286D">
        <w:rPr>
          <w:lang w:val="fr-FR"/>
        </w:rPr>
        <w:t> </w:t>
      </w:r>
      <w:r>
        <w:rPr>
          <w:lang w:val="fr-FR"/>
        </w:rPr>
        <w:t>6, par</w:t>
      </w:r>
      <w:r w:rsidR="0023286D">
        <w:rPr>
          <w:lang w:val="fr-FR"/>
        </w:rPr>
        <w:t>. </w:t>
      </w:r>
      <w:r>
        <w:rPr>
          <w:lang w:val="fr-FR"/>
        </w:rPr>
        <w:t>2.2.3) et permet d’obtenir des résultats comparables dans tous les laboratoires.</w:t>
      </w:r>
      <w:bookmarkStart w:id="0" w:name="_Hlk156922634"/>
      <w:bookmarkEnd w:id="0"/>
    </w:p>
    <w:p w14:paraId="29B9E1B3" w14:textId="283B80AC" w:rsidR="00D21752" w:rsidRPr="00D21752" w:rsidRDefault="00D21752" w:rsidP="00D2175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D21752" w:rsidRPr="00D21752" w:rsidSect="009E5C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4A8B" w14:textId="77777777" w:rsidR="00CC0A77" w:rsidRDefault="00CC0A77" w:rsidP="00F95C08">
      <w:pPr>
        <w:spacing w:line="240" w:lineRule="auto"/>
      </w:pPr>
    </w:p>
  </w:endnote>
  <w:endnote w:type="continuationSeparator" w:id="0">
    <w:p w14:paraId="373739D9" w14:textId="77777777" w:rsidR="00CC0A77" w:rsidRPr="00AC3823" w:rsidRDefault="00CC0A77" w:rsidP="00AC3823">
      <w:pPr>
        <w:pStyle w:val="Pieddepage"/>
      </w:pPr>
    </w:p>
  </w:endnote>
  <w:endnote w:type="continuationNotice" w:id="1">
    <w:p w14:paraId="5E4590CD" w14:textId="77777777" w:rsidR="00CC0A77" w:rsidRDefault="00CC0A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7974" w14:textId="5EA595D1" w:rsidR="009E5C4E" w:rsidRPr="009E5C4E" w:rsidRDefault="009E5C4E" w:rsidP="009E5C4E">
    <w:pPr>
      <w:pStyle w:val="Pieddepage"/>
      <w:tabs>
        <w:tab w:val="right" w:pos="9638"/>
      </w:tabs>
    </w:pPr>
    <w:r w:rsidRPr="009E5C4E">
      <w:rPr>
        <w:b/>
        <w:sz w:val="18"/>
      </w:rPr>
      <w:fldChar w:fldCharType="begin"/>
    </w:r>
    <w:r w:rsidRPr="009E5C4E">
      <w:rPr>
        <w:b/>
        <w:sz w:val="18"/>
      </w:rPr>
      <w:instrText xml:space="preserve"> PAGE  \* MERGEFORMAT </w:instrText>
    </w:r>
    <w:r w:rsidRPr="009E5C4E">
      <w:rPr>
        <w:b/>
        <w:sz w:val="18"/>
      </w:rPr>
      <w:fldChar w:fldCharType="separate"/>
    </w:r>
    <w:r w:rsidRPr="009E5C4E">
      <w:rPr>
        <w:b/>
        <w:noProof/>
        <w:sz w:val="18"/>
      </w:rPr>
      <w:t>2</w:t>
    </w:r>
    <w:r w:rsidRPr="009E5C4E">
      <w:rPr>
        <w:b/>
        <w:sz w:val="18"/>
      </w:rPr>
      <w:fldChar w:fldCharType="end"/>
    </w:r>
    <w:r>
      <w:rPr>
        <w:b/>
        <w:sz w:val="18"/>
      </w:rPr>
      <w:tab/>
    </w:r>
    <w:r>
      <w:t>GE.24-02072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4DC3" w14:textId="5A974836" w:rsidR="009E5C4E" w:rsidRPr="009E5C4E" w:rsidRDefault="009E5C4E" w:rsidP="009E5C4E">
    <w:pPr>
      <w:pStyle w:val="Pieddepage"/>
      <w:tabs>
        <w:tab w:val="right" w:pos="9638"/>
      </w:tabs>
      <w:rPr>
        <w:b/>
        <w:sz w:val="18"/>
      </w:rPr>
    </w:pPr>
    <w:r>
      <w:t>GE.24-02072</w:t>
    </w:r>
    <w:r>
      <w:tab/>
    </w:r>
    <w:r w:rsidRPr="009E5C4E">
      <w:rPr>
        <w:b/>
        <w:sz w:val="18"/>
      </w:rPr>
      <w:fldChar w:fldCharType="begin"/>
    </w:r>
    <w:r w:rsidRPr="009E5C4E">
      <w:rPr>
        <w:b/>
        <w:sz w:val="18"/>
      </w:rPr>
      <w:instrText xml:space="preserve"> PAGE  \* MERGEFORMAT </w:instrText>
    </w:r>
    <w:r w:rsidRPr="009E5C4E">
      <w:rPr>
        <w:b/>
        <w:sz w:val="18"/>
      </w:rPr>
      <w:fldChar w:fldCharType="separate"/>
    </w:r>
    <w:r w:rsidRPr="009E5C4E">
      <w:rPr>
        <w:b/>
        <w:noProof/>
        <w:sz w:val="18"/>
      </w:rPr>
      <w:t>3</w:t>
    </w:r>
    <w:r w:rsidRPr="009E5C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C477" w14:textId="44F11E9D" w:rsidR="007F20FA" w:rsidRPr="009E5C4E" w:rsidRDefault="009E5C4E" w:rsidP="009E5C4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FA70530" wp14:editId="07B960B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24-02072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FB1C022" wp14:editId="3F0328C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130324    130324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93D4" w14:textId="77777777" w:rsidR="00CC0A77" w:rsidRPr="00AC3823" w:rsidRDefault="00CC0A7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BCE77C" w14:textId="77777777" w:rsidR="00CC0A77" w:rsidRPr="00AC3823" w:rsidRDefault="00CC0A7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DDF337" w14:textId="77777777" w:rsidR="00CC0A77" w:rsidRPr="00AC3823" w:rsidRDefault="00CC0A77">
      <w:pPr>
        <w:spacing w:line="240" w:lineRule="auto"/>
        <w:rPr>
          <w:sz w:val="2"/>
          <w:szCs w:val="2"/>
        </w:rPr>
      </w:pPr>
    </w:p>
  </w:footnote>
  <w:footnote w:id="2">
    <w:p w14:paraId="678A8D45" w14:textId="5AF59EB4" w:rsidR="000217A3" w:rsidRDefault="000217A3" w:rsidP="000217A3">
      <w:pPr>
        <w:pStyle w:val="Notedebasdepage"/>
        <w:rPr>
          <w:lang w:val="fr-FR"/>
        </w:rPr>
      </w:pPr>
      <w:r>
        <w:rPr>
          <w:lang w:val="fr-FR"/>
        </w:rPr>
        <w:tab/>
      </w:r>
      <w:r w:rsidRPr="00D21752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2024 tel qu’il figure dans le projet de budget-programme pour 2024 (A/78/6 (Sect. 20), tableau 20.5),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1BD63590" w14:textId="77777777" w:rsidR="008909D9" w:rsidRPr="009519DF" w:rsidRDefault="008909D9" w:rsidP="000217A3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1732" w14:textId="38A1B8F0" w:rsidR="009E5C4E" w:rsidRPr="009E5C4E" w:rsidRDefault="009E5C4E">
    <w:pPr>
      <w:pStyle w:val="En-tte"/>
    </w:pPr>
    <w:fldSimple w:instr=" TITLE  \* MERGEFORMAT ">
      <w:r>
        <w:t>ECE/TRANS/WP.29/GRE/2024/7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604B" w14:textId="1031E73A" w:rsidR="009E5C4E" w:rsidRPr="009E5C4E" w:rsidRDefault="009E5C4E" w:rsidP="009E5C4E">
    <w:pPr>
      <w:pStyle w:val="En-tte"/>
      <w:jc w:val="right"/>
    </w:pPr>
    <w:fldSimple w:instr=" TITLE  \* MERGEFORMAT ">
      <w:r>
        <w:t>ECE/TRANS/WP.29/GRE/2024/7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33309947">
    <w:abstractNumId w:val="12"/>
  </w:num>
  <w:num w:numId="2" w16cid:durableId="1400596879">
    <w:abstractNumId w:val="11"/>
  </w:num>
  <w:num w:numId="3" w16cid:durableId="1669140151">
    <w:abstractNumId w:val="10"/>
  </w:num>
  <w:num w:numId="4" w16cid:durableId="1929146296">
    <w:abstractNumId w:val="8"/>
  </w:num>
  <w:num w:numId="5" w16cid:durableId="692418372">
    <w:abstractNumId w:val="3"/>
  </w:num>
  <w:num w:numId="6" w16cid:durableId="488138004">
    <w:abstractNumId w:val="2"/>
  </w:num>
  <w:num w:numId="7" w16cid:durableId="565919371">
    <w:abstractNumId w:val="1"/>
  </w:num>
  <w:num w:numId="8" w16cid:durableId="261954206">
    <w:abstractNumId w:val="0"/>
  </w:num>
  <w:num w:numId="9" w16cid:durableId="1437629044">
    <w:abstractNumId w:val="9"/>
  </w:num>
  <w:num w:numId="10" w16cid:durableId="1332564311">
    <w:abstractNumId w:val="7"/>
  </w:num>
  <w:num w:numId="11" w16cid:durableId="232472557">
    <w:abstractNumId w:val="6"/>
  </w:num>
  <w:num w:numId="12" w16cid:durableId="1538007859">
    <w:abstractNumId w:val="5"/>
  </w:num>
  <w:num w:numId="13" w16cid:durableId="1091122035">
    <w:abstractNumId w:val="4"/>
  </w:num>
  <w:num w:numId="14" w16cid:durableId="1320229009">
    <w:abstractNumId w:val="12"/>
  </w:num>
  <w:num w:numId="15" w16cid:durableId="2052536148">
    <w:abstractNumId w:val="11"/>
  </w:num>
  <w:num w:numId="16" w16cid:durableId="1675378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77"/>
    <w:rsid w:val="00017F94"/>
    <w:rsid w:val="000217A3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3286D"/>
    <w:rsid w:val="0024779E"/>
    <w:rsid w:val="00257168"/>
    <w:rsid w:val="002744B8"/>
    <w:rsid w:val="002832AC"/>
    <w:rsid w:val="002D7C93"/>
    <w:rsid w:val="00305801"/>
    <w:rsid w:val="003916DE"/>
    <w:rsid w:val="00421996"/>
    <w:rsid w:val="00430E98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1436C"/>
    <w:rsid w:val="0071601D"/>
    <w:rsid w:val="007A62E6"/>
    <w:rsid w:val="007F20FA"/>
    <w:rsid w:val="0080684C"/>
    <w:rsid w:val="00871C75"/>
    <w:rsid w:val="008776DC"/>
    <w:rsid w:val="008909D9"/>
    <w:rsid w:val="00896936"/>
    <w:rsid w:val="008D5EF9"/>
    <w:rsid w:val="009446C0"/>
    <w:rsid w:val="009705C8"/>
    <w:rsid w:val="009C1CF4"/>
    <w:rsid w:val="009E5C4E"/>
    <w:rsid w:val="009F6B74"/>
    <w:rsid w:val="00A3029F"/>
    <w:rsid w:val="00A30353"/>
    <w:rsid w:val="00A565B9"/>
    <w:rsid w:val="00AC3823"/>
    <w:rsid w:val="00AE323C"/>
    <w:rsid w:val="00AF0CB5"/>
    <w:rsid w:val="00B00181"/>
    <w:rsid w:val="00B00B0D"/>
    <w:rsid w:val="00B32AC3"/>
    <w:rsid w:val="00B45F2E"/>
    <w:rsid w:val="00B765F7"/>
    <w:rsid w:val="00B77993"/>
    <w:rsid w:val="00BA0CA9"/>
    <w:rsid w:val="00C02897"/>
    <w:rsid w:val="00C97039"/>
    <w:rsid w:val="00CC0A77"/>
    <w:rsid w:val="00D21752"/>
    <w:rsid w:val="00D3439C"/>
    <w:rsid w:val="00D7622E"/>
    <w:rsid w:val="00DB1831"/>
    <w:rsid w:val="00DD3BFD"/>
    <w:rsid w:val="00DF6678"/>
    <w:rsid w:val="00E0299A"/>
    <w:rsid w:val="00E24B4E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EEB86E"/>
  <w15:docId w15:val="{2BA41119-1990-43EE-B798-DE3F7B4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0217A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217A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D21752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paragraph" w:customStyle="1" w:styleId="a">
    <w:name w:val="(a)"/>
    <w:basedOn w:val="Normal"/>
    <w:qFormat/>
    <w:rsid w:val="00D21752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D2175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paraChar">
    <w:name w:val="para Char"/>
    <w:link w:val="para"/>
    <w:rsid w:val="00D21752"/>
    <w:rPr>
      <w:rFonts w:ascii="Times New Roman" w:eastAsiaTheme="minorHAnsi" w:hAnsi="Times New Roman" w:cs="Times New Roman"/>
      <w:snapToGrid w:val="0"/>
      <w:sz w:val="20"/>
      <w:szCs w:val="20"/>
      <w:lang w:val="fr-FR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D21752"/>
    <w:pPr>
      <w:tabs>
        <w:tab w:val="left" w:pos="1701"/>
        <w:tab w:val="left" w:pos="2268"/>
        <w:tab w:val="left" w:pos="2835"/>
      </w:tabs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D2175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4EEE4-189F-40D2-99DA-2EAC179A653C}"/>
</file>

<file path=customXml/itemProps2.xml><?xml version="1.0" encoding="utf-8"?>
<ds:datastoreItem xmlns:ds="http://schemas.openxmlformats.org/officeDocument/2006/customXml" ds:itemID="{DE8F83D5-FF9B-41BB-A335-4E9FFD0587C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311</Words>
  <Characters>2180</Characters>
  <Application>Microsoft Office Word</Application>
  <DocSecurity>0</DocSecurity>
  <Lines>181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ECE/TRANS/WP.29/GRE/2024/7</vt:lpstr>
    </vt:vector>
  </TitlesOfParts>
  <Company>DCM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ECE/TRANS/WP.29/GRE/2024/7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2024-03-13T10:16:00Z</dcterms:created>
  <dcterms:modified xsi:type="dcterms:W3CDTF">2024-03-13T10:16:00Z</dcterms:modified>
</cp:coreProperties>
</file>