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61AECD7" w14:textId="77777777" w:rsidTr="00B20551">
        <w:trPr>
          <w:cantSplit/>
          <w:trHeight w:hRule="exact" w:val="851"/>
        </w:trPr>
        <w:tc>
          <w:tcPr>
            <w:tcW w:w="1276" w:type="dxa"/>
            <w:tcBorders>
              <w:bottom w:val="single" w:sz="4" w:space="0" w:color="auto"/>
            </w:tcBorders>
            <w:vAlign w:val="bottom"/>
          </w:tcPr>
          <w:p w14:paraId="7EE7DA0F" w14:textId="77777777" w:rsidR="009E6CB7" w:rsidRDefault="009E6CB7" w:rsidP="00B20551">
            <w:pPr>
              <w:spacing w:after="80"/>
            </w:pPr>
          </w:p>
        </w:tc>
        <w:tc>
          <w:tcPr>
            <w:tcW w:w="2268" w:type="dxa"/>
            <w:tcBorders>
              <w:bottom w:val="single" w:sz="4" w:space="0" w:color="auto"/>
            </w:tcBorders>
            <w:vAlign w:val="bottom"/>
          </w:tcPr>
          <w:p w14:paraId="1FA57EB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AFA0EEA" w14:textId="19E8705F" w:rsidR="009E6CB7" w:rsidRPr="00D47EEA" w:rsidRDefault="00B73214" w:rsidP="00B73214">
            <w:pPr>
              <w:jc w:val="right"/>
            </w:pPr>
            <w:r w:rsidRPr="00B73214">
              <w:rPr>
                <w:sz w:val="40"/>
              </w:rPr>
              <w:t>ECE</w:t>
            </w:r>
            <w:r>
              <w:t>/TRANS/WP.15/2024/8</w:t>
            </w:r>
          </w:p>
        </w:tc>
      </w:tr>
      <w:tr w:rsidR="009E6CB7" w14:paraId="3F96AF56" w14:textId="77777777" w:rsidTr="00B20551">
        <w:trPr>
          <w:cantSplit/>
          <w:trHeight w:hRule="exact" w:val="2835"/>
        </w:trPr>
        <w:tc>
          <w:tcPr>
            <w:tcW w:w="1276" w:type="dxa"/>
            <w:tcBorders>
              <w:top w:val="single" w:sz="4" w:space="0" w:color="auto"/>
              <w:bottom w:val="single" w:sz="12" w:space="0" w:color="auto"/>
            </w:tcBorders>
          </w:tcPr>
          <w:p w14:paraId="61FCD908" w14:textId="77777777" w:rsidR="009E6CB7" w:rsidRDefault="00686A48" w:rsidP="00B20551">
            <w:pPr>
              <w:spacing w:before="120"/>
            </w:pPr>
            <w:r>
              <w:rPr>
                <w:noProof/>
                <w:lang w:val="fr-CH" w:eastAsia="fr-CH"/>
              </w:rPr>
              <w:drawing>
                <wp:inline distT="0" distB="0" distL="0" distR="0" wp14:anchorId="033F0433" wp14:editId="2390DBB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1EFB7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D17C95F" w14:textId="77777777" w:rsidR="009E6CB7" w:rsidRDefault="00B73214" w:rsidP="00B73214">
            <w:pPr>
              <w:spacing w:before="240" w:line="240" w:lineRule="exact"/>
            </w:pPr>
            <w:r>
              <w:t>Distr.: General</w:t>
            </w:r>
          </w:p>
          <w:p w14:paraId="40B2BD4A" w14:textId="1825A89B" w:rsidR="00B73214" w:rsidRDefault="00B73214" w:rsidP="00B73214">
            <w:pPr>
              <w:spacing w:line="240" w:lineRule="exact"/>
            </w:pPr>
            <w:r>
              <w:t>1</w:t>
            </w:r>
            <w:r w:rsidR="00C76FC8">
              <w:t>5</w:t>
            </w:r>
            <w:r>
              <w:t xml:space="preserve"> January 2024</w:t>
            </w:r>
          </w:p>
          <w:p w14:paraId="44A7E7E6" w14:textId="77777777" w:rsidR="00B73214" w:rsidRDefault="00B73214" w:rsidP="00B73214">
            <w:pPr>
              <w:spacing w:line="240" w:lineRule="exact"/>
            </w:pPr>
          </w:p>
          <w:p w14:paraId="0BA121B4" w14:textId="78782EE7" w:rsidR="00B73214" w:rsidRDefault="00B73214" w:rsidP="00B73214">
            <w:pPr>
              <w:spacing w:line="240" w:lineRule="exact"/>
            </w:pPr>
            <w:r>
              <w:t>Original: English</w:t>
            </w:r>
          </w:p>
        </w:tc>
      </w:tr>
    </w:tbl>
    <w:p w14:paraId="6139CC93" w14:textId="77777777" w:rsidR="002B2D1F" w:rsidRDefault="002B2D1F" w:rsidP="00C411EB">
      <w:pPr>
        <w:spacing w:before="120"/>
        <w:rPr>
          <w:b/>
          <w:sz w:val="28"/>
          <w:szCs w:val="28"/>
        </w:rPr>
      </w:pPr>
      <w:r>
        <w:rPr>
          <w:b/>
          <w:sz w:val="28"/>
          <w:szCs w:val="28"/>
        </w:rPr>
        <w:t>Economic Commission for Europe</w:t>
      </w:r>
    </w:p>
    <w:p w14:paraId="016A0F87" w14:textId="77777777" w:rsidR="002B2D1F" w:rsidRDefault="002B2D1F" w:rsidP="00C411EB">
      <w:pPr>
        <w:spacing w:before="120"/>
        <w:rPr>
          <w:sz w:val="28"/>
          <w:szCs w:val="28"/>
        </w:rPr>
      </w:pPr>
      <w:r>
        <w:rPr>
          <w:sz w:val="28"/>
          <w:szCs w:val="28"/>
        </w:rPr>
        <w:t>Inland Transport Committee</w:t>
      </w:r>
    </w:p>
    <w:p w14:paraId="5CE265A3" w14:textId="77777777" w:rsidR="002B2D1F" w:rsidRPr="001330DE" w:rsidRDefault="002B2D1F" w:rsidP="00C411EB">
      <w:pPr>
        <w:spacing w:before="120"/>
        <w:rPr>
          <w:b/>
          <w:sz w:val="24"/>
          <w:szCs w:val="24"/>
        </w:rPr>
      </w:pPr>
      <w:r>
        <w:rPr>
          <w:b/>
          <w:sz w:val="24"/>
          <w:szCs w:val="24"/>
        </w:rPr>
        <w:t xml:space="preserve">Working Party on the Transport </w:t>
      </w:r>
      <w:r w:rsidRPr="001330DE">
        <w:rPr>
          <w:b/>
          <w:sz w:val="24"/>
          <w:szCs w:val="24"/>
        </w:rPr>
        <w:t>of Dangerous Goods</w:t>
      </w:r>
    </w:p>
    <w:p w14:paraId="746215E0" w14:textId="7A04B45E" w:rsidR="002B2D1F" w:rsidRPr="001330DE" w:rsidRDefault="002B2D1F" w:rsidP="00C411EB">
      <w:pPr>
        <w:spacing w:before="120"/>
        <w:rPr>
          <w:rFonts w:eastAsia="SimSun"/>
          <w:b/>
        </w:rPr>
      </w:pPr>
      <w:r>
        <w:rPr>
          <w:rFonts w:eastAsia="SimSun"/>
          <w:b/>
        </w:rPr>
        <w:t xml:space="preserve">115th </w:t>
      </w:r>
      <w:r w:rsidRPr="001330DE">
        <w:rPr>
          <w:rFonts w:eastAsia="SimSun"/>
          <w:b/>
        </w:rPr>
        <w:t xml:space="preserve">session </w:t>
      </w:r>
    </w:p>
    <w:p w14:paraId="71EE1ABF" w14:textId="7A495D33" w:rsidR="002B2D1F" w:rsidRPr="00BA64A8" w:rsidRDefault="002B2D1F" w:rsidP="00C411EB">
      <w:pPr>
        <w:rPr>
          <w:rFonts w:eastAsia="SimSun"/>
        </w:rPr>
      </w:pPr>
      <w:r w:rsidRPr="00BA64A8">
        <w:rPr>
          <w:rFonts w:eastAsia="SimSun"/>
        </w:rPr>
        <w:t>Geneva,</w:t>
      </w:r>
      <w:r>
        <w:rPr>
          <w:rFonts w:eastAsia="SimSun"/>
        </w:rPr>
        <w:t xml:space="preserve"> 2-5 April 2024</w:t>
      </w:r>
    </w:p>
    <w:p w14:paraId="568512A3" w14:textId="496E887E" w:rsidR="002B2D1F" w:rsidRPr="00C521A6" w:rsidRDefault="002B2D1F" w:rsidP="00C411EB">
      <w:pPr>
        <w:autoSpaceDE w:val="0"/>
        <w:autoSpaceDN w:val="0"/>
        <w:adjustRightInd w:val="0"/>
      </w:pPr>
      <w:r>
        <w:t xml:space="preserve">Item </w:t>
      </w:r>
      <w:r w:rsidR="00E1231F">
        <w:t>5 (a)</w:t>
      </w:r>
      <w:r>
        <w:t xml:space="preserve"> of the provisional agenda</w:t>
      </w:r>
    </w:p>
    <w:p w14:paraId="2CDE9DD0" w14:textId="77777777" w:rsidR="00C05324" w:rsidRDefault="00C05324" w:rsidP="00C05324">
      <w:pPr>
        <w:autoSpaceDE w:val="0"/>
        <w:autoSpaceDN w:val="0"/>
        <w:adjustRightInd w:val="0"/>
      </w:pPr>
      <w:r w:rsidRPr="001B1CA1">
        <w:rPr>
          <w:b/>
          <w:bCs/>
        </w:rPr>
        <w:t>Proposals for amendments to annexes A and B of ADR</w:t>
      </w:r>
      <w:r>
        <w:t>:</w:t>
      </w:r>
    </w:p>
    <w:p w14:paraId="51F3390E" w14:textId="2AABB7DB" w:rsidR="001C6663" w:rsidRDefault="00027FC5" w:rsidP="00C05324">
      <w:pPr>
        <w:rPr>
          <w:b/>
          <w:bCs/>
        </w:rPr>
      </w:pPr>
      <w:r>
        <w:rPr>
          <w:b/>
          <w:bCs/>
        </w:rPr>
        <w:t>C</w:t>
      </w:r>
      <w:r w:rsidR="00C05324">
        <w:rPr>
          <w:b/>
          <w:bCs/>
        </w:rPr>
        <w:t>onstruction and approval of vehicles</w:t>
      </w:r>
    </w:p>
    <w:p w14:paraId="1CDD2F15" w14:textId="77777777" w:rsidR="00CE5EF1" w:rsidRPr="00DB63DB" w:rsidRDefault="00CE5EF1" w:rsidP="00CE5EF1">
      <w:pPr>
        <w:pStyle w:val="HChG"/>
        <w:rPr>
          <w:bCs/>
          <w:szCs w:val="28"/>
        </w:rPr>
      </w:pPr>
      <w:r>
        <w:tab/>
      </w:r>
      <w:r>
        <w:tab/>
      </w:r>
      <w:r w:rsidRPr="00DB63DB">
        <w:rPr>
          <w:bCs/>
          <w:szCs w:val="28"/>
        </w:rPr>
        <w:t xml:space="preserve">Battery Electric </w:t>
      </w:r>
      <w:r>
        <w:rPr>
          <w:bCs/>
          <w:szCs w:val="28"/>
        </w:rPr>
        <w:t>V</w:t>
      </w:r>
      <w:r w:rsidRPr="00DB63DB">
        <w:rPr>
          <w:bCs/>
          <w:szCs w:val="28"/>
        </w:rPr>
        <w:t xml:space="preserve">ehicles and Hydrogen </w:t>
      </w:r>
      <w:r>
        <w:rPr>
          <w:bCs/>
          <w:szCs w:val="28"/>
        </w:rPr>
        <w:t>F</w:t>
      </w:r>
      <w:r w:rsidRPr="00DB63DB">
        <w:rPr>
          <w:bCs/>
          <w:szCs w:val="28"/>
        </w:rPr>
        <w:t xml:space="preserve">uelled </w:t>
      </w:r>
      <w:r>
        <w:rPr>
          <w:bCs/>
          <w:szCs w:val="28"/>
        </w:rPr>
        <w:t>V</w:t>
      </w:r>
      <w:r w:rsidRPr="00DB63DB">
        <w:rPr>
          <w:bCs/>
          <w:szCs w:val="28"/>
        </w:rPr>
        <w:t>ehicles</w:t>
      </w:r>
    </w:p>
    <w:p w14:paraId="6C63FB2A" w14:textId="009B8269" w:rsidR="00CE5EF1" w:rsidRDefault="00CE5EF1" w:rsidP="00CE5EF1">
      <w:pPr>
        <w:pStyle w:val="H1G"/>
        <w:rPr>
          <w:szCs w:val="24"/>
        </w:rPr>
      </w:pPr>
      <w:r>
        <w:tab/>
      </w:r>
      <w:r>
        <w:tab/>
      </w:r>
      <w:r w:rsidRPr="003912CD">
        <w:t xml:space="preserve">Transmitted by </w:t>
      </w:r>
      <w:r>
        <w:t>the Government of the Netherlands</w:t>
      </w:r>
      <w:r w:rsidRPr="00024C88">
        <w:rPr>
          <w:szCs w:val="24"/>
        </w:rPr>
        <w:t xml:space="preserve"> </w:t>
      </w:r>
      <w:r>
        <w:rPr>
          <w:szCs w:val="24"/>
        </w:rPr>
        <w:t xml:space="preserve">on behalf of the </w:t>
      </w:r>
      <w:r w:rsidR="00134386">
        <w:t>informal working group on electrified vehicles</w:t>
      </w:r>
      <w:r w:rsidRPr="00841BF7">
        <w:rPr>
          <w:rStyle w:val="FootnoteReference"/>
          <w:sz w:val="20"/>
        </w:rPr>
        <w:footnoteReference w:customMarkFollows="1" w:id="2"/>
        <w:t>*</w:t>
      </w:r>
    </w:p>
    <w:p w14:paraId="52A75F7C" w14:textId="2F58F23E" w:rsidR="00CE5EF1" w:rsidRDefault="005309FB" w:rsidP="005309FB">
      <w:pPr>
        <w:pStyle w:val="HChG"/>
      </w:pPr>
      <w:r>
        <w:tab/>
        <w:t>I.</w:t>
      </w:r>
      <w:r>
        <w:tab/>
      </w:r>
      <w:r w:rsidR="00CE5EF1" w:rsidRPr="0056018A">
        <w:t>Introduction</w:t>
      </w:r>
    </w:p>
    <w:p w14:paraId="5B5A67A3" w14:textId="31719968" w:rsidR="00DB4A59" w:rsidRDefault="005309FB" w:rsidP="005309FB">
      <w:pPr>
        <w:pStyle w:val="SingleTxtG"/>
      </w:pPr>
      <w:r>
        <w:t>1.</w:t>
      </w:r>
      <w:r>
        <w:tab/>
      </w:r>
      <w:r w:rsidR="00CE5EF1" w:rsidRPr="003459F9">
        <w:t>The proposals for amendment in document ECE/TRANS/WP.15/2023/14 were preliminary adopted with modifications. The amendments to ADR 2023 can be found in Annex III in the report ECE/TRANS/WP.15/264 of the 114</w:t>
      </w:r>
      <w:r w:rsidR="00CE5EF1" w:rsidRPr="0090611B">
        <w:rPr>
          <w:vertAlign w:val="superscript"/>
        </w:rPr>
        <w:t>th</w:t>
      </w:r>
      <w:r w:rsidR="00CE5EF1" w:rsidRPr="003459F9">
        <w:t xml:space="preserve"> session of </w:t>
      </w:r>
      <w:r w:rsidR="005C619F">
        <w:t>the Working Party</w:t>
      </w:r>
      <w:r w:rsidR="00CE5EF1" w:rsidRPr="003459F9">
        <w:t>.</w:t>
      </w:r>
    </w:p>
    <w:p w14:paraId="79C4C8C0" w14:textId="00BAC03C" w:rsidR="00CE5EF1" w:rsidRDefault="005309FB" w:rsidP="00DB4A59">
      <w:pPr>
        <w:pStyle w:val="SingleTxtG"/>
      </w:pPr>
      <w:r>
        <w:t>2.</w:t>
      </w:r>
      <w:r>
        <w:tab/>
      </w:r>
      <w:r w:rsidR="00CE5EF1" w:rsidRPr="003459F9">
        <w:t xml:space="preserve">The amendments contained a number of wordings that were kept in square brackets for further </w:t>
      </w:r>
      <w:r w:rsidR="00CE5EF1" w:rsidRPr="00DB4A59">
        <w:t>consideration</w:t>
      </w:r>
      <w:r w:rsidR="00CE5EF1" w:rsidRPr="003459F9">
        <w:t xml:space="preserve"> at the 115</w:t>
      </w:r>
      <w:r w:rsidR="00CE5EF1" w:rsidRPr="0049600C">
        <w:rPr>
          <w:vertAlign w:val="superscript"/>
        </w:rPr>
        <w:t>th</w:t>
      </w:r>
      <w:r w:rsidR="00CE5EF1" w:rsidRPr="003459F9">
        <w:t xml:space="preserve"> session. In section 1 of this document final proposals and justifications </w:t>
      </w:r>
      <w:r w:rsidR="006951CF">
        <w:t>on</w:t>
      </w:r>
      <w:r w:rsidR="00CE5EF1" w:rsidRPr="003459F9">
        <w:t xml:space="preserve"> how to deal with the wording in square brackets</w:t>
      </w:r>
      <w:r w:rsidR="006951CF" w:rsidRPr="006951CF">
        <w:t xml:space="preserve"> </w:t>
      </w:r>
      <w:r w:rsidR="006951CF" w:rsidRPr="003459F9">
        <w:t>are given</w:t>
      </w:r>
      <w:r w:rsidR="00CE5EF1" w:rsidRPr="003459F9">
        <w:t>.</w:t>
      </w:r>
    </w:p>
    <w:p w14:paraId="0D5670F4" w14:textId="52AD43FD" w:rsidR="00CE5EF1" w:rsidRDefault="005309FB" w:rsidP="00DB4A59">
      <w:pPr>
        <w:pStyle w:val="SingleTxtG"/>
      </w:pPr>
      <w:r>
        <w:t>3.</w:t>
      </w:r>
      <w:r>
        <w:tab/>
      </w:r>
      <w:r w:rsidR="00CE5EF1" w:rsidRPr="003459F9">
        <w:t xml:space="preserve">Further additional consequential amendments were found which are reproduced in section </w:t>
      </w:r>
      <w:r w:rsidR="00CE5EF1">
        <w:t xml:space="preserve">2 </w:t>
      </w:r>
      <w:r w:rsidR="00CE5EF1" w:rsidRPr="003459F9">
        <w:t>of this document.</w:t>
      </w:r>
    </w:p>
    <w:p w14:paraId="4837F637" w14:textId="176D79AB" w:rsidR="00CE5EF1" w:rsidRPr="003459F9" w:rsidRDefault="005309FB" w:rsidP="00DB4A59">
      <w:pPr>
        <w:pStyle w:val="SingleTxtG"/>
      </w:pPr>
      <w:r w:rsidRPr="003459F9">
        <w:t>4.</w:t>
      </w:r>
      <w:r w:rsidRPr="003459F9">
        <w:tab/>
      </w:r>
      <w:r w:rsidR="00CE5EF1" w:rsidRPr="003459F9">
        <w:t xml:space="preserve">This document contains the proposals as available at the moment of the deadline for official documents. As </w:t>
      </w:r>
      <w:r w:rsidR="00CE5EF1" w:rsidRPr="00DB4A59">
        <w:t>development</w:t>
      </w:r>
      <w:r w:rsidR="00CE5EF1" w:rsidRPr="003459F9">
        <w:t xml:space="preserve"> is still ongoing this document will be supplemented by a report of the </w:t>
      </w:r>
      <w:r w:rsidR="006951CF">
        <w:t>informal working group on electrified vehicles</w:t>
      </w:r>
      <w:r w:rsidR="00CE5EF1" w:rsidRPr="003459F9">
        <w:t xml:space="preserve"> and if necessary minor additions or adjustments.</w:t>
      </w:r>
    </w:p>
    <w:p w14:paraId="25ED70F3" w14:textId="20FCED9F" w:rsidR="00CE5EF1" w:rsidRDefault="00DB4A59" w:rsidP="00CE5EF1">
      <w:pPr>
        <w:pStyle w:val="HChG"/>
      </w:pPr>
      <w:r>
        <w:tab/>
        <w:t>II.</w:t>
      </w:r>
      <w:r>
        <w:tab/>
      </w:r>
      <w:r w:rsidR="00CE5EF1" w:rsidRPr="002D45F3">
        <w:t>Proposal</w:t>
      </w:r>
      <w:r w:rsidR="00CE5EF1">
        <w:t>s</w:t>
      </w:r>
    </w:p>
    <w:p w14:paraId="35923B86" w14:textId="5C428BAE" w:rsidR="00CE5EF1" w:rsidRDefault="005309FB" w:rsidP="004B0235">
      <w:pPr>
        <w:pStyle w:val="SingleTxtG"/>
        <w:rPr>
          <w:lang w:val="en-US"/>
        </w:rPr>
      </w:pPr>
      <w:r w:rsidRPr="00CD64C3">
        <w:t>5.</w:t>
      </w:r>
      <w:r w:rsidRPr="00CD64C3">
        <w:tab/>
      </w:r>
      <w:r w:rsidR="00CE5EF1" w:rsidRPr="00CD52EA">
        <w:rPr>
          <w:u w:val="single"/>
        </w:rPr>
        <w:t>Section 1</w:t>
      </w:r>
      <w:r w:rsidR="00CD64C3" w:rsidRPr="00CD52EA">
        <w:rPr>
          <w:u w:val="single"/>
        </w:rPr>
        <w:t xml:space="preserve">: </w:t>
      </w:r>
      <w:r w:rsidR="00CE5EF1" w:rsidRPr="00CD52EA">
        <w:rPr>
          <w:u w:val="single"/>
        </w:rPr>
        <w:t>Text in square brackets</w:t>
      </w:r>
      <w:r w:rsidR="00CD64C3" w:rsidRPr="00CD52EA">
        <w:rPr>
          <w:u w:val="single"/>
        </w:rPr>
        <w:t xml:space="preserve"> in </w:t>
      </w:r>
      <w:r w:rsidR="00CD64C3" w:rsidRPr="00CD52EA">
        <w:rPr>
          <w:u w:val="single"/>
          <w:lang w:val="en-US"/>
        </w:rPr>
        <w:t>ECE/TRANS/WP.15/264, annex III</w:t>
      </w:r>
    </w:p>
    <w:p w14:paraId="23121AEC" w14:textId="393842FC" w:rsidR="00CD64C3" w:rsidRDefault="00CD64C3" w:rsidP="00CD64C3">
      <w:pPr>
        <w:pStyle w:val="SingleTxtG"/>
        <w:rPr>
          <w:i/>
          <w:iCs/>
        </w:rPr>
      </w:pPr>
      <w:r>
        <w:rPr>
          <w:i/>
          <w:iCs/>
        </w:rPr>
        <w:t xml:space="preserve">Note: in the table below, </w:t>
      </w:r>
      <w:r w:rsidR="00DC55FB">
        <w:rPr>
          <w:i/>
          <w:iCs/>
        </w:rPr>
        <w:t>“REESS” refers to “Rechargeable electrical energy storage system”.</w:t>
      </w:r>
    </w:p>
    <w:p w14:paraId="4B80BEBC" w14:textId="77777777" w:rsidR="005A16DA" w:rsidRPr="005A16DA" w:rsidRDefault="005A16DA" w:rsidP="005A16DA"/>
    <w:p w14:paraId="28C7CEE7" w14:textId="77777777" w:rsidR="005A16DA" w:rsidRDefault="005A16DA" w:rsidP="00CD64C3">
      <w:pPr>
        <w:pStyle w:val="SingleTxtG"/>
        <w:rPr>
          <w:i/>
          <w:iCs/>
        </w:rPr>
      </w:pPr>
    </w:p>
    <w:p w14:paraId="6EB3DBFB" w14:textId="77777777" w:rsidR="00B81604" w:rsidRDefault="00B81604" w:rsidP="00CD64C3">
      <w:pPr>
        <w:pStyle w:val="SingleTxtG"/>
        <w:rPr>
          <w:i/>
          <w:iCs/>
        </w:rPr>
      </w:pP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4"/>
        <w:gridCol w:w="2835"/>
        <w:gridCol w:w="2835"/>
      </w:tblGrid>
      <w:tr w:rsidR="00092D98" w:rsidRPr="00830469" w14:paraId="5A5773D9" w14:textId="77777777" w:rsidTr="00182C5D">
        <w:trPr>
          <w:tblHeader/>
        </w:trPr>
        <w:tc>
          <w:tcPr>
            <w:tcW w:w="2834" w:type="dxa"/>
            <w:tcBorders>
              <w:top w:val="single" w:sz="4" w:space="0" w:color="auto"/>
              <w:bottom w:val="single" w:sz="12" w:space="0" w:color="auto"/>
            </w:tcBorders>
            <w:shd w:val="clear" w:color="auto" w:fill="auto"/>
            <w:vAlign w:val="bottom"/>
          </w:tcPr>
          <w:p w14:paraId="61E136FF" w14:textId="3E407F75" w:rsidR="00092D98" w:rsidRPr="00D42AEF" w:rsidRDefault="00D1383F" w:rsidP="00830469">
            <w:pPr>
              <w:spacing w:before="80" w:after="80" w:line="200" w:lineRule="exact"/>
              <w:ind w:right="113"/>
              <w:rPr>
                <w:i/>
                <w:iCs/>
                <w:sz w:val="16"/>
              </w:rPr>
            </w:pPr>
            <w:r w:rsidRPr="00D42AEF">
              <w:rPr>
                <w:i/>
                <w:iCs/>
              </w:rPr>
              <w:lastRenderedPageBreak/>
              <w:t>Reference</w:t>
            </w:r>
          </w:p>
        </w:tc>
        <w:tc>
          <w:tcPr>
            <w:tcW w:w="2835" w:type="dxa"/>
            <w:tcBorders>
              <w:top w:val="single" w:sz="4" w:space="0" w:color="auto"/>
              <w:bottom w:val="single" w:sz="12" w:space="0" w:color="auto"/>
            </w:tcBorders>
            <w:shd w:val="clear" w:color="auto" w:fill="auto"/>
            <w:vAlign w:val="bottom"/>
          </w:tcPr>
          <w:p w14:paraId="1807C914" w14:textId="1D28B696" w:rsidR="00092D98" w:rsidRPr="00D42AEF" w:rsidRDefault="00D1383F" w:rsidP="00830469">
            <w:pPr>
              <w:spacing w:before="80" w:after="80" w:line="200" w:lineRule="exact"/>
              <w:ind w:right="113"/>
              <w:rPr>
                <w:i/>
                <w:iCs/>
                <w:sz w:val="16"/>
              </w:rPr>
            </w:pPr>
            <w:r w:rsidRPr="00D42AEF">
              <w:rPr>
                <w:i/>
                <w:iCs/>
                <w:lang w:val="en-US"/>
              </w:rPr>
              <w:t>Text of annex III to ECE/TRANS/WP.15/264</w:t>
            </w:r>
          </w:p>
        </w:tc>
        <w:tc>
          <w:tcPr>
            <w:tcW w:w="2835" w:type="dxa"/>
            <w:tcBorders>
              <w:top w:val="single" w:sz="4" w:space="0" w:color="auto"/>
              <w:bottom w:val="single" w:sz="12" w:space="0" w:color="auto"/>
            </w:tcBorders>
            <w:shd w:val="clear" w:color="auto" w:fill="auto"/>
            <w:vAlign w:val="bottom"/>
          </w:tcPr>
          <w:p w14:paraId="7DB9C214" w14:textId="747C906E" w:rsidR="00092D98" w:rsidRPr="00D42AEF" w:rsidRDefault="00D1383F" w:rsidP="00830469">
            <w:pPr>
              <w:spacing w:before="80" w:after="80" w:line="200" w:lineRule="exact"/>
              <w:ind w:right="113"/>
              <w:rPr>
                <w:i/>
                <w:iCs/>
                <w:sz w:val="16"/>
              </w:rPr>
            </w:pPr>
            <w:r w:rsidRPr="00D42AEF">
              <w:rPr>
                <w:i/>
                <w:iCs/>
              </w:rPr>
              <w:t>Proposal and rational</w:t>
            </w:r>
            <w:r w:rsidR="00D021F3" w:rsidRPr="00D42AEF">
              <w:rPr>
                <w:i/>
                <w:iCs/>
              </w:rPr>
              <w:t>e</w:t>
            </w:r>
          </w:p>
        </w:tc>
      </w:tr>
      <w:tr w:rsidR="00092D98" w:rsidRPr="00092D98" w14:paraId="33AC9B2E" w14:textId="77777777" w:rsidTr="00182C5D">
        <w:trPr>
          <w:trHeight w:hRule="exact" w:val="113"/>
          <w:tblHeader/>
        </w:trPr>
        <w:tc>
          <w:tcPr>
            <w:tcW w:w="2834" w:type="dxa"/>
            <w:tcBorders>
              <w:top w:val="single" w:sz="12" w:space="0" w:color="auto"/>
            </w:tcBorders>
            <w:shd w:val="clear" w:color="auto" w:fill="auto"/>
            <w:vAlign w:val="bottom"/>
          </w:tcPr>
          <w:p w14:paraId="7E761AE6" w14:textId="77777777" w:rsidR="00092D98" w:rsidRPr="00092D98" w:rsidRDefault="00092D98" w:rsidP="00092D98">
            <w:pPr>
              <w:spacing w:before="80" w:after="80" w:line="200" w:lineRule="exact"/>
              <w:ind w:right="113"/>
              <w:rPr>
                <w:i/>
                <w:sz w:val="16"/>
              </w:rPr>
            </w:pPr>
          </w:p>
        </w:tc>
        <w:tc>
          <w:tcPr>
            <w:tcW w:w="2835" w:type="dxa"/>
            <w:tcBorders>
              <w:top w:val="single" w:sz="12" w:space="0" w:color="auto"/>
            </w:tcBorders>
            <w:shd w:val="clear" w:color="auto" w:fill="auto"/>
            <w:vAlign w:val="bottom"/>
          </w:tcPr>
          <w:p w14:paraId="13F2D72E" w14:textId="77777777" w:rsidR="00092D98" w:rsidRPr="00092D98" w:rsidRDefault="00092D98" w:rsidP="00092D98">
            <w:pPr>
              <w:spacing w:before="80" w:after="80" w:line="200" w:lineRule="exact"/>
              <w:ind w:right="113"/>
              <w:rPr>
                <w:i/>
                <w:sz w:val="16"/>
              </w:rPr>
            </w:pPr>
          </w:p>
        </w:tc>
        <w:tc>
          <w:tcPr>
            <w:tcW w:w="2835" w:type="dxa"/>
            <w:tcBorders>
              <w:top w:val="single" w:sz="12" w:space="0" w:color="auto"/>
            </w:tcBorders>
            <w:shd w:val="clear" w:color="auto" w:fill="auto"/>
            <w:vAlign w:val="bottom"/>
          </w:tcPr>
          <w:p w14:paraId="6635A94B" w14:textId="77777777" w:rsidR="00092D98" w:rsidRPr="00092D98" w:rsidRDefault="00092D98" w:rsidP="00092D98">
            <w:pPr>
              <w:spacing w:before="80" w:after="80" w:line="200" w:lineRule="exact"/>
              <w:ind w:right="113"/>
              <w:rPr>
                <w:i/>
                <w:sz w:val="16"/>
              </w:rPr>
            </w:pPr>
          </w:p>
        </w:tc>
      </w:tr>
      <w:tr w:rsidR="00092D98" w:rsidRPr="00092D98" w14:paraId="4D7EA8FE" w14:textId="77777777" w:rsidTr="00182C5D">
        <w:tc>
          <w:tcPr>
            <w:tcW w:w="2834" w:type="dxa"/>
            <w:shd w:val="clear" w:color="auto" w:fill="auto"/>
          </w:tcPr>
          <w:p w14:paraId="68042BF7" w14:textId="073CD322" w:rsidR="00092D98" w:rsidRPr="00092D98" w:rsidRDefault="00C62D23" w:rsidP="00830469">
            <w:pPr>
              <w:spacing w:before="40" w:after="120"/>
              <w:ind w:right="113"/>
            </w:pPr>
            <w:r w:rsidRPr="003459F9">
              <w:t>1.6.5.26</w:t>
            </w:r>
          </w:p>
        </w:tc>
        <w:tc>
          <w:tcPr>
            <w:tcW w:w="2835" w:type="dxa"/>
            <w:shd w:val="clear" w:color="auto" w:fill="auto"/>
          </w:tcPr>
          <w:p w14:paraId="03177E4C" w14:textId="682211CA" w:rsidR="00092D98" w:rsidRPr="00092D98" w:rsidRDefault="00C62D23" w:rsidP="00830469">
            <w:pPr>
              <w:spacing w:before="40" w:after="120"/>
              <w:ind w:right="113"/>
            </w:pPr>
            <w:r w:rsidRPr="003459F9">
              <w:rPr>
                <w:lang w:val="en-US"/>
              </w:rPr>
              <w:t>Vehicles first registered (or which entered into service if registration is not mandatory) before [1 April 2026], approved as AT vehicle not in compliance with the provisions of 9.2.4.2 concerning fuel tanks may continue to be used.”</w:t>
            </w:r>
          </w:p>
        </w:tc>
        <w:tc>
          <w:tcPr>
            <w:tcW w:w="2835" w:type="dxa"/>
            <w:shd w:val="clear" w:color="auto" w:fill="auto"/>
          </w:tcPr>
          <w:p w14:paraId="3754DBBD" w14:textId="5E742802" w:rsidR="00092D98" w:rsidRPr="00092D98" w:rsidRDefault="00C62D23" w:rsidP="00830469">
            <w:pPr>
              <w:spacing w:before="40" w:after="120"/>
              <w:ind w:right="113"/>
            </w:pPr>
            <w:r w:rsidRPr="003459F9">
              <w:t>The date of 1 April 20</w:t>
            </w:r>
            <w:r>
              <w:t>2</w:t>
            </w:r>
            <w:r w:rsidRPr="003459F9">
              <w:t xml:space="preserve">6 is the standard period to allow for UN </w:t>
            </w:r>
            <w:r w:rsidRPr="00041B7F">
              <w:rPr>
                <w:bCs/>
                <w:color w:val="000000"/>
              </w:rPr>
              <w:t>Regulation</w:t>
            </w:r>
            <w:r w:rsidRPr="003459F9">
              <w:t xml:space="preserve"> No. 105 to be updated and vehicles already under construction (e.g. fitting of tank) to be completed. It is proposed to delete the </w:t>
            </w:r>
            <w:r>
              <w:t>s</w:t>
            </w:r>
            <w:r w:rsidRPr="003459F9">
              <w:t>quare brackets.</w:t>
            </w:r>
          </w:p>
        </w:tc>
      </w:tr>
      <w:tr w:rsidR="00092D98" w:rsidRPr="00092D98" w14:paraId="2190444F" w14:textId="77777777" w:rsidTr="00182C5D">
        <w:tc>
          <w:tcPr>
            <w:tcW w:w="2834" w:type="dxa"/>
            <w:shd w:val="clear" w:color="auto" w:fill="auto"/>
          </w:tcPr>
          <w:p w14:paraId="0F26061F" w14:textId="101A40E6" w:rsidR="00092D98" w:rsidRPr="00092D98" w:rsidRDefault="00C62D23" w:rsidP="00830469">
            <w:pPr>
              <w:spacing w:before="40" w:after="120"/>
              <w:ind w:right="113"/>
            </w:pPr>
            <w:r w:rsidRPr="003459F9">
              <w:t>1.6.5.27</w:t>
            </w:r>
          </w:p>
        </w:tc>
        <w:tc>
          <w:tcPr>
            <w:tcW w:w="2835" w:type="dxa"/>
            <w:shd w:val="clear" w:color="auto" w:fill="auto"/>
          </w:tcPr>
          <w:p w14:paraId="40C591AD" w14:textId="6E0834E2" w:rsidR="00092D98" w:rsidRPr="00092D98" w:rsidRDefault="00C62D23" w:rsidP="00830469">
            <w:pPr>
              <w:spacing w:before="40" w:after="120"/>
              <w:ind w:right="113"/>
            </w:pPr>
            <w:r w:rsidRPr="003459F9">
              <w:rPr>
                <w:lang w:val="en-US"/>
              </w:rPr>
              <w:t>Vehicles first registered (or which entered into service if registration is not mandatory) before [1 April 2026], approved as AT vehicle not in compliance with the provisions of 9.2.4.4.2 concerning the evaluation of the REESS may continue to be used.”</w:t>
            </w:r>
          </w:p>
        </w:tc>
        <w:tc>
          <w:tcPr>
            <w:tcW w:w="2835" w:type="dxa"/>
            <w:shd w:val="clear" w:color="auto" w:fill="auto"/>
          </w:tcPr>
          <w:p w14:paraId="76727F73" w14:textId="5485CE98" w:rsidR="00092D98" w:rsidRPr="00092D98" w:rsidRDefault="00C62D23" w:rsidP="00830469">
            <w:pPr>
              <w:spacing w:before="40" w:after="120"/>
              <w:ind w:right="113"/>
            </w:pPr>
            <w:r w:rsidRPr="003459F9">
              <w:t>The date of 1 April 20</w:t>
            </w:r>
            <w:r>
              <w:t>2</w:t>
            </w:r>
            <w:r w:rsidRPr="003459F9">
              <w:t xml:space="preserve">6 is the standard period to allow for UN </w:t>
            </w:r>
            <w:r w:rsidRPr="00041B7F">
              <w:rPr>
                <w:bCs/>
                <w:color w:val="000000"/>
              </w:rPr>
              <w:t>Regulation</w:t>
            </w:r>
            <w:r w:rsidRPr="003459F9">
              <w:t xml:space="preserve"> No. 105 to be updated and vehicles already under construction (e.g. fitting of tank) to be completed. It is proposed to delete the </w:t>
            </w:r>
            <w:r>
              <w:t>s</w:t>
            </w:r>
            <w:r w:rsidRPr="003459F9">
              <w:t>quare brackets.</w:t>
            </w:r>
          </w:p>
        </w:tc>
      </w:tr>
      <w:tr w:rsidR="00092D98" w:rsidRPr="00092D98" w14:paraId="4DE9A775" w14:textId="77777777" w:rsidTr="00182C5D">
        <w:tc>
          <w:tcPr>
            <w:tcW w:w="2834" w:type="dxa"/>
            <w:shd w:val="clear" w:color="auto" w:fill="auto"/>
          </w:tcPr>
          <w:p w14:paraId="369942F9" w14:textId="6AB854C1" w:rsidR="00092D98" w:rsidRPr="00092D98" w:rsidRDefault="00C62D23" w:rsidP="00830469">
            <w:pPr>
              <w:spacing w:before="40" w:after="120"/>
              <w:ind w:right="113"/>
            </w:pPr>
            <w:r w:rsidRPr="00E912C4">
              <w:t>9.2.1.1</w:t>
            </w:r>
          </w:p>
        </w:tc>
        <w:tc>
          <w:tcPr>
            <w:tcW w:w="2835" w:type="dxa"/>
            <w:shd w:val="clear" w:color="auto" w:fill="auto"/>
          </w:tcPr>
          <w:p w14:paraId="74E86473" w14:textId="77777777" w:rsidR="00872036" w:rsidRPr="0041416E" w:rsidRDefault="00872036" w:rsidP="0041416E">
            <w:pPr>
              <w:spacing w:before="40" w:after="120"/>
              <w:ind w:right="113"/>
              <w:rPr>
                <w:lang w:val="en-US"/>
              </w:rPr>
            </w:pPr>
            <w:r w:rsidRPr="0041416E">
              <w:rPr>
                <w:lang w:val="en-US"/>
              </w:rPr>
              <w:t>In the row for 9.2.4.2 in the table:</w:t>
            </w:r>
          </w:p>
          <w:p w14:paraId="30AB0DBE" w14:textId="12629634" w:rsidR="00092D98" w:rsidRPr="00092D98" w:rsidRDefault="00872036" w:rsidP="00872036">
            <w:pPr>
              <w:spacing w:before="40" w:after="120"/>
              <w:ind w:right="113"/>
            </w:pPr>
            <w:r w:rsidRPr="00E912C4">
              <w:t>•</w:t>
            </w:r>
            <w:r w:rsidRPr="00E912C4">
              <w:tab/>
              <w:t>in the column for “AT”, add “</w:t>
            </w:r>
            <w:proofErr w:type="spellStart"/>
            <w:r w:rsidRPr="00E912C4">
              <w:t>X</w:t>
            </w:r>
            <w:r w:rsidRPr="00E912C4">
              <w:rPr>
                <w:vertAlign w:val="superscript"/>
              </w:rPr>
              <w:t>k</w:t>
            </w:r>
            <w:proofErr w:type="spellEnd"/>
            <w:r w:rsidRPr="00E912C4">
              <w:t>” and in column “COMMENTS”, add “</w:t>
            </w:r>
            <w:r w:rsidRPr="00E912C4">
              <w:rPr>
                <w:vertAlign w:val="superscript"/>
              </w:rPr>
              <w:t xml:space="preserve">k </w:t>
            </w:r>
            <w:r w:rsidRPr="00E912C4">
              <w:t xml:space="preserve">Applicable to motor vehicles </w:t>
            </w:r>
            <w:r w:rsidRPr="00E912C4">
              <w:rPr>
                <w:i/>
                <w:iCs/>
              </w:rPr>
              <w:t>“</w:t>
            </w:r>
            <w:r w:rsidRPr="00E912C4">
              <w:rPr>
                <w:i/>
                <w:iCs/>
                <w:u w:val="single"/>
              </w:rPr>
              <w:t>using other fuels than hydrogen,</w:t>
            </w:r>
            <w:r w:rsidRPr="00E912C4">
              <w:t>” first registered after [31 March 2026]”.</w:t>
            </w:r>
          </w:p>
        </w:tc>
        <w:tc>
          <w:tcPr>
            <w:tcW w:w="2835" w:type="dxa"/>
            <w:shd w:val="clear" w:color="auto" w:fill="auto"/>
          </w:tcPr>
          <w:p w14:paraId="2D3B1036" w14:textId="0CC810EC" w:rsidR="00092D98" w:rsidRPr="00092D98" w:rsidRDefault="00872036" w:rsidP="00830469">
            <w:pPr>
              <w:spacing w:before="40" w:after="120"/>
              <w:ind w:right="113"/>
            </w:pPr>
            <w:r w:rsidRPr="003459F9">
              <w:t>The</w:t>
            </w:r>
            <w:r>
              <w:t xml:space="preserve"> date of latest application is in line with the traditionally used periods and in line with the transitional measures in </w:t>
            </w:r>
            <w:r w:rsidRPr="003459F9">
              <w:t xml:space="preserve"> </w:t>
            </w:r>
            <w:r>
              <w:t>1.6.5.</w:t>
            </w:r>
          </w:p>
        </w:tc>
      </w:tr>
      <w:tr w:rsidR="00092D98" w:rsidRPr="00092D98" w14:paraId="2E1D652D" w14:textId="77777777" w:rsidTr="00182C5D">
        <w:tc>
          <w:tcPr>
            <w:tcW w:w="2834" w:type="dxa"/>
            <w:shd w:val="clear" w:color="auto" w:fill="auto"/>
          </w:tcPr>
          <w:p w14:paraId="17CA040E" w14:textId="7FA38B00" w:rsidR="00092D98" w:rsidRPr="00092D98" w:rsidRDefault="00872036" w:rsidP="00830469">
            <w:pPr>
              <w:spacing w:before="40" w:after="120"/>
              <w:ind w:right="113"/>
            </w:pPr>
            <w:r w:rsidRPr="003459F9">
              <w:t>9.2.1.1</w:t>
            </w:r>
          </w:p>
        </w:tc>
        <w:tc>
          <w:tcPr>
            <w:tcW w:w="2835" w:type="dxa"/>
            <w:shd w:val="clear" w:color="auto" w:fill="auto"/>
          </w:tcPr>
          <w:p w14:paraId="01A3667B" w14:textId="77777777" w:rsidR="00872036" w:rsidRPr="003459F9" w:rsidRDefault="00872036" w:rsidP="00F50D7B">
            <w:pPr>
              <w:pStyle w:val="SingleTxtG"/>
              <w:tabs>
                <w:tab w:val="clear" w:pos="1701"/>
                <w:tab w:val="clear" w:pos="2268"/>
              </w:tabs>
              <w:ind w:left="0" w:right="139" w:firstLine="2"/>
            </w:pPr>
            <w:r w:rsidRPr="003459F9">
              <w:t>In the row for 9.2.4.4.2 in the table:</w:t>
            </w:r>
          </w:p>
          <w:p w14:paraId="3C0A4AAD" w14:textId="749F213F" w:rsidR="00092D98" w:rsidRPr="00092D98" w:rsidRDefault="00872036" w:rsidP="00872036">
            <w:pPr>
              <w:spacing w:before="40" w:after="120"/>
              <w:ind w:right="113"/>
            </w:pPr>
            <w:r w:rsidRPr="003459F9">
              <w:t>in the column for “AT”, add “</w:t>
            </w:r>
            <w:proofErr w:type="spellStart"/>
            <w:r w:rsidRPr="003459F9">
              <w:t>X</w:t>
            </w:r>
            <w:r w:rsidRPr="003459F9">
              <w:rPr>
                <w:vertAlign w:val="superscript"/>
              </w:rPr>
              <w:t>k</w:t>
            </w:r>
            <w:proofErr w:type="spellEnd"/>
            <w:r w:rsidRPr="003459F9">
              <w:t>” and in column “COMMENTS”, add “</w:t>
            </w:r>
            <w:r w:rsidRPr="003459F9">
              <w:rPr>
                <w:vertAlign w:val="superscript"/>
              </w:rPr>
              <w:t xml:space="preserve">k </w:t>
            </w:r>
            <w:r w:rsidRPr="003459F9">
              <w:t>Applicable to motor vehicles first registered after [31 March 2026]”.</w:t>
            </w:r>
          </w:p>
        </w:tc>
        <w:tc>
          <w:tcPr>
            <w:tcW w:w="2835" w:type="dxa"/>
            <w:shd w:val="clear" w:color="auto" w:fill="auto"/>
          </w:tcPr>
          <w:p w14:paraId="71DFB486" w14:textId="18AE3403" w:rsidR="00092D98" w:rsidRPr="00092D98" w:rsidRDefault="00872036" w:rsidP="00830469">
            <w:pPr>
              <w:spacing w:before="40" w:after="120"/>
              <w:ind w:right="113"/>
            </w:pPr>
            <w:r w:rsidRPr="003459F9">
              <w:t>The</w:t>
            </w:r>
            <w:r>
              <w:t xml:space="preserve"> date of latest application is in line with the traditionally used periods and in line with the transitional measures in </w:t>
            </w:r>
            <w:r w:rsidRPr="003459F9">
              <w:t xml:space="preserve"> </w:t>
            </w:r>
            <w:r>
              <w:t>1.6.5.</w:t>
            </w:r>
          </w:p>
        </w:tc>
      </w:tr>
      <w:tr w:rsidR="00092D98" w:rsidRPr="00092D98" w14:paraId="1009AB2A" w14:textId="77777777" w:rsidTr="00182C5D">
        <w:tc>
          <w:tcPr>
            <w:tcW w:w="2834" w:type="dxa"/>
            <w:shd w:val="clear" w:color="auto" w:fill="auto"/>
          </w:tcPr>
          <w:p w14:paraId="38BF49C9" w14:textId="7775878E" w:rsidR="00092D98" w:rsidRPr="00092D98" w:rsidRDefault="006C739A" w:rsidP="00830469">
            <w:pPr>
              <w:spacing w:before="40" w:after="120"/>
              <w:ind w:right="113"/>
            </w:pPr>
            <w:r w:rsidRPr="003459F9">
              <w:t>9.2.2.1</w:t>
            </w:r>
          </w:p>
        </w:tc>
        <w:tc>
          <w:tcPr>
            <w:tcW w:w="2835" w:type="dxa"/>
            <w:shd w:val="clear" w:color="auto" w:fill="auto"/>
          </w:tcPr>
          <w:p w14:paraId="1D7E8714" w14:textId="02444C02" w:rsidR="00092D98" w:rsidRPr="00092D98" w:rsidRDefault="006C739A" w:rsidP="00830469">
            <w:pPr>
              <w:spacing w:before="40" w:after="120"/>
              <w:ind w:right="113"/>
            </w:pPr>
            <w:r w:rsidRPr="003459F9">
              <w:rPr>
                <w:lang w:val="en-US"/>
              </w:rPr>
              <w:t>[In the first paragraph, after “ignition”, add “, fire”.]</w:t>
            </w:r>
          </w:p>
        </w:tc>
        <w:tc>
          <w:tcPr>
            <w:tcW w:w="2835" w:type="dxa"/>
            <w:shd w:val="clear" w:color="auto" w:fill="auto"/>
          </w:tcPr>
          <w:p w14:paraId="1A10C2B0" w14:textId="4C2A4E78" w:rsidR="00092D98" w:rsidRPr="00092D98" w:rsidRDefault="006C739A" w:rsidP="00830469">
            <w:pPr>
              <w:spacing w:before="40" w:after="120"/>
              <w:ind w:right="113"/>
            </w:pPr>
            <w:r w:rsidRPr="003459F9">
              <w:t>It was felt that ignition already covered the development of a fire</w:t>
            </w:r>
            <w:r>
              <w:t>.</w:t>
            </w:r>
            <w:r w:rsidRPr="003459F9">
              <w:t xml:space="preserve"> It is proposed to delete </w:t>
            </w:r>
            <w:r w:rsidRPr="003459F9">
              <w:rPr>
                <w:i/>
                <w:iCs/>
              </w:rPr>
              <w:t>“fire”</w:t>
            </w:r>
            <w:r w:rsidRPr="003459F9">
              <w:t xml:space="preserve"> and the square brackets.</w:t>
            </w:r>
          </w:p>
        </w:tc>
      </w:tr>
      <w:tr w:rsidR="00092D98" w:rsidRPr="00092D98" w14:paraId="29B465BB" w14:textId="77777777" w:rsidTr="00182C5D">
        <w:tc>
          <w:tcPr>
            <w:tcW w:w="2834" w:type="dxa"/>
            <w:shd w:val="clear" w:color="auto" w:fill="auto"/>
          </w:tcPr>
          <w:p w14:paraId="5DF819D6" w14:textId="5E766109" w:rsidR="00092D98" w:rsidRPr="00092D98" w:rsidRDefault="006C739A" w:rsidP="00830469">
            <w:pPr>
              <w:spacing w:before="40" w:after="120"/>
              <w:ind w:right="113"/>
            </w:pPr>
            <w:r w:rsidRPr="003459F9">
              <w:t>9.2.4.</w:t>
            </w:r>
            <w:r>
              <w:t>2</w:t>
            </w:r>
          </w:p>
        </w:tc>
        <w:tc>
          <w:tcPr>
            <w:tcW w:w="2835" w:type="dxa"/>
            <w:shd w:val="clear" w:color="auto" w:fill="auto"/>
          </w:tcPr>
          <w:p w14:paraId="12040DB2" w14:textId="0C0F94E7" w:rsidR="00092D98" w:rsidRPr="00092D98" w:rsidRDefault="006C739A" w:rsidP="00830469">
            <w:pPr>
              <w:spacing w:before="40" w:after="120"/>
              <w:ind w:right="113"/>
            </w:pPr>
            <w:r w:rsidRPr="003459F9">
              <w:t>(e)</w:t>
            </w:r>
            <w:r w:rsidRPr="003459F9">
              <w:tab/>
              <w:t>Fuel tanks and cylinders for hydrogen shall meet the relevant requirements of UN Regulation No. 134</w:t>
            </w:r>
            <w:r w:rsidRPr="003459F9">
              <w:rPr>
                <w:vertAlign w:val="superscript"/>
              </w:rPr>
              <w:t>9</w:t>
            </w:r>
            <w:r w:rsidRPr="003459F9">
              <w:t>, as amended at least by the 02 series of amendments, or for liquid hydrogen containers the technical provisions of [Global Technical Regulation No.13</w:t>
            </w:r>
            <w:r w:rsidRPr="003459F9">
              <w:rPr>
                <w:vertAlign w:val="superscript"/>
              </w:rPr>
              <w:t>10</w:t>
            </w:r>
            <w:r w:rsidRPr="003459F9">
              <w:t>, Phase 2, part 7].”</w:t>
            </w:r>
          </w:p>
        </w:tc>
        <w:tc>
          <w:tcPr>
            <w:tcW w:w="2835" w:type="dxa"/>
            <w:shd w:val="clear" w:color="auto" w:fill="auto"/>
          </w:tcPr>
          <w:p w14:paraId="0A61BA29" w14:textId="1BC78C6C" w:rsidR="000E6350" w:rsidRPr="000E6350" w:rsidRDefault="000E6350" w:rsidP="000E6350">
            <w:pPr>
              <w:spacing w:before="40" w:after="120"/>
              <w:ind w:right="113"/>
            </w:pPr>
            <w:r w:rsidRPr="000E6350">
              <w:t xml:space="preserve">After checking the proper reference would be </w:t>
            </w:r>
            <w:r w:rsidRPr="00FD1C1C">
              <w:rPr>
                <w:i/>
                <w:iCs/>
              </w:rPr>
              <w:t>“Global Technical Regulation Amendment 1, part 7”</w:t>
            </w:r>
            <w:r w:rsidRPr="000E6350">
              <w:t>. Part 7 is specific for the liquid hydrogen container.</w:t>
            </w:r>
          </w:p>
          <w:p w14:paraId="408E2F2B" w14:textId="622F6832" w:rsidR="00092D98" w:rsidRPr="00092D98" w:rsidRDefault="000E6350" w:rsidP="000E6350">
            <w:pPr>
              <w:spacing w:before="40" w:after="120"/>
              <w:ind w:right="113"/>
            </w:pPr>
            <w:r w:rsidRPr="00F57A45">
              <w:t>It is proposed to amend the wording and delete the square brackets.</w:t>
            </w:r>
          </w:p>
        </w:tc>
      </w:tr>
      <w:tr w:rsidR="00092D98" w:rsidRPr="00092D98" w14:paraId="5B4881D3" w14:textId="77777777" w:rsidTr="00182C5D">
        <w:tc>
          <w:tcPr>
            <w:tcW w:w="2834" w:type="dxa"/>
            <w:shd w:val="clear" w:color="auto" w:fill="auto"/>
          </w:tcPr>
          <w:p w14:paraId="08AF7A00" w14:textId="666EB66C" w:rsidR="00092D98" w:rsidRPr="00092D98" w:rsidRDefault="009F6D4F" w:rsidP="00830469">
            <w:pPr>
              <w:spacing w:before="40" w:after="120"/>
              <w:ind w:right="113"/>
            </w:pPr>
            <w:r w:rsidRPr="003459F9">
              <w:rPr>
                <w:lang w:val="en-US"/>
              </w:rPr>
              <w:t>9.2.4.3.1</w:t>
            </w:r>
          </w:p>
        </w:tc>
        <w:tc>
          <w:tcPr>
            <w:tcW w:w="2835" w:type="dxa"/>
            <w:shd w:val="clear" w:color="auto" w:fill="auto"/>
          </w:tcPr>
          <w:p w14:paraId="4EE7F4EA" w14:textId="2A41B03A" w:rsidR="00092D98" w:rsidRPr="00092D98" w:rsidRDefault="00AD5767" w:rsidP="00830469">
            <w:pPr>
              <w:spacing w:before="40" w:after="120"/>
              <w:ind w:right="113"/>
            </w:pPr>
            <w:r w:rsidRPr="003459F9">
              <w:rPr>
                <w:lang w:val="en-US"/>
              </w:rPr>
              <w:t>(c)</w:t>
            </w:r>
            <w:r w:rsidRPr="003459F9">
              <w:rPr>
                <w:lang w:val="en-US"/>
              </w:rPr>
              <w:tab/>
              <w:t>UN Regulation No. 134</w:t>
            </w:r>
            <w:r w:rsidRPr="003459F9">
              <w:rPr>
                <w:vertAlign w:val="superscript"/>
                <w:lang w:val="en-US"/>
              </w:rPr>
              <w:t>9</w:t>
            </w:r>
            <w:r w:rsidRPr="003459F9">
              <w:rPr>
                <w:lang w:val="en-US"/>
              </w:rPr>
              <w:t xml:space="preserve"> for compressed hydrogen [and the technical provisions of </w:t>
            </w:r>
            <w:r w:rsidRPr="003459F9">
              <w:t>Global Technical Regulation No.13</w:t>
            </w:r>
            <w:r w:rsidRPr="003459F9">
              <w:rPr>
                <w:vertAlign w:val="superscript"/>
              </w:rPr>
              <w:t>10</w:t>
            </w:r>
            <w:r w:rsidRPr="003459F9">
              <w:t xml:space="preserve">, </w:t>
            </w:r>
            <w:r w:rsidRPr="003459F9">
              <w:lastRenderedPageBreak/>
              <w:t>Phase 2]</w:t>
            </w:r>
            <w:r w:rsidRPr="003459F9">
              <w:rPr>
                <w:lang w:val="en-US"/>
              </w:rPr>
              <w:t xml:space="preserve"> for liquid hydrogen, as relevant.</w:t>
            </w:r>
          </w:p>
        </w:tc>
        <w:tc>
          <w:tcPr>
            <w:tcW w:w="2835" w:type="dxa"/>
            <w:shd w:val="clear" w:color="auto" w:fill="auto"/>
          </w:tcPr>
          <w:p w14:paraId="33ABA793" w14:textId="1E1ED651" w:rsidR="00092D98" w:rsidRPr="00092D98" w:rsidRDefault="00AD5767" w:rsidP="00830469">
            <w:pPr>
              <w:spacing w:before="40" w:after="120"/>
              <w:ind w:right="113"/>
            </w:pPr>
            <w:r w:rsidRPr="003459F9">
              <w:rPr>
                <w:lang w:val="en-US"/>
              </w:rPr>
              <w:lastRenderedPageBreak/>
              <w:t xml:space="preserve">After checking the proper reference would be </w:t>
            </w:r>
            <w:r w:rsidRPr="003459F9">
              <w:rPr>
                <w:i/>
                <w:iCs/>
                <w:lang w:val="en-US"/>
              </w:rPr>
              <w:t>“Global Technical Regulation Amendment 1”</w:t>
            </w:r>
            <w:r w:rsidRPr="003459F9">
              <w:rPr>
                <w:lang w:val="en-US"/>
              </w:rPr>
              <w:t xml:space="preserve">.  It is proposed to amend the </w:t>
            </w:r>
            <w:r w:rsidRPr="003459F9">
              <w:rPr>
                <w:lang w:val="en-US"/>
              </w:rPr>
              <w:lastRenderedPageBreak/>
              <w:t>wording and delete the square brackets.</w:t>
            </w:r>
          </w:p>
        </w:tc>
      </w:tr>
      <w:tr w:rsidR="00092D98" w:rsidRPr="00092D98" w14:paraId="3466CF07" w14:textId="77777777" w:rsidTr="00182C5D">
        <w:tc>
          <w:tcPr>
            <w:tcW w:w="2834" w:type="dxa"/>
            <w:shd w:val="clear" w:color="auto" w:fill="auto"/>
          </w:tcPr>
          <w:p w14:paraId="07A96A2D" w14:textId="094DDB08" w:rsidR="00092D98" w:rsidRPr="00092D98" w:rsidRDefault="00D15BB6" w:rsidP="00830469">
            <w:pPr>
              <w:spacing w:before="40" w:after="120"/>
              <w:ind w:right="113"/>
            </w:pPr>
            <w:r w:rsidRPr="003459F9">
              <w:rPr>
                <w:lang w:val="en-US"/>
              </w:rPr>
              <w:lastRenderedPageBreak/>
              <w:t>9.2.4.4.2</w:t>
            </w:r>
          </w:p>
        </w:tc>
        <w:tc>
          <w:tcPr>
            <w:tcW w:w="2835" w:type="dxa"/>
            <w:shd w:val="clear" w:color="auto" w:fill="auto"/>
          </w:tcPr>
          <w:p w14:paraId="095AF0C1" w14:textId="130EB3C2" w:rsidR="00092D98" w:rsidRPr="00092D98" w:rsidRDefault="00D15BB6" w:rsidP="00830469">
            <w:pPr>
              <w:spacing w:before="40" w:after="120"/>
              <w:ind w:right="113"/>
            </w:pPr>
            <w:r w:rsidRPr="003459F9">
              <w:rPr>
                <w:lang w:val="en-US"/>
              </w:rPr>
              <w:t>REESS of vehicles with an electric power train shall be designed and constructed taking into account a risk evaluation according to ISO 6469-1:2019/</w:t>
            </w:r>
            <w:proofErr w:type="spellStart"/>
            <w:r w:rsidRPr="003459F9">
              <w:rPr>
                <w:lang w:val="en-US"/>
              </w:rPr>
              <w:t>Amd</w:t>
            </w:r>
            <w:proofErr w:type="spellEnd"/>
            <w:r w:rsidRPr="003459F9">
              <w:rPr>
                <w:lang w:val="en-US"/>
              </w:rPr>
              <w:t xml:space="preserve"> 1:2022 to establish safety for normal operational conditions. [A review shall be carried out by a technical service (</w:t>
            </w:r>
            <w:proofErr w:type="gramStart"/>
            <w:r w:rsidRPr="003459F9">
              <w:rPr>
                <w:lang w:val="en-US"/>
              </w:rPr>
              <w:t>e.g.</w:t>
            </w:r>
            <w:proofErr w:type="gramEnd"/>
            <w:r w:rsidRPr="003459F9">
              <w:rPr>
                <w:lang w:val="en-US"/>
              </w:rPr>
              <w:t xml:space="preserve"> technical service for vehicle approvals according to UN Regulation No. 100</w:t>
            </w:r>
            <w:r w:rsidRPr="003459F9">
              <w:rPr>
                <w:vertAlign w:val="superscript"/>
                <w:lang w:val="en-US"/>
              </w:rPr>
              <w:t>1</w:t>
            </w:r>
            <w:r w:rsidRPr="003459F9">
              <w:rPr>
                <w:lang w:val="en-US"/>
              </w:rPr>
              <w:t>, as amended at least by the 03 series of amendments).]</w:t>
            </w:r>
          </w:p>
        </w:tc>
        <w:tc>
          <w:tcPr>
            <w:tcW w:w="2835" w:type="dxa"/>
            <w:shd w:val="clear" w:color="auto" w:fill="auto"/>
          </w:tcPr>
          <w:p w14:paraId="0FD137DF" w14:textId="77777777" w:rsidR="00A04145" w:rsidRPr="00277316" w:rsidRDefault="00A04145" w:rsidP="00277316">
            <w:pPr>
              <w:spacing w:before="40" w:after="120"/>
              <w:ind w:right="113"/>
              <w:rPr>
                <w:lang w:val="en-US"/>
              </w:rPr>
            </w:pPr>
            <w:r w:rsidRPr="00277316">
              <w:rPr>
                <w:lang w:val="en-US"/>
              </w:rPr>
              <w:t xml:space="preserve">The purpose of the text in square brackets is that </w:t>
            </w:r>
            <w:proofErr w:type="gramStart"/>
            <w:r w:rsidRPr="00277316">
              <w:rPr>
                <w:lang w:val="en-US"/>
              </w:rPr>
              <w:t>a an</w:t>
            </w:r>
            <w:proofErr w:type="gramEnd"/>
            <w:r w:rsidRPr="00277316">
              <w:rPr>
                <w:lang w:val="en-US"/>
              </w:rPr>
              <w:t xml:space="preserve"> independent body with proper qualifications evaluates the work done by the manufacturer. However, if this should be the technical service for UN Regulation No. 105 or UN Regulation No. 100 was questioned. </w:t>
            </w:r>
          </w:p>
          <w:p w14:paraId="68591118" w14:textId="77777777" w:rsidR="00A04145" w:rsidRPr="00277316" w:rsidRDefault="00A04145" w:rsidP="00277316">
            <w:pPr>
              <w:spacing w:before="40" w:after="120"/>
              <w:ind w:right="113"/>
              <w:rPr>
                <w:lang w:val="en-US"/>
              </w:rPr>
            </w:pPr>
            <w:r w:rsidRPr="00277316">
              <w:rPr>
                <w:lang w:val="en-US"/>
              </w:rPr>
              <w:t>At the time of drafting this document no consensus was reached on this issue.</w:t>
            </w:r>
          </w:p>
          <w:p w14:paraId="00D2DCA1" w14:textId="3BF1B091" w:rsidR="00092D98" w:rsidRPr="00092D98" w:rsidRDefault="00A04145" w:rsidP="00830469">
            <w:pPr>
              <w:spacing w:before="40" w:after="120"/>
              <w:ind w:right="113"/>
            </w:pPr>
            <w:r w:rsidRPr="00277316">
              <w:rPr>
                <w:lang w:val="en-US"/>
              </w:rPr>
              <w:t>It is proposed to keep in square brackets to be finalized at the 115th session of the Working Party.</w:t>
            </w:r>
          </w:p>
        </w:tc>
      </w:tr>
      <w:tr w:rsidR="00092D98" w:rsidRPr="00092D98" w14:paraId="35538FCD" w14:textId="77777777" w:rsidTr="00182C5D">
        <w:tc>
          <w:tcPr>
            <w:tcW w:w="2834" w:type="dxa"/>
            <w:shd w:val="clear" w:color="auto" w:fill="auto"/>
          </w:tcPr>
          <w:p w14:paraId="6720FE68" w14:textId="63B78977" w:rsidR="00092D98" w:rsidRPr="00092D98" w:rsidRDefault="00A04145" w:rsidP="00830469">
            <w:pPr>
              <w:spacing w:before="40" w:after="120"/>
              <w:ind w:right="113"/>
            </w:pPr>
            <w:r w:rsidRPr="003459F9">
              <w:t>9.2.4.4.3</w:t>
            </w:r>
          </w:p>
        </w:tc>
        <w:tc>
          <w:tcPr>
            <w:tcW w:w="2835" w:type="dxa"/>
            <w:shd w:val="clear" w:color="auto" w:fill="auto"/>
          </w:tcPr>
          <w:p w14:paraId="77CCD054" w14:textId="422B6B0A" w:rsidR="00092D98" w:rsidRPr="00092D98" w:rsidRDefault="00A04145" w:rsidP="00830469">
            <w:pPr>
              <w:spacing w:before="40" w:after="120"/>
              <w:ind w:right="113"/>
            </w:pPr>
            <w:r w:rsidRPr="003459F9">
              <w:t xml:space="preserve">REESS containing cells for which thermal propagation cannot be guaranteed to be contained within the REESS, measures shall be taken to </w:t>
            </w:r>
            <w:r w:rsidRPr="00433BB6">
              <w:rPr>
                <w:strike/>
              </w:rPr>
              <w:t>prevent</w:t>
            </w:r>
            <w:r w:rsidRPr="003459F9">
              <w:t xml:space="preserve"> </w:t>
            </w:r>
            <w:r>
              <w:t xml:space="preserve">mitigate </w:t>
            </w:r>
            <w:r w:rsidRPr="003459F9">
              <w:t>danger to the load by heating or ignition. [The design shall consider the need for facilitation of intervention by emergency services to mitigate effects of a thermal propagation.]”</w:t>
            </w:r>
          </w:p>
        </w:tc>
        <w:tc>
          <w:tcPr>
            <w:tcW w:w="2835" w:type="dxa"/>
            <w:shd w:val="clear" w:color="auto" w:fill="auto"/>
          </w:tcPr>
          <w:p w14:paraId="0B099C6D" w14:textId="77777777" w:rsidR="00A04145" w:rsidRPr="00277316" w:rsidRDefault="00A04145" w:rsidP="00277316">
            <w:pPr>
              <w:spacing w:before="40" w:after="120"/>
              <w:ind w:right="113"/>
              <w:rPr>
                <w:lang w:val="en-US"/>
              </w:rPr>
            </w:pPr>
            <w:r w:rsidRPr="00277316">
              <w:rPr>
                <w:lang w:val="en-US"/>
              </w:rPr>
              <w:t xml:space="preserve">It is proposed to replace “prevent” by “mitigate” which is a more appropriate in combination with “danger”. </w:t>
            </w:r>
          </w:p>
          <w:p w14:paraId="0761284C" w14:textId="0AC2A604" w:rsidR="00092D98" w:rsidRPr="00092D98" w:rsidRDefault="00A04145" w:rsidP="00830469">
            <w:pPr>
              <w:spacing w:before="40" w:after="120"/>
              <w:ind w:right="113"/>
            </w:pPr>
            <w:r w:rsidRPr="003459F9">
              <w:t>The intention of the text in square brackets was to design a vehicle in such a way to make it possible for emergency services to intervene in a fire extended outside the REESS. However, when a fire moved from the REES</w:t>
            </w:r>
            <w:r>
              <w:t>S</w:t>
            </w:r>
            <w:r w:rsidRPr="003459F9">
              <w:t xml:space="preserve"> to the whole vehicle the plan of attack of emergency services would not differ between an ICE truck or Electric one</w:t>
            </w:r>
            <w:r>
              <w:t xml:space="preserve">, it will from a safe distance. </w:t>
            </w:r>
            <w:r w:rsidRPr="003459F9">
              <w:t>It was therefore deemed unnecessary for the vehicle to be designed in such a way as to allow for this intervention. It is also expected that fire brigades will develop techniques to intervene regardless of the design.</w:t>
            </w:r>
            <w:r w:rsidRPr="003459F9">
              <w:br/>
              <w:t>It is proposed to delete the sentence in square brackets.</w:t>
            </w:r>
          </w:p>
        </w:tc>
      </w:tr>
      <w:tr w:rsidR="00092D98" w:rsidRPr="00092D98" w14:paraId="042F6A63" w14:textId="77777777" w:rsidTr="00182C5D">
        <w:tc>
          <w:tcPr>
            <w:tcW w:w="2834" w:type="dxa"/>
            <w:shd w:val="clear" w:color="auto" w:fill="auto"/>
          </w:tcPr>
          <w:p w14:paraId="61C07B0B" w14:textId="5EBD7CB1" w:rsidR="00092D98" w:rsidRPr="00092D98" w:rsidRDefault="00F54DE0" w:rsidP="00830469">
            <w:pPr>
              <w:spacing w:before="40" w:after="120"/>
              <w:ind w:right="113"/>
            </w:pPr>
            <w:r w:rsidRPr="003459F9">
              <w:t>9.2.4.5.2</w:t>
            </w:r>
          </w:p>
        </w:tc>
        <w:tc>
          <w:tcPr>
            <w:tcW w:w="2835" w:type="dxa"/>
            <w:shd w:val="clear" w:color="auto" w:fill="auto"/>
          </w:tcPr>
          <w:p w14:paraId="303D5174" w14:textId="5659113A" w:rsidR="00092D98" w:rsidRPr="00092D98" w:rsidRDefault="00F54DE0" w:rsidP="00830469">
            <w:pPr>
              <w:spacing w:before="40" w:after="120"/>
              <w:ind w:right="113"/>
            </w:pPr>
            <w:r w:rsidRPr="003459F9">
              <w:rPr>
                <w:lang w:val="en-US"/>
              </w:rPr>
              <w:t>Hydrogen fuel cell vehicles shall comply with UN Regulation No. 134</w:t>
            </w:r>
            <w:r w:rsidRPr="003459F9">
              <w:rPr>
                <w:vertAlign w:val="superscript"/>
                <w:lang w:val="en-US"/>
              </w:rPr>
              <w:t>9</w:t>
            </w:r>
            <w:r w:rsidRPr="003459F9">
              <w:rPr>
                <w:lang w:val="en-US"/>
              </w:rPr>
              <w:t>, as amended at least by the 02 series of amendments. For vehicles using liquid hydrogen the technical requirements of the [Global Technical Regulation No.13</w:t>
            </w:r>
            <w:r w:rsidRPr="003459F9">
              <w:rPr>
                <w:vertAlign w:val="superscript"/>
                <w:lang w:val="en-US"/>
              </w:rPr>
              <w:t>10</w:t>
            </w:r>
            <w:r w:rsidRPr="003459F9">
              <w:rPr>
                <w:lang w:val="en-US"/>
              </w:rPr>
              <w:t>, Phase 2] applies.</w:t>
            </w:r>
          </w:p>
        </w:tc>
        <w:tc>
          <w:tcPr>
            <w:tcW w:w="2835" w:type="dxa"/>
            <w:shd w:val="clear" w:color="auto" w:fill="auto"/>
          </w:tcPr>
          <w:p w14:paraId="3B6A9DAB" w14:textId="0FCF732A" w:rsidR="00092D98" w:rsidRPr="00092D98" w:rsidRDefault="00F54DE0" w:rsidP="00830469">
            <w:pPr>
              <w:spacing w:before="40" w:after="120"/>
              <w:ind w:right="113"/>
            </w:pPr>
            <w:r w:rsidRPr="003459F9">
              <w:rPr>
                <w:lang w:val="en-US"/>
              </w:rPr>
              <w:t>After checking the proper reference would be “</w:t>
            </w:r>
            <w:r w:rsidRPr="003459F9">
              <w:rPr>
                <w:i/>
                <w:iCs/>
                <w:lang w:val="en-US"/>
              </w:rPr>
              <w:t>Global Technical Regulation 13 Amendment 1</w:t>
            </w:r>
            <w:r w:rsidRPr="003459F9">
              <w:rPr>
                <w:lang w:val="en-US"/>
              </w:rPr>
              <w:t>”.  It is proposed to amend the wording and delete the square brackets.</w:t>
            </w:r>
          </w:p>
        </w:tc>
      </w:tr>
      <w:tr w:rsidR="00092D98" w:rsidRPr="00092D98" w14:paraId="147B4282" w14:textId="77777777" w:rsidTr="00182C5D">
        <w:tc>
          <w:tcPr>
            <w:tcW w:w="2834" w:type="dxa"/>
            <w:shd w:val="clear" w:color="auto" w:fill="auto"/>
          </w:tcPr>
          <w:p w14:paraId="2A111376" w14:textId="2996E527" w:rsidR="00092D98" w:rsidRPr="00092D98" w:rsidRDefault="00F54DE0" w:rsidP="00830469">
            <w:pPr>
              <w:spacing w:before="40" w:after="120"/>
              <w:ind w:right="113"/>
            </w:pPr>
            <w:r w:rsidRPr="003459F9">
              <w:lastRenderedPageBreak/>
              <w:t>9.2.4.5.3</w:t>
            </w:r>
          </w:p>
        </w:tc>
        <w:tc>
          <w:tcPr>
            <w:tcW w:w="2835" w:type="dxa"/>
            <w:shd w:val="clear" w:color="auto" w:fill="auto"/>
          </w:tcPr>
          <w:p w14:paraId="6C2451E2" w14:textId="3E8F68BF" w:rsidR="00092D98" w:rsidRPr="00092D98" w:rsidRDefault="00F54DE0" w:rsidP="00830469">
            <w:pPr>
              <w:spacing w:before="40" w:after="120"/>
              <w:ind w:right="113"/>
            </w:pPr>
            <w:r w:rsidRPr="003459F9">
              <w:t>(b)</w:t>
            </w:r>
            <w:r w:rsidRPr="003459F9">
              <w:tab/>
              <w:t>at a deceleration of [3.25 m·s</w:t>
            </w:r>
            <w:r w:rsidRPr="003459F9">
              <w:rPr>
                <w:vertAlign w:val="superscript"/>
              </w:rPr>
              <w:t>-2</w:t>
            </w:r>
            <w:r w:rsidRPr="003459F9">
              <w:t xml:space="preserve"> for 0.7 s];</w:t>
            </w:r>
          </w:p>
        </w:tc>
        <w:tc>
          <w:tcPr>
            <w:tcW w:w="2835" w:type="dxa"/>
            <w:shd w:val="clear" w:color="auto" w:fill="auto"/>
          </w:tcPr>
          <w:p w14:paraId="486637E6" w14:textId="7F7E8AED" w:rsidR="00092D98" w:rsidRPr="00092D98" w:rsidRDefault="00F54DE0" w:rsidP="00830469">
            <w:pPr>
              <w:spacing w:before="40" w:after="120"/>
              <w:ind w:right="113"/>
            </w:pPr>
            <w:r w:rsidRPr="003459F9">
              <w:rPr>
                <w:lang w:val="en-US"/>
              </w:rPr>
              <w:t>The value is correct (see GRSG-126-02r1.pdf paragraph 5.3.1.1). It is proposed to delete the square brackets.</w:t>
            </w:r>
          </w:p>
        </w:tc>
      </w:tr>
      <w:tr w:rsidR="00092D98" w:rsidRPr="00092D98" w14:paraId="40EB4373" w14:textId="77777777" w:rsidTr="00182C5D">
        <w:tc>
          <w:tcPr>
            <w:tcW w:w="2834" w:type="dxa"/>
            <w:shd w:val="clear" w:color="auto" w:fill="auto"/>
          </w:tcPr>
          <w:p w14:paraId="57B3216F" w14:textId="581886BC" w:rsidR="00092D98" w:rsidRPr="00092D98" w:rsidRDefault="00F54DE0" w:rsidP="00830469">
            <w:pPr>
              <w:spacing w:before="40" w:after="120"/>
              <w:ind w:right="113"/>
            </w:pPr>
            <w:r w:rsidRPr="003459F9">
              <w:t>9.2.4</w:t>
            </w:r>
          </w:p>
        </w:tc>
        <w:tc>
          <w:tcPr>
            <w:tcW w:w="2835" w:type="dxa"/>
            <w:shd w:val="clear" w:color="auto" w:fill="auto"/>
          </w:tcPr>
          <w:p w14:paraId="0E167F9C" w14:textId="43DA5EFB" w:rsidR="00092D98" w:rsidRPr="00092D98" w:rsidRDefault="00F54DE0" w:rsidP="00830469">
            <w:pPr>
              <w:spacing w:before="40" w:after="120"/>
              <w:ind w:right="113"/>
            </w:pPr>
            <w:r w:rsidRPr="003459F9">
              <w:t>[After “LNG”, add “and liquid hydrogen”.]</w:t>
            </w:r>
          </w:p>
        </w:tc>
        <w:tc>
          <w:tcPr>
            <w:tcW w:w="2835" w:type="dxa"/>
            <w:shd w:val="clear" w:color="auto" w:fill="auto"/>
          </w:tcPr>
          <w:p w14:paraId="102A46D0" w14:textId="26E1E1AB" w:rsidR="00092D98" w:rsidRPr="00092D98" w:rsidRDefault="00F54DE0" w:rsidP="00830469">
            <w:pPr>
              <w:spacing w:before="40" w:after="120"/>
              <w:ind w:right="113"/>
            </w:pPr>
            <w:r w:rsidRPr="003459F9">
              <w:rPr>
                <w:lang w:val="en-US"/>
              </w:rPr>
              <w:t>Liquefied gas can be very cold and effect the load tank. LNG and liquid hydrogen will behave in the same way. It is proposed to add “and liquid hydrogen” and delete the square brackets.</w:t>
            </w:r>
          </w:p>
        </w:tc>
      </w:tr>
    </w:tbl>
    <w:p w14:paraId="5A3C60C5" w14:textId="1F63F186" w:rsidR="00CE5EF1" w:rsidRPr="00561B9D" w:rsidRDefault="005309FB" w:rsidP="00561B9D">
      <w:pPr>
        <w:pStyle w:val="SingleTxtG"/>
        <w:spacing w:before="120"/>
        <w:rPr>
          <w:u w:val="single"/>
        </w:rPr>
      </w:pPr>
      <w:r w:rsidRPr="00561B9D">
        <w:t>6.</w:t>
      </w:r>
      <w:r w:rsidRPr="00561B9D">
        <w:tab/>
      </w:r>
      <w:r w:rsidR="00CE5EF1" w:rsidRPr="00561B9D">
        <w:rPr>
          <w:u w:val="single"/>
        </w:rPr>
        <w:t>Section 2</w:t>
      </w:r>
      <w:r w:rsidR="00561B9D">
        <w:rPr>
          <w:u w:val="single"/>
        </w:rPr>
        <w:t xml:space="preserve">: </w:t>
      </w:r>
      <w:r w:rsidR="00CE5EF1" w:rsidRPr="00561B9D">
        <w:rPr>
          <w:u w:val="single"/>
        </w:rPr>
        <w:t>Consequential amendments</w:t>
      </w:r>
    </w:p>
    <w:p w14:paraId="59594BD8" w14:textId="77777777" w:rsidR="00CE5EF1" w:rsidRPr="003459F9" w:rsidRDefault="00CE5EF1" w:rsidP="00CE5EF1">
      <w:pPr>
        <w:pStyle w:val="SingleTxtG"/>
        <w:tabs>
          <w:tab w:val="clear" w:pos="2268"/>
        </w:tabs>
        <w:ind w:left="2268" w:hanging="1134"/>
      </w:pPr>
      <w:r w:rsidRPr="003459F9">
        <w:rPr>
          <w:b/>
          <w:bCs/>
          <w:lang w:val="en-US"/>
        </w:rPr>
        <w:t>Chapter 9.2</w:t>
      </w:r>
    </w:p>
    <w:p w14:paraId="51BF74FC" w14:textId="77777777" w:rsidR="00CE5EF1" w:rsidRPr="003459F9" w:rsidRDefault="00CE5EF1" w:rsidP="00CE5EF1">
      <w:pPr>
        <w:pStyle w:val="SingleTxtG"/>
        <w:tabs>
          <w:tab w:val="clear" w:pos="2268"/>
        </w:tabs>
        <w:ind w:left="2268" w:hanging="1134"/>
      </w:pPr>
      <w:r w:rsidRPr="003459F9">
        <w:t>9.2.5.1            (current 9.2.4.8.1) Replace 9.2.4.8.2 to 9.2.4.8.6" by "9.2.5.2 to 9.2.5.6".</w:t>
      </w:r>
    </w:p>
    <w:p w14:paraId="38F7C762" w14:textId="77777777" w:rsidR="00CE5EF1" w:rsidRPr="003459F9" w:rsidRDefault="00CE5EF1" w:rsidP="00CE5EF1">
      <w:pPr>
        <w:pStyle w:val="SingleTxtG"/>
        <w:tabs>
          <w:tab w:val="clear" w:pos="2268"/>
        </w:tabs>
        <w:ind w:left="2268" w:hanging="1134"/>
        <w:rPr>
          <w:lang w:eastAsia="nl-NL"/>
        </w:rPr>
      </w:pPr>
      <w:r w:rsidRPr="003459F9">
        <w:t>9.2.5.2            (current 9.2.4.8.2) Replace "9.2.4.3 and 9.2.4.5" by "9.2.4.2 and 9.2.4.3.2".</w:t>
      </w:r>
    </w:p>
    <w:p w14:paraId="14A8BA4B" w14:textId="77777777" w:rsidR="00CE5EF1" w:rsidRPr="003459F9" w:rsidRDefault="00CE5EF1" w:rsidP="00CE5EF1">
      <w:pPr>
        <w:pStyle w:val="SingleTxtG"/>
        <w:tabs>
          <w:tab w:val="clear" w:pos="2268"/>
        </w:tabs>
        <w:ind w:left="2268" w:hanging="1134"/>
        <w:rPr>
          <w:lang w:val="en-US"/>
        </w:rPr>
      </w:pPr>
      <w:r w:rsidRPr="003459F9">
        <w:rPr>
          <w:lang w:val="en-US"/>
        </w:rPr>
        <w:t>9.2.5.4            (current 9.2.4.8.4) In the first sentence, replace "9.2.4.8.3 (b) and (c)" by: "9.2.5.3 (b) and (c)".</w:t>
      </w:r>
    </w:p>
    <w:p w14:paraId="27FF91DC" w14:textId="77777777" w:rsidR="00CE5EF1" w:rsidRPr="003459F9" w:rsidRDefault="00CE5EF1" w:rsidP="00CE5EF1">
      <w:pPr>
        <w:pStyle w:val="SingleTxtG"/>
        <w:tabs>
          <w:tab w:val="clear" w:pos="1701"/>
          <w:tab w:val="clear" w:pos="2268"/>
        </w:tabs>
        <w:ind w:left="2268" w:hanging="1134"/>
        <w:rPr>
          <w:b/>
          <w:bCs/>
          <w:lang w:val="en-US"/>
        </w:rPr>
      </w:pPr>
      <w:r w:rsidRPr="003459F9">
        <w:rPr>
          <w:b/>
          <w:bCs/>
          <w:lang w:val="en-US"/>
        </w:rPr>
        <w:t>Chapter 9.3</w:t>
      </w:r>
    </w:p>
    <w:p w14:paraId="128B6AC2" w14:textId="77777777" w:rsidR="00CE5EF1" w:rsidRPr="003459F9" w:rsidRDefault="00CE5EF1" w:rsidP="00CE5EF1">
      <w:pPr>
        <w:pStyle w:val="SingleTxtG"/>
        <w:tabs>
          <w:tab w:val="clear" w:pos="1701"/>
          <w:tab w:val="clear" w:pos="2268"/>
        </w:tabs>
        <w:ind w:left="2268" w:hanging="1134"/>
        <w:rPr>
          <w:lang w:val="en-US" w:eastAsia="nl-NL"/>
        </w:rPr>
      </w:pPr>
      <w:r w:rsidRPr="003459F9">
        <w:rPr>
          <w:lang w:val="en-US"/>
        </w:rPr>
        <w:t>9.3.2.2            Replace "9.2.4.8.1, 9.2.4.8.2, 9.2.4.8.5 and 9.2.4.8.6" by: "9.2.5.1, 9.2.5.2, 9.2.5.5 and 9.2.5.6".</w:t>
      </w:r>
    </w:p>
    <w:p w14:paraId="098B530C" w14:textId="77777777" w:rsidR="00CE5EF1" w:rsidRPr="003459F9" w:rsidRDefault="00CE5EF1" w:rsidP="00CE5EF1">
      <w:pPr>
        <w:pStyle w:val="SingleTxtG"/>
        <w:tabs>
          <w:tab w:val="clear" w:pos="1701"/>
          <w:tab w:val="clear" w:pos="2268"/>
        </w:tabs>
        <w:ind w:left="2268" w:hanging="1134"/>
        <w:rPr>
          <w:b/>
          <w:bCs/>
          <w:lang w:val="en-US"/>
        </w:rPr>
      </w:pPr>
      <w:r w:rsidRPr="003459F9">
        <w:rPr>
          <w:b/>
          <w:bCs/>
          <w:lang w:val="en-US"/>
        </w:rPr>
        <w:t>Chapter 9.7</w:t>
      </w:r>
    </w:p>
    <w:p w14:paraId="40FD9A2C" w14:textId="77777777" w:rsidR="00CE5EF1" w:rsidRPr="003459F9" w:rsidRDefault="00CE5EF1" w:rsidP="00CE5EF1">
      <w:pPr>
        <w:pStyle w:val="SingleTxtG"/>
        <w:tabs>
          <w:tab w:val="clear" w:pos="1701"/>
          <w:tab w:val="clear" w:pos="2268"/>
        </w:tabs>
        <w:ind w:left="2268" w:hanging="1134"/>
        <w:rPr>
          <w:lang w:val="en-US"/>
        </w:rPr>
      </w:pPr>
      <w:r w:rsidRPr="003459F9">
        <w:rPr>
          <w:lang w:val="en-US"/>
        </w:rPr>
        <w:t>9.7.7.1            In the first paragraph, replace "9.2.4.8.1, 9.2.4.8.2, 9.2.4.8.5" by: "9.2.5.1, 9.2.5.2, 9.2.5.5".</w:t>
      </w:r>
    </w:p>
    <w:p w14:paraId="5C106745" w14:textId="77777777" w:rsidR="00CE5EF1" w:rsidRPr="003459F9" w:rsidRDefault="00CE5EF1" w:rsidP="00CE5EF1">
      <w:pPr>
        <w:pStyle w:val="SingleTxtG"/>
        <w:tabs>
          <w:tab w:val="clear" w:pos="1701"/>
          <w:tab w:val="clear" w:pos="2268"/>
        </w:tabs>
        <w:ind w:left="2268"/>
        <w:rPr>
          <w:lang w:val="en-US"/>
        </w:rPr>
      </w:pPr>
      <w:r w:rsidRPr="003459F9">
        <w:rPr>
          <w:lang w:val="en-US"/>
        </w:rPr>
        <w:t>In the second paragraph, replace "9.2.4.8.3 and 9.2.4.8.4" by: "9.2.5.3 and 9.2.5.4".</w:t>
      </w:r>
    </w:p>
    <w:p w14:paraId="7C56A15F" w14:textId="77777777" w:rsidR="00CE5EF1" w:rsidRPr="003459F9" w:rsidRDefault="00CE5EF1" w:rsidP="00CE5EF1">
      <w:pPr>
        <w:pStyle w:val="SingleTxtG"/>
        <w:tabs>
          <w:tab w:val="clear" w:pos="1701"/>
          <w:tab w:val="clear" w:pos="2268"/>
        </w:tabs>
        <w:ind w:left="2268" w:hanging="1134"/>
        <w:rPr>
          <w:b/>
          <w:bCs/>
          <w:lang w:val="en-US"/>
        </w:rPr>
      </w:pPr>
      <w:r w:rsidRPr="003459F9">
        <w:rPr>
          <w:b/>
          <w:bCs/>
          <w:lang w:val="en-US"/>
        </w:rPr>
        <w:t>Chapter 9.8</w:t>
      </w:r>
    </w:p>
    <w:p w14:paraId="58857A7F" w14:textId="2279BB84" w:rsidR="00C05324" w:rsidRDefault="00CE5EF1" w:rsidP="00CE5EF1">
      <w:pPr>
        <w:pStyle w:val="SingleTxtG"/>
        <w:rPr>
          <w:lang w:val="en-US"/>
        </w:rPr>
      </w:pPr>
      <w:r w:rsidRPr="003459F9">
        <w:rPr>
          <w:lang w:val="en-US"/>
        </w:rPr>
        <w:t>9.8.6.1            Replace "9.2.4.8.1, 9.2.4.8.2, 9.2.4.8.5, 9.2.4.8.6" by: "9.2.5.1, 9.2.5.2, 9.2.5.5, 9.2.5.6".</w:t>
      </w:r>
    </w:p>
    <w:p w14:paraId="2B72EF3D" w14:textId="7350C96E" w:rsidR="00CE5EF1" w:rsidRPr="00CE5EF1" w:rsidRDefault="00CE5EF1" w:rsidP="00CE5EF1">
      <w:pPr>
        <w:spacing w:before="240"/>
        <w:jc w:val="center"/>
        <w:rPr>
          <w:u w:val="single"/>
        </w:rPr>
      </w:pPr>
      <w:r>
        <w:rPr>
          <w:u w:val="single"/>
        </w:rPr>
        <w:tab/>
      </w:r>
      <w:r>
        <w:rPr>
          <w:u w:val="single"/>
        </w:rPr>
        <w:tab/>
      </w:r>
      <w:r>
        <w:rPr>
          <w:u w:val="single"/>
        </w:rPr>
        <w:tab/>
      </w:r>
    </w:p>
    <w:sectPr w:rsidR="00CE5EF1" w:rsidRPr="00CE5EF1" w:rsidSect="00B73214">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CFD7A" w14:textId="77777777" w:rsidR="00D0220E" w:rsidRDefault="00D0220E"/>
  </w:endnote>
  <w:endnote w:type="continuationSeparator" w:id="0">
    <w:p w14:paraId="4DB30D4E" w14:textId="77777777" w:rsidR="00D0220E" w:rsidRDefault="00D0220E"/>
  </w:endnote>
  <w:endnote w:type="continuationNotice" w:id="1">
    <w:p w14:paraId="7E5153E0" w14:textId="77777777" w:rsidR="00D0220E" w:rsidRDefault="00D02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DC77" w14:textId="2AAC928C" w:rsidR="00B73214" w:rsidRPr="00B73214" w:rsidRDefault="00B73214" w:rsidP="00B73214">
    <w:pPr>
      <w:pStyle w:val="Footer"/>
      <w:tabs>
        <w:tab w:val="right" w:pos="9638"/>
      </w:tabs>
      <w:rPr>
        <w:sz w:val="18"/>
      </w:rPr>
    </w:pPr>
    <w:r w:rsidRPr="00B73214">
      <w:rPr>
        <w:b/>
        <w:sz w:val="18"/>
      </w:rPr>
      <w:fldChar w:fldCharType="begin"/>
    </w:r>
    <w:r w:rsidRPr="00B73214">
      <w:rPr>
        <w:b/>
        <w:sz w:val="18"/>
      </w:rPr>
      <w:instrText xml:space="preserve"> PAGE  \* MERGEFORMAT </w:instrText>
    </w:r>
    <w:r w:rsidRPr="00B73214">
      <w:rPr>
        <w:b/>
        <w:sz w:val="18"/>
      </w:rPr>
      <w:fldChar w:fldCharType="separate"/>
    </w:r>
    <w:r w:rsidRPr="00B73214">
      <w:rPr>
        <w:b/>
        <w:noProof/>
        <w:sz w:val="18"/>
      </w:rPr>
      <w:t>2</w:t>
    </w:r>
    <w:r w:rsidRPr="00B7321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3F5A" w14:textId="77772AE8" w:rsidR="00B73214" w:rsidRPr="00B73214" w:rsidRDefault="00B73214" w:rsidP="00B73214">
    <w:pPr>
      <w:pStyle w:val="Footer"/>
      <w:tabs>
        <w:tab w:val="right" w:pos="9638"/>
      </w:tabs>
      <w:rPr>
        <w:b/>
        <w:sz w:val="18"/>
      </w:rPr>
    </w:pPr>
    <w:r>
      <w:tab/>
    </w:r>
    <w:r w:rsidRPr="00B73214">
      <w:rPr>
        <w:b/>
        <w:sz w:val="18"/>
      </w:rPr>
      <w:fldChar w:fldCharType="begin"/>
    </w:r>
    <w:r w:rsidRPr="00B73214">
      <w:rPr>
        <w:b/>
        <w:sz w:val="18"/>
      </w:rPr>
      <w:instrText xml:space="preserve"> PAGE  \* MERGEFORMAT </w:instrText>
    </w:r>
    <w:r w:rsidRPr="00B73214">
      <w:rPr>
        <w:b/>
        <w:sz w:val="18"/>
      </w:rPr>
      <w:fldChar w:fldCharType="separate"/>
    </w:r>
    <w:r w:rsidRPr="00B73214">
      <w:rPr>
        <w:b/>
        <w:noProof/>
        <w:sz w:val="18"/>
      </w:rPr>
      <w:t>3</w:t>
    </w:r>
    <w:r w:rsidRPr="00B732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4AA7" w14:textId="0F86750E" w:rsidR="002616F8" w:rsidRDefault="002616F8" w:rsidP="002616F8">
    <w:pPr>
      <w:pStyle w:val="Footer"/>
    </w:pPr>
    <w:r w:rsidRPr="0027112F">
      <w:rPr>
        <w:noProof/>
        <w:lang w:val="en-US"/>
      </w:rPr>
      <w:drawing>
        <wp:anchor distT="0" distB="0" distL="114300" distR="114300" simplePos="0" relativeHeight="251659264" behindDoc="0" locked="1" layoutInCell="1" allowOverlap="1" wp14:anchorId="6A072A3B" wp14:editId="2FEC18F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4454BD7" w14:textId="60E43979" w:rsidR="002616F8" w:rsidRPr="002616F8" w:rsidRDefault="002616F8" w:rsidP="002616F8">
    <w:pPr>
      <w:pStyle w:val="Footer"/>
      <w:ind w:right="1134"/>
      <w:rPr>
        <w:sz w:val="20"/>
      </w:rPr>
    </w:pPr>
    <w:r>
      <w:rPr>
        <w:sz w:val="20"/>
      </w:rPr>
      <w:t>GE.24-00634(E)</w:t>
    </w:r>
    <w:r>
      <w:rPr>
        <w:noProof/>
        <w:sz w:val="20"/>
      </w:rPr>
      <w:drawing>
        <wp:anchor distT="0" distB="0" distL="114300" distR="114300" simplePos="0" relativeHeight="251660288" behindDoc="0" locked="0" layoutInCell="1" allowOverlap="1" wp14:anchorId="128F57C2" wp14:editId="1F97C51E">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9621" w14:textId="77777777" w:rsidR="00D0220E" w:rsidRPr="000B175B" w:rsidRDefault="00D0220E" w:rsidP="000B175B">
      <w:pPr>
        <w:tabs>
          <w:tab w:val="right" w:pos="2155"/>
        </w:tabs>
        <w:spacing w:after="80"/>
        <w:ind w:left="680"/>
        <w:rPr>
          <w:u w:val="single"/>
        </w:rPr>
      </w:pPr>
      <w:r>
        <w:rPr>
          <w:u w:val="single"/>
        </w:rPr>
        <w:tab/>
      </w:r>
    </w:p>
  </w:footnote>
  <w:footnote w:type="continuationSeparator" w:id="0">
    <w:p w14:paraId="7A4AF135" w14:textId="77777777" w:rsidR="00D0220E" w:rsidRPr="00FC68B7" w:rsidRDefault="00D0220E" w:rsidP="00FC68B7">
      <w:pPr>
        <w:tabs>
          <w:tab w:val="left" w:pos="2155"/>
        </w:tabs>
        <w:spacing w:after="80"/>
        <w:ind w:left="680"/>
        <w:rPr>
          <w:u w:val="single"/>
        </w:rPr>
      </w:pPr>
      <w:r>
        <w:rPr>
          <w:u w:val="single"/>
        </w:rPr>
        <w:tab/>
      </w:r>
    </w:p>
  </w:footnote>
  <w:footnote w:type="continuationNotice" w:id="1">
    <w:p w14:paraId="36EAAD51" w14:textId="77777777" w:rsidR="00D0220E" w:rsidRDefault="00D0220E"/>
  </w:footnote>
  <w:footnote w:id="2">
    <w:p w14:paraId="331B7020" w14:textId="29134B06" w:rsidR="00CE5EF1" w:rsidRPr="00763EB1" w:rsidRDefault="00CE5EF1" w:rsidP="00CE5EF1">
      <w:pPr>
        <w:pStyle w:val="FootnoteText"/>
        <w:rPr>
          <w:lang w:val="fr-CH"/>
        </w:rPr>
      </w:pPr>
      <w:r>
        <w:rPr>
          <w:rStyle w:val="FootnoteReference"/>
        </w:rPr>
        <w:tab/>
      </w:r>
      <w:r w:rsidRPr="00841BF7">
        <w:rPr>
          <w:rStyle w:val="FootnoteReference"/>
          <w:b/>
          <w:sz w:val="20"/>
        </w:rPr>
        <w:t>*</w:t>
      </w:r>
      <w:r>
        <w:rPr>
          <w:rStyle w:val="FootnoteReference"/>
          <w:sz w:val="20"/>
          <w:vertAlign w:val="baseline"/>
        </w:rPr>
        <w:tab/>
      </w:r>
      <w:r>
        <w:rPr>
          <w:rStyle w:val="FootnoteReference"/>
          <w:sz w:val="20"/>
          <w:vertAlign w:val="baseline"/>
        </w:rPr>
        <w:tab/>
      </w:r>
      <w:r w:rsidR="00B92A90" w:rsidRPr="000D104F">
        <w:t>A/78/6 (Sect. 20), table 20.5</w:t>
      </w:r>
      <w:r w:rsidR="00B92A9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5831" w14:textId="4557F804" w:rsidR="00B73214" w:rsidRPr="00B73214" w:rsidRDefault="00B73214">
    <w:pPr>
      <w:pStyle w:val="Header"/>
    </w:pPr>
    <w:r>
      <w:t>ECE/TRANS/WP.15/2024/8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A698" w14:textId="5850C3C6" w:rsidR="00B73214" w:rsidRPr="00B73214" w:rsidRDefault="00B73214" w:rsidP="00B73214">
    <w:pPr>
      <w:pStyle w:val="Header"/>
      <w:jc w:val="right"/>
    </w:pPr>
    <w:r>
      <w:t>ECE/TRANS/WP.15/2024/8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80E35C3"/>
    <w:multiLevelType w:val="hybridMultilevel"/>
    <w:tmpl w:val="FB08E95C"/>
    <w:lvl w:ilvl="0" w:tplc="4E465122">
      <w:start w:val="1"/>
      <w:numFmt w:val="upperRoman"/>
      <w:lvlText w:val="%1."/>
      <w:lvlJc w:val="left"/>
      <w:pPr>
        <w:ind w:left="1210" w:hanging="85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51DC3D9A"/>
    <w:multiLevelType w:val="hybridMultilevel"/>
    <w:tmpl w:val="D98EC144"/>
    <w:lvl w:ilvl="0" w:tplc="24563BF6">
      <w:start w:val="1"/>
      <w:numFmt w:val="decimal"/>
      <w:lvlText w:val="%1."/>
      <w:lvlJc w:val="left"/>
      <w:pPr>
        <w:ind w:left="1705"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7D0DB1"/>
    <w:multiLevelType w:val="hybridMultilevel"/>
    <w:tmpl w:val="55F28AC4"/>
    <w:lvl w:ilvl="0" w:tplc="4516EA48">
      <w:start w:val="1"/>
      <w:numFmt w:val="upperRoman"/>
      <w:lvlText w:val="%1."/>
      <w:lvlJc w:val="left"/>
      <w:pPr>
        <w:ind w:left="1004" w:hanging="72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60723530">
    <w:abstractNumId w:val="1"/>
  </w:num>
  <w:num w:numId="2" w16cid:durableId="1762022865">
    <w:abstractNumId w:val="0"/>
  </w:num>
  <w:num w:numId="3" w16cid:durableId="511066941">
    <w:abstractNumId w:val="2"/>
  </w:num>
  <w:num w:numId="4" w16cid:durableId="1236167477">
    <w:abstractNumId w:val="3"/>
  </w:num>
  <w:num w:numId="5" w16cid:durableId="1404839699">
    <w:abstractNumId w:val="8"/>
  </w:num>
  <w:num w:numId="6" w16cid:durableId="1055350964">
    <w:abstractNumId w:val="9"/>
  </w:num>
  <w:num w:numId="7" w16cid:durableId="489836712">
    <w:abstractNumId w:val="7"/>
  </w:num>
  <w:num w:numId="8" w16cid:durableId="1742366222">
    <w:abstractNumId w:val="6"/>
  </w:num>
  <w:num w:numId="9" w16cid:durableId="338507710">
    <w:abstractNumId w:val="5"/>
  </w:num>
  <w:num w:numId="10" w16cid:durableId="754866145">
    <w:abstractNumId w:val="4"/>
  </w:num>
  <w:num w:numId="11" w16cid:durableId="1531647868">
    <w:abstractNumId w:val="15"/>
  </w:num>
  <w:num w:numId="12" w16cid:durableId="1456563497">
    <w:abstractNumId w:val="14"/>
  </w:num>
  <w:num w:numId="13" w16cid:durableId="1261598445">
    <w:abstractNumId w:val="10"/>
  </w:num>
  <w:num w:numId="14" w16cid:durableId="931429247">
    <w:abstractNumId w:val="12"/>
  </w:num>
  <w:num w:numId="15" w16cid:durableId="911162339">
    <w:abstractNumId w:val="16"/>
  </w:num>
  <w:num w:numId="16" w16cid:durableId="1523935081">
    <w:abstractNumId w:val="13"/>
  </w:num>
  <w:num w:numId="17" w16cid:durableId="982856061">
    <w:abstractNumId w:val="19"/>
  </w:num>
  <w:num w:numId="18" w16cid:durableId="438061212">
    <w:abstractNumId w:val="21"/>
  </w:num>
  <w:num w:numId="19" w16cid:durableId="811941432">
    <w:abstractNumId w:val="11"/>
  </w:num>
  <w:num w:numId="20" w16cid:durableId="1281760332">
    <w:abstractNumId w:val="11"/>
  </w:num>
  <w:num w:numId="21" w16cid:durableId="1530610179">
    <w:abstractNumId w:val="18"/>
  </w:num>
  <w:num w:numId="22" w16cid:durableId="1839299412">
    <w:abstractNumId w:val="20"/>
  </w:num>
  <w:num w:numId="23" w16cid:durableId="195494194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14"/>
    <w:rsid w:val="00002A7D"/>
    <w:rsid w:val="000038A8"/>
    <w:rsid w:val="00006790"/>
    <w:rsid w:val="0001221F"/>
    <w:rsid w:val="00021D5F"/>
    <w:rsid w:val="00027624"/>
    <w:rsid w:val="00027FC5"/>
    <w:rsid w:val="00036D27"/>
    <w:rsid w:val="00050F6B"/>
    <w:rsid w:val="000678CD"/>
    <w:rsid w:val="0006790B"/>
    <w:rsid w:val="00072C8C"/>
    <w:rsid w:val="00081CE0"/>
    <w:rsid w:val="00084D30"/>
    <w:rsid w:val="00090320"/>
    <w:rsid w:val="00092D98"/>
    <w:rsid w:val="000931C0"/>
    <w:rsid w:val="0009732C"/>
    <w:rsid w:val="000A01F9"/>
    <w:rsid w:val="000A2E09"/>
    <w:rsid w:val="000A67BE"/>
    <w:rsid w:val="000B175B"/>
    <w:rsid w:val="000B3A0F"/>
    <w:rsid w:val="000C11BF"/>
    <w:rsid w:val="000C7480"/>
    <w:rsid w:val="000E0415"/>
    <w:rsid w:val="000E6350"/>
    <w:rsid w:val="000F7715"/>
    <w:rsid w:val="00134386"/>
    <w:rsid w:val="00145DA0"/>
    <w:rsid w:val="00153D8A"/>
    <w:rsid w:val="00156B99"/>
    <w:rsid w:val="00166124"/>
    <w:rsid w:val="00182C5D"/>
    <w:rsid w:val="00184DDA"/>
    <w:rsid w:val="001900CD"/>
    <w:rsid w:val="001A0452"/>
    <w:rsid w:val="001B4B04"/>
    <w:rsid w:val="001B5875"/>
    <w:rsid w:val="001C4B9C"/>
    <w:rsid w:val="001C6663"/>
    <w:rsid w:val="001C7895"/>
    <w:rsid w:val="001D26DF"/>
    <w:rsid w:val="001E555D"/>
    <w:rsid w:val="001F1599"/>
    <w:rsid w:val="001F19C4"/>
    <w:rsid w:val="002043F0"/>
    <w:rsid w:val="00211E0B"/>
    <w:rsid w:val="002121D9"/>
    <w:rsid w:val="00232575"/>
    <w:rsid w:val="00247258"/>
    <w:rsid w:val="00254C7B"/>
    <w:rsid w:val="00256CA1"/>
    <w:rsid w:val="00257CAC"/>
    <w:rsid w:val="002616F8"/>
    <w:rsid w:val="00264441"/>
    <w:rsid w:val="0027237A"/>
    <w:rsid w:val="00277316"/>
    <w:rsid w:val="002974E9"/>
    <w:rsid w:val="002A7F94"/>
    <w:rsid w:val="002B0277"/>
    <w:rsid w:val="002B109A"/>
    <w:rsid w:val="002B2D1F"/>
    <w:rsid w:val="002C6D45"/>
    <w:rsid w:val="002D6E53"/>
    <w:rsid w:val="002F046D"/>
    <w:rsid w:val="002F3023"/>
    <w:rsid w:val="00301764"/>
    <w:rsid w:val="003174CA"/>
    <w:rsid w:val="003229D8"/>
    <w:rsid w:val="00336C97"/>
    <w:rsid w:val="00337F88"/>
    <w:rsid w:val="00342432"/>
    <w:rsid w:val="0035223F"/>
    <w:rsid w:val="00352D4B"/>
    <w:rsid w:val="0035638C"/>
    <w:rsid w:val="00393283"/>
    <w:rsid w:val="003A46BB"/>
    <w:rsid w:val="003A4EC7"/>
    <w:rsid w:val="003A7295"/>
    <w:rsid w:val="003B1F60"/>
    <w:rsid w:val="003C2CC4"/>
    <w:rsid w:val="003D4B23"/>
    <w:rsid w:val="003E278A"/>
    <w:rsid w:val="003F6341"/>
    <w:rsid w:val="00413520"/>
    <w:rsid w:val="0041416E"/>
    <w:rsid w:val="00430D57"/>
    <w:rsid w:val="004325CB"/>
    <w:rsid w:val="00440A07"/>
    <w:rsid w:val="00457FA2"/>
    <w:rsid w:val="00462880"/>
    <w:rsid w:val="00476F24"/>
    <w:rsid w:val="004B0235"/>
    <w:rsid w:val="004B7521"/>
    <w:rsid w:val="004C55B0"/>
    <w:rsid w:val="004F6BA0"/>
    <w:rsid w:val="004F7796"/>
    <w:rsid w:val="00503BEA"/>
    <w:rsid w:val="005224FB"/>
    <w:rsid w:val="00525B4D"/>
    <w:rsid w:val="005309FB"/>
    <w:rsid w:val="00533616"/>
    <w:rsid w:val="0053363F"/>
    <w:rsid w:val="00535ABA"/>
    <w:rsid w:val="0053768B"/>
    <w:rsid w:val="005420F2"/>
    <w:rsid w:val="0054285C"/>
    <w:rsid w:val="00561B9D"/>
    <w:rsid w:val="00584173"/>
    <w:rsid w:val="00595520"/>
    <w:rsid w:val="005A16DA"/>
    <w:rsid w:val="005A44B9"/>
    <w:rsid w:val="005B1BA0"/>
    <w:rsid w:val="005B3DB3"/>
    <w:rsid w:val="005C619F"/>
    <w:rsid w:val="005D15CA"/>
    <w:rsid w:val="005D7969"/>
    <w:rsid w:val="005F08DF"/>
    <w:rsid w:val="005F3066"/>
    <w:rsid w:val="005F3E61"/>
    <w:rsid w:val="00604DDD"/>
    <w:rsid w:val="006115CC"/>
    <w:rsid w:val="00611FC4"/>
    <w:rsid w:val="006176FB"/>
    <w:rsid w:val="00630FCB"/>
    <w:rsid w:val="00640B26"/>
    <w:rsid w:val="00656152"/>
    <w:rsid w:val="0065766B"/>
    <w:rsid w:val="006715E5"/>
    <w:rsid w:val="006770B2"/>
    <w:rsid w:val="00686A48"/>
    <w:rsid w:val="006940E1"/>
    <w:rsid w:val="006951CF"/>
    <w:rsid w:val="006A3C72"/>
    <w:rsid w:val="006A7392"/>
    <w:rsid w:val="006B03A1"/>
    <w:rsid w:val="006B67D9"/>
    <w:rsid w:val="006C5535"/>
    <w:rsid w:val="006C739A"/>
    <w:rsid w:val="006D0589"/>
    <w:rsid w:val="006E564B"/>
    <w:rsid w:val="006E7154"/>
    <w:rsid w:val="007003CD"/>
    <w:rsid w:val="0070701E"/>
    <w:rsid w:val="007173E0"/>
    <w:rsid w:val="0072632A"/>
    <w:rsid w:val="007358E8"/>
    <w:rsid w:val="00736ECE"/>
    <w:rsid w:val="00737DD2"/>
    <w:rsid w:val="0074533B"/>
    <w:rsid w:val="007643BC"/>
    <w:rsid w:val="00764EDB"/>
    <w:rsid w:val="007801C5"/>
    <w:rsid w:val="00780C68"/>
    <w:rsid w:val="007959FE"/>
    <w:rsid w:val="007A0CF1"/>
    <w:rsid w:val="007A478E"/>
    <w:rsid w:val="007A53AF"/>
    <w:rsid w:val="007B6BA5"/>
    <w:rsid w:val="007C3390"/>
    <w:rsid w:val="007C42D8"/>
    <w:rsid w:val="007C4F4B"/>
    <w:rsid w:val="007D7362"/>
    <w:rsid w:val="007F5CE2"/>
    <w:rsid w:val="007F6611"/>
    <w:rsid w:val="00800522"/>
    <w:rsid w:val="00810BAC"/>
    <w:rsid w:val="008175E9"/>
    <w:rsid w:val="008242D7"/>
    <w:rsid w:val="0082577B"/>
    <w:rsid w:val="008272DD"/>
    <w:rsid w:val="00830469"/>
    <w:rsid w:val="00841BF7"/>
    <w:rsid w:val="00851F15"/>
    <w:rsid w:val="00866893"/>
    <w:rsid w:val="00866F02"/>
    <w:rsid w:val="00867D18"/>
    <w:rsid w:val="00871F9A"/>
    <w:rsid w:val="00871FD5"/>
    <w:rsid w:val="00872036"/>
    <w:rsid w:val="0088172E"/>
    <w:rsid w:val="00881EFA"/>
    <w:rsid w:val="00882A43"/>
    <w:rsid w:val="008879CB"/>
    <w:rsid w:val="008979B1"/>
    <w:rsid w:val="00897BB7"/>
    <w:rsid w:val="008A6B25"/>
    <w:rsid w:val="008A6C4F"/>
    <w:rsid w:val="008A77AE"/>
    <w:rsid w:val="008B389E"/>
    <w:rsid w:val="008D045E"/>
    <w:rsid w:val="008D3F25"/>
    <w:rsid w:val="008D4D82"/>
    <w:rsid w:val="008E0E46"/>
    <w:rsid w:val="008E7116"/>
    <w:rsid w:val="008F143B"/>
    <w:rsid w:val="008F3882"/>
    <w:rsid w:val="008F4B7C"/>
    <w:rsid w:val="009075CC"/>
    <w:rsid w:val="00926E47"/>
    <w:rsid w:val="00947162"/>
    <w:rsid w:val="009511A3"/>
    <w:rsid w:val="009610D0"/>
    <w:rsid w:val="0096375C"/>
    <w:rsid w:val="009662E6"/>
    <w:rsid w:val="0097095E"/>
    <w:rsid w:val="009777DE"/>
    <w:rsid w:val="0098592B"/>
    <w:rsid w:val="00985FC4"/>
    <w:rsid w:val="00990766"/>
    <w:rsid w:val="00991261"/>
    <w:rsid w:val="0099527F"/>
    <w:rsid w:val="009964C4"/>
    <w:rsid w:val="009A7B81"/>
    <w:rsid w:val="009D01C0"/>
    <w:rsid w:val="009D0E1C"/>
    <w:rsid w:val="009D6A08"/>
    <w:rsid w:val="009E0A16"/>
    <w:rsid w:val="009E6CB7"/>
    <w:rsid w:val="009E7970"/>
    <w:rsid w:val="009F2EAC"/>
    <w:rsid w:val="009F57E3"/>
    <w:rsid w:val="009F6D4F"/>
    <w:rsid w:val="00A04145"/>
    <w:rsid w:val="00A10F4F"/>
    <w:rsid w:val="00A11067"/>
    <w:rsid w:val="00A1704A"/>
    <w:rsid w:val="00A425EB"/>
    <w:rsid w:val="00A72F22"/>
    <w:rsid w:val="00A733BC"/>
    <w:rsid w:val="00A748A6"/>
    <w:rsid w:val="00A76A69"/>
    <w:rsid w:val="00A85625"/>
    <w:rsid w:val="00A879A4"/>
    <w:rsid w:val="00AA0FF8"/>
    <w:rsid w:val="00AC0F2C"/>
    <w:rsid w:val="00AC502A"/>
    <w:rsid w:val="00AD5767"/>
    <w:rsid w:val="00AF58C1"/>
    <w:rsid w:val="00B04A3F"/>
    <w:rsid w:val="00B06643"/>
    <w:rsid w:val="00B15055"/>
    <w:rsid w:val="00B17A3E"/>
    <w:rsid w:val="00B20551"/>
    <w:rsid w:val="00B23D55"/>
    <w:rsid w:val="00B30179"/>
    <w:rsid w:val="00B33FC7"/>
    <w:rsid w:val="00B37B15"/>
    <w:rsid w:val="00B45C02"/>
    <w:rsid w:val="00B6624D"/>
    <w:rsid w:val="00B70B63"/>
    <w:rsid w:val="00B72A1E"/>
    <w:rsid w:val="00B73214"/>
    <w:rsid w:val="00B81604"/>
    <w:rsid w:val="00B81E12"/>
    <w:rsid w:val="00B92A90"/>
    <w:rsid w:val="00BA339B"/>
    <w:rsid w:val="00BB23CC"/>
    <w:rsid w:val="00BC1E7E"/>
    <w:rsid w:val="00BC679A"/>
    <w:rsid w:val="00BC74E9"/>
    <w:rsid w:val="00BE36A9"/>
    <w:rsid w:val="00BE618E"/>
    <w:rsid w:val="00BE7BEC"/>
    <w:rsid w:val="00BF0A5A"/>
    <w:rsid w:val="00BF0E63"/>
    <w:rsid w:val="00BF12A3"/>
    <w:rsid w:val="00BF16D7"/>
    <w:rsid w:val="00BF2373"/>
    <w:rsid w:val="00C0294F"/>
    <w:rsid w:val="00C044E2"/>
    <w:rsid w:val="00C048CB"/>
    <w:rsid w:val="00C05324"/>
    <w:rsid w:val="00C066F3"/>
    <w:rsid w:val="00C408B7"/>
    <w:rsid w:val="00C411EB"/>
    <w:rsid w:val="00C463DD"/>
    <w:rsid w:val="00C54F94"/>
    <w:rsid w:val="00C62D23"/>
    <w:rsid w:val="00C745C3"/>
    <w:rsid w:val="00C76FC8"/>
    <w:rsid w:val="00C978F5"/>
    <w:rsid w:val="00CA24A4"/>
    <w:rsid w:val="00CB348D"/>
    <w:rsid w:val="00CB5408"/>
    <w:rsid w:val="00CD46F5"/>
    <w:rsid w:val="00CD52EA"/>
    <w:rsid w:val="00CD64C3"/>
    <w:rsid w:val="00CE4A8F"/>
    <w:rsid w:val="00CE5EF1"/>
    <w:rsid w:val="00CE78F6"/>
    <w:rsid w:val="00CF071D"/>
    <w:rsid w:val="00D0123D"/>
    <w:rsid w:val="00D018D8"/>
    <w:rsid w:val="00D021F3"/>
    <w:rsid w:val="00D0220E"/>
    <w:rsid w:val="00D1383F"/>
    <w:rsid w:val="00D15B04"/>
    <w:rsid w:val="00D15BB6"/>
    <w:rsid w:val="00D2031B"/>
    <w:rsid w:val="00D212C5"/>
    <w:rsid w:val="00D25FE2"/>
    <w:rsid w:val="00D368BE"/>
    <w:rsid w:val="00D37DA9"/>
    <w:rsid w:val="00D406A7"/>
    <w:rsid w:val="00D40765"/>
    <w:rsid w:val="00D42AEF"/>
    <w:rsid w:val="00D43252"/>
    <w:rsid w:val="00D44D86"/>
    <w:rsid w:val="00D50B7D"/>
    <w:rsid w:val="00D52012"/>
    <w:rsid w:val="00D6176D"/>
    <w:rsid w:val="00D67E72"/>
    <w:rsid w:val="00D704E5"/>
    <w:rsid w:val="00D72727"/>
    <w:rsid w:val="00D978C6"/>
    <w:rsid w:val="00DA0956"/>
    <w:rsid w:val="00DA357F"/>
    <w:rsid w:val="00DA3E12"/>
    <w:rsid w:val="00DB4A59"/>
    <w:rsid w:val="00DB6908"/>
    <w:rsid w:val="00DC18AD"/>
    <w:rsid w:val="00DC55FB"/>
    <w:rsid w:val="00DC73D3"/>
    <w:rsid w:val="00DF7CAE"/>
    <w:rsid w:val="00E1231F"/>
    <w:rsid w:val="00E423C0"/>
    <w:rsid w:val="00E6414C"/>
    <w:rsid w:val="00E7260F"/>
    <w:rsid w:val="00E8702D"/>
    <w:rsid w:val="00E905F4"/>
    <w:rsid w:val="00E916A9"/>
    <w:rsid w:val="00E916DE"/>
    <w:rsid w:val="00E925AD"/>
    <w:rsid w:val="00E96630"/>
    <w:rsid w:val="00ED18DC"/>
    <w:rsid w:val="00ED6201"/>
    <w:rsid w:val="00ED7A2A"/>
    <w:rsid w:val="00EE04BF"/>
    <w:rsid w:val="00EF1D7F"/>
    <w:rsid w:val="00F0137E"/>
    <w:rsid w:val="00F21786"/>
    <w:rsid w:val="00F32915"/>
    <w:rsid w:val="00F3742B"/>
    <w:rsid w:val="00F41FDB"/>
    <w:rsid w:val="00F50596"/>
    <w:rsid w:val="00F50D7B"/>
    <w:rsid w:val="00F54DE0"/>
    <w:rsid w:val="00F56D63"/>
    <w:rsid w:val="00F57A45"/>
    <w:rsid w:val="00F609A9"/>
    <w:rsid w:val="00F63A08"/>
    <w:rsid w:val="00F80C99"/>
    <w:rsid w:val="00F867EC"/>
    <w:rsid w:val="00F91B2B"/>
    <w:rsid w:val="00FC03CD"/>
    <w:rsid w:val="00FC0646"/>
    <w:rsid w:val="00FC68B7"/>
    <w:rsid w:val="00FD1C1C"/>
    <w:rsid w:val="00FE6985"/>
    <w:rsid w:val="00FF634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6822C"/>
  <w15:docId w15:val="{29B261B5-9E75-4468-97B0-F3AF184C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ChGChar">
    <w:name w:val="_ H _Ch_G Char"/>
    <w:link w:val="HChG"/>
    <w:rsid w:val="00CE5EF1"/>
    <w:rPr>
      <w:b/>
      <w:sz w:val="28"/>
      <w:lang w:val="en-GB"/>
    </w:rPr>
  </w:style>
  <w:style w:type="paragraph" w:styleId="ListParagraph">
    <w:name w:val="List Paragraph"/>
    <w:basedOn w:val="Normal"/>
    <w:uiPriority w:val="34"/>
    <w:semiHidden/>
    <w:qFormat/>
    <w:rsid w:val="00CE5EF1"/>
    <w:pPr>
      <w:ind w:left="720"/>
      <w:contextualSpacing/>
    </w:pPr>
  </w:style>
  <w:style w:type="paragraph" w:styleId="Revision">
    <w:name w:val="Revision"/>
    <w:hidden/>
    <w:uiPriority w:val="99"/>
    <w:semiHidden/>
    <w:rsid w:val="00134386"/>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Sabrina Mansion</DisplayName>
        <AccountId>71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4.xml><?xml version="1.0" encoding="utf-8"?>
<ds:datastoreItem xmlns:ds="http://schemas.openxmlformats.org/officeDocument/2006/customXml" ds:itemID="{14D618FC-188D-4CC0-857B-4BB86B8EE8E4}"/>
</file>

<file path=docProps/app.xml><?xml version="1.0" encoding="utf-8"?>
<Properties xmlns="http://schemas.openxmlformats.org/officeDocument/2006/extended-properties" xmlns:vt="http://schemas.openxmlformats.org/officeDocument/2006/docPropsVTypes">
  <Template>TRANS_WP1_24_E.dotm</Template>
  <TotalTime>0</TotalTime>
  <Pages>4</Pages>
  <Words>1250</Words>
  <Characters>6655</Characters>
  <Application>Microsoft Office Word</Application>
  <DocSecurity>0</DocSecurity>
  <Lines>262</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ECE/TRANS/WP.15/2024/8</vt:lpstr>
      <vt:lpstr/>
    </vt:vector>
  </TitlesOfParts>
  <Company>CSD</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ECE/TRANS/WP.15/2024/8</dc:title>
  <dc:subject>2400634</dc:subject>
  <dc:creator>Alicia DORCA-GARCIA</dc:creator>
  <cp:keywords/>
  <dc:description/>
  <cp:lastModifiedBy>Ma. Cristina Brigoli</cp:lastModifiedBy>
  <cp:revision>2</cp:revision>
  <cp:lastPrinted>2009-02-18T00:36:00Z</cp:lastPrinted>
  <dcterms:created xsi:type="dcterms:W3CDTF">2024-01-15T15:43:00Z</dcterms:created>
  <dcterms:modified xsi:type="dcterms:W3CDTF">2024-01-15T15:43:00Z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