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5624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E9DCA2" w14:textId="77777777" w:rsidR="002D5AAC" w:rsidRDefault="002D5AAC" w:rsidP="00001E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C2039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11E39F" w14:textId="62FFA0BC" w:rsidR="002D5AAC" w:rsidRDefault="00001E03" w:rsidP="00001E03">
            <w:pPr>
              <w:jc w:val="right"/>
            </w:pPr>
            <w:r w:rsidRPr="00001E03">
              <w:rPr>
                <w:sz w:val="40"/>
              </w:rPr>
              <w:t>ECE</w:t>
            </w:r>
            <w:r>
              <w:t>/TRANS/WP.15/2024/7</w:t>
            </w:r>
          </w:p>
        </w:tc>
      </w:tr>
      <w:tr w:rsidR="002D5AAC" w14:paraId="6FDD1A3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B5BA6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EEA680" wp14:editId="587656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C807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A94FDF" w14:textId="77777777" w:rsidR="002D5AAC" w:rsidRDefault="00001E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C67C02" w14:textId="77777777" w:rsidR="00001E03" w:rsidRDefault="00001E03" w:rsidP="00001E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January 2024</w:t>
            </w:r>
          </w:p>
          <w:p w14:paraId="17CE1F7E" w14:textId="77777777" w:rsidR="00001E03" w:rsidRDefault="00001E03" w:rsidP="00001E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986165" w14:textId="253017DF" w:rsidR="00001E03" w:rsidRPr="008D53B6" w:rsidRDefault="00001E03" w:rsidP="00001E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435E2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EA8245" w14:textId="77777777" w:rsidR="00001E03" w:rsidRPr="00001E03" w:rsidRDefault="00001E03" w:rsidP="00001E03">
      <w:pPr>
        <w:spacing w:before="120"/>
        <w:rPr>
          <w:sz w:val="28"/>
          <w:szCs w:val="28"/>
        </w:rPr>
      </w:pPr>
      <w:r w:rsidRPr="00001E03">
        <w:rPr>
          <w:sz w:val="28"/>
          <w:szCs w:val="28"/>
        </w:rPr>
        <w:t>Комитет по внутреннему транспорту</w:t>
      </w:r>
    </w:p>
    <w:p w14:paraId="39945B05" w14:textId="77777777" w:rsidR="00001E03" w:rsidRPr="00001E03" w:rsidRDefault="00001E03" w:rsidP="00001E03">
      <w:pPr>
        <w:spacing w:before="120"/>
        <w:rPr>
          <w:b/>
          <w:bCs/>
          <w:sz w:val="24"/>
          <w:szCs w:val="24"/>
        </w:rPr>
      </w:pPr>
      <w:r w:rsidRPr="00001E03">
        <w:rPr>
          <w:b/>
          <w:bCs/>
          <w:sz w:val="24"/>
          <w:szCs w:val="24"/>
        </w:rPr>
        <w:t>Рабочая группа по перевозкам опасных грузов</w:t>
      </w:r>
    </w:p>
    <w:p w14:paraId="0B74B360" w14:textId="77777777" w:rsidR="00001E03" w:rsidRPr="00894DFD" w:rsidRDefault="00001E03" w:rsidP="00001E03">
      <w:pPr>
        <w:spacing w:before="120"/>
        <w:rPr>
          <w:rFonts w:eastAsia="SimSun"/>
          <w:b/>
        </w:rPr>
      </w:pPr>
      <w:r>
        <w:rPr>
          <w:b/>
          <w:bCs/>
        </w:rPr>
        <w:t>Сто пятнадцатая сессия</w:t>
      </w:r>
      <w:r>
        <w:t xml:space="preserve"> </w:t>
      </w:r>
    </w:p>
    <w:p w14:paraId="17121436" w14:textId="37A94398" w:rsidR="00001E03" w:rsidRPr="00894DFD" w:rsidRDefault="00001E03" w:rsidP="00001E03">
      <w:pPr>
        <w:rPr>
          <w:rFonts w:eastAsia="SimSun"/>
        </w:rPr>
      </w:pPr>
      <w:r>
        <w:t>Женева, 2</w:t>
      </w:r>
      <w:r>
        <w:t>–</w:t>
      </w:r>
      <w:r>
        <w:t>5 апреля 2024 года</w:t>
      </w:r>
    </w:p>
    <w:p w14:paraId="2B9E2725" w14:textId="77777777" w:rsidR="00001E03" w:rsidRPr="00894DFD" w:rsidRDefault="00001E03" w:rsidP="00001E03">
      <w:pPr>
        <w:autoSpaceDE w:val="0"/>
        <w:autoSpaceDN w:val="0"/>
        <w:adjustRightInd w:val="0"/>
      </w:pPr>
      <w:r>
        <w:t>Пункт 5 a) предварительной повестки дня</w:t>
      </w:r>
    </w:p>
    <w:p w14:paraId="4745E59F" w14:textId="6737D525" w:rsidR="00001E03" w:rsidRPr="00894DFD" w:rsidRDefault="00001E03" w:rsidP="00001E03">
      <w:pPr>
        <w:autoSpaceDE w:val="0"/>
        <w:autoSpaceDN w:val="0"/>
        <w:adjustRightInd w:val="0"/>
        <w:rPr>
          <w:b/>
          <w:bCs/>
        </w:rPr>
      </w:pPr>
      <w:r w:rsidRPr="00735E15">
        <w:rPr>
          <w:b/>
          <w:bCs/>
        </w:rPr>
        <w:t>Предложения о внесении поправок в приложения А и B к ДОПОГ:</w:t>
      </w:r>
      <w:r>
        <w:rPr>
          <w:b/>
          <w:bCs/>
        </w:rPr>
        <w:br/>
      </w:r>
      <w:r>
        <w:rPr>
          <w:b/>
          <w:bCs/>
        </w:rPr>
        <w:t>конструкция и допущение к перевозке транспортных средств</w:t>
      </w:r>
    </w:p>
    <w:p w14:paraId="5F86D84E" w14:textId="77777777" w:rsidR="00001E03" w:rsidRPr="00894DFD" w:rsidRDefault="00001E03" w:rsidP="00001E03">
      <w:pPr>
        <w:pStyle w:val="HChG"/>
        <w:rPr>
          <w:bCs/>
          <w:sz w:val="24"/>
          <w:szCs w:val="24"/>
        </w:rPr>
      </w:pPr>
      <w:r>
        <w:tab/>
      </w:r>
      <w:r>
        <w:tab/>
      </w:r>
      <w:r>
        <w:rPr>
          <w:bCs/>
        </w:rPr>
        <w:t>Таблица в разделе 9.2.1.1</w:t>
      </w:r>
    </w:p>
    <w:p w14:paraId="5325167B" w14:textId="77777777" w:rsidR="00001E03" w:rsidRPr="00894DFD" w:rsidRDefault="00001E03" w:rsidP="00001E0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001E0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0DC46F9" w14:textId="77777777" w:rsidR="00001E03" w:rsidRPr="00894DFD" w:rsidRDefault="00001E03" w:rsidP="00001E03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2D9B9394" w14:textId="77777777" w:rsidR="00001E03" w:rsidRPr="00894DFD" w:rsidRDefault="00001E03" w:rsidP="00001E03">
      <w:pPr>
        <w:pStyle w:val="SingleTxtG"/>
      </w:pPr>
      <w:r>
        <w:t>1.</w:t>
      </w:r>
      <w:r>
        <w:tab/>
        <w:t>В неофициальном документе INF.10, представленном на сто четырнадцатой сессии, упоминаются возможные проблемы с толкованием в тех случаях, когда применение требований главы 9.2 рассматривается только на основе таблицы, приведенной в разделе 9.2.1.1.</w:t>
      </w:r>
    </w:p>
    <w:p w14:paraId="4479556E" w14:textId="53999706" w:rsidR="00001E03" w:rsidRPr="00894DFD" w:rsidRDefault="00001E03" w:rsidP="00001E03">
      <w:pPr>
        <w:pStyle w:val="SingleTxtG"/>
      </w:pPr>
      <w:r>
        <w:t>2.</w:t>
      </w:r>
      <w:r>
        <w:tab/>
        <w:t xml:space="preserve">В главе 9.2 издания ДОПОГ 2017 года были введены новые требования к альтернативным видам топлива, таким как природный газ и СНГ. Вновь введенные требования содержали ссылки на общие правила ООН в области транспортных средств, касающиеся безопасности топливных баков и топливных систем двигателей. Случаи применения этих требований отмечены в таблице раздела 9.2.1.1 знаками </w:t>
      </w:r>
      <w:r>
        <w:t>«</w:t>
      </w:r>
      <w:r>
        <w:t>Х</w:t>
      </w:r>
      <w:r>
        <w:t>»</w:t>
      </w:r>
      <w:r>
        <w:t xml:space="preserve">. Если знак </w:t>
      </w:r>
      <w:r>
        <w:t>«</w:t>
      </w:r>
      <w:r>
        <w:t>Х</w:t>
      </w:r>
      <w:r>
        <w:t>»</w:t>
      </w:r>
      <w:r>
        <w:t xml:space="preserve"> отсутствует, то в зависимости от соответствующей правовой системы может быть сделан вывод о том, что то или иное оборудование запрещено (например, отсутствие знака </w:t>
      </w:r>
      <w:r>
        <w:t>«</w:t>
      </w:r>
      <w:r>
        <w:t>Х</w:t>
      </w:r>
      <w:r>
        <w:t>»</w:t>
      </w:r>
      <w:r>
        <w:t xml:space="preserve"> означало бы, что двигатель внутреннего сгорания запрещен). Это, конечно же, не так, поскольку в главе 9.2 содержатся добавления или изменения к общим правилам безопасности, действующим в стране регистрации.</w:t>
      </w:r>
    </w:p>
    <w:p w14:paraId="7DCF2D6E" w14:textId="77777777" w:rsidR="00001E03" w:rsidRPr="00894DFD" w:rsidRDefault="00001E03" w:rsidP="00001E03">
      <w:pPr>
        <w:pStyle w:val="SingleTxtG"/>
      </w:pPr>
      <w:r>
        <w:t>3.</w:t>
      </w:r>
      <w:r>
        <w:tab/>
        <w:t>Хотя на практике эта система хорошо понимается и используется, необходимо найти решение, чтобы предотвратить ее неправильное толкование.</w:t>
      </w:r>
    </w:p>
    <w:p w14:paraId="100ED850" w14:textId="77777777" w:rsidR="00001E03" w:rsidRPr="00894DFD" w:rsidRDefault="00001E03" w:rsidP="00001E03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</w:t>
      </w:r>
    </w:p>
    <w:p w14:paraId="248D3893" w14:textId="3A616DB8" w:rsidR="00001E03" w:rsidRPr="00894DFD" w:rsidRDefault="00001E03" w:rsidP="00001E03">
      <w:pPr>
        <w:pStyle w:val="SingleTxtG"/>
      </w:pPr>
      <w:r>
        <w:t>4.</w:t>
      </w:r>
      <w:r>
        <w:tab/>
        <w:t>Изменить в таблице раздела 9.2.1.1 строку для пункта 9.2.4.4 ДОПОГ 2023 года (или 9.2.4.3 в случае издания ДОПОГ 2025 года, как это предлагается в приложении</w:t>
      </w:r>
      <w:r>
        <w:t> </w:t>
      </w:r>
      <w:r>
        <w:t>III к докладу о работе сто четырнадцатой сессии) следующим образом: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896"/>
        <w:gridCol w:w="1939"/>
        <w:gridCol w:w="597"/>
        <w:gridCol w:w="597"/>
        <w:gridCol w:w="597"/>
        <w:gridCol w:w="597"/>
        <w:gridCol w:w="3281"/>
      </w:tblGrid>
      <w:tr w:rsidR="00001E03" w:rsidRPr="00001E03" w14:paraId="1D4C5367" w14:textId="77777777" w:rsidTr="00001E03">
        <w:tc>
          <w:tcPr>
            <w:tcW w:w="896" w:type="dxa"/>
          </w:tcPr>
          <w:p w14:paraId="5F69C7D3" w14:textId="77777777" w:rsidR="00001E03" w:rsidRPr="00001E03" w:rsidRDefault="00001E03" w:rsidP="00001E03">
            <w:pPr>
              <w:spacing w:before="40" w:after="40" w:line="220" w:lineRule="atLeast"/>
              <w:ind w:left="142"/>
              <w:rPr>
                <w:i/>
                <w:iCs/>
                <w:strike/>
                <w:sz w:val="18"/>
                <w:szCs w:val="18"/>
              </w:rPr>
            </w:pPr>
            <w:r w:rsidRPr="00001E03">
              <w:rPr>
                <w:i/>
                <w:iCs/>
                <w:strike/>
                <w:sz w:val="18"/>
                <w:szCs w:val="18"/>
              </w:rPr>
              <w:lastRenderedPageBreak/>
              <w:t>9.2.4.4</w:t>
            </w:r>
          </w:p>
          <w:p w14:paraId="7823E1AF" w14:textId="77777777" w:rsidR="00001E03" w:rsidRPr="00001E03" w:rsidRDefault="00001E03" w:rsidP="00001E03">
            <w:pPr>
              <w:spacing w:before="40" w:after="40" w:line="220" w:lineRule="atLeast"/>
              <w:ind w:left="142"/>
              <w:rPr>
                <w:i/>
                <w:iCs/>
                <w:sz w:val="18"/>
                <w:szCs w:val="18"/>
              </w:rPr>
            </w:pPr>
            <w:r w:rsidRPr="00001E03">
              <w:rPr>
                <w:i/>
                <w:iCs/>
                <w:sz w:val="18"/>
                <w:szCs w:val="18"/>
              </w:rPr>
              <w:t>9.2.4.3</w:t>
            </w:r>
          </w:p>
        </w:tc>
        <w:tc>
          <w:tcPr>
            <w:tcW w:w="1939" w:type="dxa"/>
          </w:tcPr>
          <w:p w14:paraId="1395F654" w14:textId="77777777" w:rsidR="00001E03" w:rsidRPr="00001E03" w:rsidRDefault="00001E03" w:rsidP="00001E03">
            <w:pPr>
              <w:spacing w:before="40" w:after="40" w:line="220" w:lineRule="atLeast"/>
              <w:ind w:left="142"/>
              <w:rPr>
                <w:i/>
                <w:iCs/>
                <w:sz w:val="18"/>
                <w:szCs w:val="18"/>
              </w:rPr>
            </w:pPr>
            <w:r w:rsidRPr="00001E03">
              <w:rPr>
                <w:i/>
                <w:iCs/>
                <w:strike/>
                <w:sz w:val="18"/>
                <w:szCs w:val="18"/>
              </w:rPr>
              <w:t xml:space="preserve">Двигатель </w:t>
            </w:r>
            <w:proofErr w:type="spellStart"/>
            <w:r w:rsidRPr="00001E03">
              <w:rPr>
                <w:i/>
                <w:iCs/>
                <w:sz w:val="18"/>
                <w:szCs w:val="18"/>
              </w:rPr>
              <w:t>Двигатель</w:t>
            </w:r>
            <w:proofErr w:type="spellEnd"/>
            <w:r w:rsidRPr="00001E03">
              <w:rPr>
                <w:i/>
                <w:iCs/>
                <w:sz w:val="18"/>
                <w:szCs w:val="18"/>
              </w:rPr>
              <w:t xml:space="preserve"> внутреннего сгорания</w:t>
            </w:r>
          </w:p>
        </w:tc>
        <w:tc>
          <w:tcPr>
            <w:tcW w:w="597" w:type="dxa"/>
          </w:tcPr>
          <w:p w14:paraId="7B17C2D0" w14:textId="77777777" w:rsidR="00001E03" w:rsidRPr="00001E03" w:rsidRDefault="00001E03" w:rsidP="00001E03">
            <w:pPr>
              <w:spacing w:before="40" w:after="40" w:line="220" w:lineRule="atLeast"/>
              <w:ind w:left="142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X</w:t>
            </w:r>
          </w:p>
        </w:tc>
        <w:tc>
          <w:tcPr>
            <w:tcW w:w="597" w:type="dxa"/>
          </w:tcPr>
          <w:p w14:paraId="59999EA5" w14:textId="77777777" w:rsidR="00001E03" w:rsidRPr="00001E03" w:rsidRDefault="00001E03" w:rsidP="00001E03">
            <w:pPr>
              <w:spacing w:before="40" w:after="40" w:line="220" w:lineRule="atLeast"/>
              <w:ind w:left="142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X</w:t>
            </w:r>
          </w:p>
        </w:tc>
        <w:tc>
          <w:tcPr>
            <w:tcW w:w="597" w:type="dxa"/>
          </w:tcPr>
          <w:p w14:paraId="75680E28" w14:textId="77777777" w:rsidR="00001E03" w:rsidRPr="00001E03" w:rsidRDefault="00001E03" w:rsidP="00001E03">
            <w:pPr>
              <w:spacing w:before="40" w:after="40" w:line="220" w:lineRule="atLeast"/>
              <w:ind w:left="142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[</w:t>
            </w:r>
            <w:proofErr w:type="spellStart"/>
            <w:r w:rsidRPr="00001E03">
              <w:rPr>
                <w:sz w:val="18"/>
                <w:szCs w:val="18"/>
              </w:rPr>
              <w:t>X</w:t>
            </w:r>
            <w:r w:rsidRPr="00001E03">
              <w:rPr>
                <w:sz w:val="18"/>
                <w:szCs w:val="18"/>
                <w:vertAlign w:val="superscript"/>
              </w:rPr>
              <w:t>k</w:t>
            </w:r>
            <w:proofErr w:type="spellEnd"/>
            <w:r w:rsidRPr="00001E03">
              <w:rPr>
                <w:sz w:val="18"/>
                <w:szCs w:val="18"/>
              </w:rPr>
              <w:t>]</w:t>
            </w:r>
          </w:p>
        </w:tc>
        <w:tc>
          <w:tcPr>
            <w:tcW w:w="597" w:type="dxa"/>
          </w:tcPr>
          <w:p w14:paraId="33F41C27" w14:textId="77777777" w:rsidR="00001E03" w:rsidRPr="00001E03" w:rsidRDefault="00001E03" w:rsidP="00001E03">
            <w:pPr>
              <w:spacing w:before="40" w:after="40" w:line="220" w:lineRule="atLeast"/>
              <w:ind w:left="142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X</w:t>
            </w:r>
          </w:p>
        </w:tc>
        <w:tc>
          <w:tcPr>
            <w:tcW w:w="3281" w:type="dxa"/>
          </w:tcPr>
          <w:p w14:paraId="36E8D551" w14:textId="34DEFE16" w:rsidR="00001E03" w:rsidRPr="00001E03" w:rsidRDefault="00001E03" w:rsidP="00001E03">
            <w:pPr>
              <w:spacing w:before="40" w:after="40" w:line="220" w:lineRule="atLeast"/>
              <w:ind w:left="142"/>
              <w:rPr>
                <w:i/>
                <w:iCs/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[</w:t>
            </w:r>
            <w:r w:rsidRPr="00001E03">
              <w:rPr>
                <w:sz w:val="18"/>
                <w:szCs w:val="18"/>
                <w:vertAlign w:val="superscript"/>
              </w:rPr>
              <w:t>k</w:t>
            </w:r>
            <w:r w:rsidRPr="00001E03">
              <w:rPr>
                <w:sz w:val="18"/>
                <w:szCs w:val="18"/>
              </w:rPr>
              <w:t xml:space="preserve"> Применимо к автомобилям, впервые зарегистрированным после 31 марта 2026 года]</w:t>
            </w:r>
          </w:p>
        </w:tc>
      </w:tr>
    </w:tbl>
    <w:p w14:paraId="6B3CCA1E" w14:textId="77777777" w:rsidR="00001E03" w:rsidRPr="00894DFD" w:rsidRDefault="00001E03" w:rsidP="00001E03">
      <w:pPr>
        <w:pStyle w:val="SingleTxtG"/>
        <w:spacing w:before="240"/>
      </w:pPr>
      <w:r>
        <w:t>5.</w:t>
      </w:r>
      <w:r>
        <w:tab/>
        <w:t>Включить переходную меру следующего содержания:</w:t>
      </w:r>
    </w:p>
    <w:p w14:paraId="1622C588" w14:textId="5E298A38" w:rsidR="00001E03" w:rsidRPr="00001E03" w:rsidRDefault="00001E03" w:rsidP="00001E03">
      <w:pPr>
        <w:pStyle w:val="SingleTxtG"/>
        <w:ind w:left="1701"/>
      </w:pPr>
      <w:r w:rsidRPr="009E41E5">
        <w:t>«</w:t>
      </w:r>
      <w:r>
        <w:rPr>
          <w:i/>
          <w:iCs/>
        </w:rPr>
        <w:t>1.6.5.yy</w:t>
      </w:r>
      <w:r>
        <w:rPr>
          <w:i/>
          <w:iCs/>
        </w:rPr>
        <w:tab/>
      </w:r>
      <w:r>
        <w:rPr>
          <w:i/>
          <w:iCs/>
        </w:rPr>
        <w:t>Транспортные средства, впервые зарегистрированные (или, если регистрация не является обязательной, впервые введенные в эксплуатацию) до [1 апреля 2026 года], официально утвержденные в качестве транспортных средств АТ, не соответствующие положениям пункта 9.2.4.3 в отношении топливных баков, могут по-прежнему эксплуатироваться</w:t>
      </w:r>
      <w:r w:rsidRPr="009E41E5">
        <w:t>»</w:t>
      </w:r>
      <w:r w:rsidRPr="009E41E5">
        <w:t>.</w:t>
      </w:r>
    </w:p>
    <w:p w14:paraId="4F00A3C9" w14:textId="77777777" w:rsidR="00001E03" w:rsidRPr="00894DFD" w:rsidRDefault="00001E03" w:rsidP="00001E03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66982464" w14:textId="262C51C8" w:rsidR="00001E03" w:rsidRPr="00894DFD" w:rsidRDefault="00001E03" w:rsidP="00001E03">
      <w:pPr>
        <w:pStyle w:val="SingleTxtG"/>
      </w:pPr>
      <w:r>
        <w:t>6.</w:t>
      </w:r>
      <w:r>
        <w:tab/>
        <w:t xml:space="preserve">Три строки таблицы, содержащейся в разделе 9.2.1.1, могут быть неверно истолкованы. Транспортные средства категории </w:t>
      </w:r>
      <w:r>
        <w:t>«</w:t>
      </w:r>
      <w:r>
        <w:t>AT</w:t>
      </w:r>
      <w:r>
        <w:t>»</w:t>
      </w:r>
      <w:r>
        <w:t xml:space="preserve"> уже включены в строку </w:t>
      </w:r>
      <w:r>
        <w:br/>
      </w:r>
      <w:r>
        <w:t>для нового пункта 9.2.4.2 (топливные баки) (см. приложение III к документу</w:t>
      </w:r>
      <w:r>
        <w:t> </w:t>
      </w:r>
      <w:r>
        <w:t>ECE/TRANS/WP.15/264). В связи с внедрением резервуаров для водородного топлива было сочтено необходимым обеспечить высокий уровень безопасности во всех случаях. Что касается электрического привода, то соответствующее предложение включено в документ неофициальной рабочей группы по электромобилям (см. ECE/TRANS/WP.15/2024/7). В этом случае необходимо уточнить, что в настоящее время электрические приводы запрещено использовать на транспортных средствах EX и в целом прицепы с электрическим приводом не допускаются.</w:t>
      </w:r>
    </w:p>
    <w:p w14:paraId="75B91061" w14:textId="393AC00E" w:rsidR="00001E03" w:rsidRPr="00894DFD" w:rsidRDefault="00001E03" w:rsidP="00001E03">
      <w:pPr>
        <w:pStyle w:val="SingleTxtG"/>
      </w:pPr>
      <w:r>
        <w:t>7.</w:t>
      </w:r>
      <w:r>
        <w:tab/>
        <w:t xml:space="preserve">Если включить категорию </w:t>
      </w:r>
      <w:r>
        <w:t>«</w:t>
      </w:r>
      <w:r>
        <w:t>AT</w:t>
      </w:r>
      <w:r>
        <w:t>»</w:t>
      </w:r>
      <w:r>
        <w:t xml:space="preserve"> в строку </w:t>
      </w:r>
      <w:r>
        <w:t>«</w:t>
      </w:r>
      <w:r>
        <w:t>Двигатель внутреннего сгорания</w:t>
      </w:r>
      <w:r>
        <w:t>»</w:t>
      </w:r>
      <w:r>
        <w:t xml:space="preserve">, как это предлагается сделать, то возможностей для толкования не останется, и общие положения по безопасности будут распространяться также на транспортные средства категории </w:t>
      </w:r>
      <w:r>
        <w:t>«</w:t>
      </w:r>
      <w:r>
        <w:t>AT</w:t>
      </w:r>
      <w:r>
        <w:t>»</w:t>
      </w:r>
      <w:r>
        <w:t>. Однако можно задаться вопросом, не должны ли эти транспортные средства отвечать указанным положениям в любом случае. Для существующих транспортных средств предусмотрена переходная мера.</w:t>
      </w:r>
    </w:p>
    <w:p w14:paraId="57B64356" w14:textId="6DEE0F65" w:rsidR="00001E03" w:rsidRPr="00894DFD" w:rsidRDefault="00001E03" w:rsidP="00001E03">
      <w:pPr>
        <w:pStyle w:val="SingleTxtG"/>
      </w:pPr>
      <w:r>
        <w:t>8.</w:t>
      </w:r>
      <w:r>
        <w:tab/>
        <w:t xml:space="preserve">Цель данного документа </w:t>
      </w:r>
      <w:r>
        <w:t>—</w:t>
      </w:r>
      <w:r>
        <w:t xml:space="preserve"> предотвратить неправильное толкование таблицы</w:t>
      </w:r>
      <w:r>
        <w:t> </w:t>
      </w:r>
      <w:r>
        <w:t xml:space="preserve">9.2.1.1 ДОПОГ в части, касающейся транспортных средств категории </w:t>
      </w:r>
      <w:r>
        <w:t>«</w:t>
      </w:r>
      <w:r>
        <w:t>AT</w:t>
      </w:r>
      <w:r>
        <w:t>»</w:t>
      </w:r>
      <w:r>
        <w:t>. Более систематичный и логичный подход к выработке положений ДОПОГ позволяет сделать правовые тексты более четкими и избежать различий в критериях, применяемых разными Договаривающимися сторонами и инспекционными службами, и тем самым способствует достижению цели №</w:t>
      </w:r>
      <w:r>
        <w:t> </w:t>
      </w:r>
      <w:r>
        <w:t xml:space="preserve">16 Организации Объединенных Наций в области устойчивого развития </w:t>
      </w:r>
      <w:r>
        <w:t>«</w:t>
      </w:r>
      <w:r>
        <w:t>Мир, правосудие и эффективные учреждения</w:t>
      </w:r>
      <w:r>
        <w:t>»</w:t>
      </w:r>
      <w:r>
        <w:t>.</w:t>
      </w:r>
    </w:p>
    <w:p w14:paraId="368325C6" w14:textId="474008EC" w:rsidR="00E12C5F" w:rsidRPr="00001E03" w:rsidRDefault="00001E03" w:rsidP="00001E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01E03" w:rsidSect="00001E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4D5D" w14:textId="77777777" w:rsidR="00855A5F" w:rsidRPr="00A312BC" w:rsidRDefault="00855A5F" w:rsidP="00A312BC"/>
  </w:endnote>
  <w:endnote w:type="continuationSeparator" w:id="0">
    <w:p w14:paraId="50E97564" w14:textId="77777777" w:rsidR="00855A5F" w:rsidRPr="00A312BC" w:rsidRDefault="00855A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D49C" w14:textId="28C86224" w:rsidR="00001E03" w:rsidRPr="00001E03" w:rsidRDefault="00001E03">
    <w:pPr>
      <w:pStyle w:val="a8"/>
    </w:pPr>
    <w:r w:rsidRPr="00001E03">
      <w:rPr>
        <w:b/>
        <w:sz w:val="18"/>
      </w:rPr>
      <w:fldChar w:fldCharType="begin"/>
    </w:r>
    <w:r w:rsidRPr="00001E03">
      <w:rPr>
        <w:b/>
        <w:sz w:val="18"/>
      </w:rPr>
      <w:instrText xml:space="preserve"> PAGE  \* MERGEFORMAT </w:instrText>
    </w:r>
    <w:r w:rsidRPr="00001E03">
      <w:rPr>
        <w:b/>
        <w:sz w:val="18"/>
      </w:rPr>
      <w:fldChar w:fldCharType="separate"/>
    </w:r>
    <w:r w:rsidRPr="00001E03">
      <w:rPr>
        <w:b/>
        <w:noProof/>
        <w:sz w:val="18"/>
      </w:rPr>
      <w:t>2</w:t>
    </w:r>
    <w:r w:rsidRPr="00001E03">
      <w:rPr>
        <w:b/>
        <w:sz w:val="18"/>
      </w:rPr>
      <w:fldChar w:fldCharType="end"/>
    </w:r>
    <w:r>
      <w:rPr>
        <w:b/>
        <w:sz w:val="18"/>
      </w:rPr>
      <w:tab/>
    </w:r>
    <w:r>
      <w:t>GE.24-00632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737" w14:textId="4035490D" w:rsidR="00001E03" w:rsidRPr="00001E03" w:rsidRDefault="00001E03" w:rsidP="00001E03">
    <w:pPr>
      <w:pStyle w:val="a8"/>
      <w:tabs>
        <w:tab w:val="clear" w:pos="9639"/>
        <w:tab w:val="right" w:pos="9638"/>
      </w:tabs>
      <w:rPr>
        <w:b/>
        <w:sz w:val="18"/>
      </w:rPr>
    </w:pPr>
    <w:r>
      <w:t>GE.24-00632</w:t>
    </w:r>
    <w:r>
      <w:tab/>
    </w:r>
    <w:r w:rsidRPr="00001E03">
      <w:rPr>
        <w:b/>
        <w:sz w:val="18"/>
      </w:rPr>
      <w:fldChar w:fldCharType="begin"/>
    </w:r>
    <w:r w:rsidRPr="00001E03">
      <w:rPr>
        <w:b/>
        <w:sz w:val="18"/>
      </w:rPr>
      <w:instrText xml:space="preserve"> PAGE  \* MERGEFORMAT </w:instrText>
    </w:r>
    <w:r w:rsidRPr="00001E03">
      <w:rPr>
        <w:b/>
        <w:sz w:val="18"/>
      </w:rPr>
      <w:fldChar w:fldCharType="separate"/>
    </w:r>
    <w:r w:rsidRPr="00001E03">
      <w:rPr>
        <w:b/>
        <w:noProof/>
        <w:sz w:val="18"/>
      </w:rPr>
      <w:t>3</w:t>
    </w:r>
    <w:r w:rsidRPr="00001E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FA4B" w14:textId="1B095241" w:rsidR="00042B72" w:rsidRPr="00CD04BC" w:rsidRDefault="00001E03" w:rsidP="00001E0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AF1C47" wp14:editId="174859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24-00632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5A6481" wp14:editId="416E1B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4BC">
      <w:t xml:space="preserve">   </w:t>
    </w:r>
    <w:r w:rsidR="00CD04BC">
      <w:rPr>
        <w:lang w:val="en-US"/>
      </w:rPr>
      <w:t>120224   130224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D905" w14:textId="77777777" w:rsidR="00855A5F" w:rsidRPr="001075E9" w:rsidRDefault="00855A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3E83B4" w14:textId="77777777" w:rsidR="00855A5F" w:rsidRDefault="00855A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421BE1" w14:textId="77777777" w:rsidR="00001E03" w:rsidRPr="00B13AD8" w:rsidRDefault="00001E03" w:rsidP="00001E03">
      <w:pPr>
        <w:pStyle w:val="ad"/>
      </w:pPr>
      <w:r>
        <w:tab/>
      </w:r>
      <w:r w:rsidRPr="00001E03">
        <w:rPr>
          <w:sz w:val="20"/>
        </w:rPr>
        <w:t>*</w:t>
      </w:r>
      <w:r>
        <w:tab/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AC5" w14:textId="5BFDDF0C" w:rsidR="00001E03" w:rsidRPr="00001E03" w:rsidRDefault="00001E03">
    <w:pPr>
      <w:pStyle w:val="a5"/>
    </w:pPr>
    <w:fldSimple w:instr=" TITLE  \* MERGEFORMAT ">
      <w:r w:rsidR="009627A3">
        <w:t>ECE/TRANS/WP.15/2024/7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69C" w14:textId="256676AD" w:rsidR="00001E03" w:rsidRPr="00001E03" w:rsidRDefault="00001E03" w:rsidP="00001E03">
    <w:pPr>
      <w:pStyle w:val="a5"/>
      <w:jc w:val="right"/>
    </w:pPr>
    <w:fldSimple w:instr=" TITLE  \* MERGEFORMAT ">
      <w:r w:rsidR="009627A3">
        <w:t>ECE/TRANS/WP.15/2024/7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5F"/>
    <w:rsid w:val="00001E0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5A5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27A3"/>
    <w:rsid w:val="009A24AC"/>
    <w:rsid w:val="009C59D7"/>
    <w:rsid w:val="009C6FE6"/>
    <w:rsid w:val="009D7E7D"/>
    <w:rsid w:val="009E41E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04BC"/>
    <w:rsid w:val="00CE5A1A"/>
    <w:rsid w:val="00CF55F6"/>
    <w:rsid w:val="00D33D63"/>
    <w:rsid w:val="00D5253A"/>
    <w:rsid w:val="00D60CA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FDA0"/>
  <w15:docId w15:val="{5FED2E4C-D42F-4A7F-9CDB-74F184C3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01E03"/>
    <w:rPr>
      <w:lang w:val="ru-RU" w:eastAsia="en-US"/>
    </w:rPr>
  </w:style>
  <w:style w:type="character" w:customStyle="1" w:styleId="HChGChar">
    <w:name w:val="_ H _Ch_G Char"/>
    <w:link w:val="HChG"/>
    <w:rsid w:val="00001E0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C20A1-13CB-4197-AF06-2A46013C0149}"/>
</file>

<file path=customXml/itemProps2.xml><?xml version="1.0" encoding="utf-8"?>
<ds:datastoreItem xmlns:ds="http://schemas.openxmlformats.org/officeDocument/2006/customXml" ds:itemID="{3F4F368F-1778-4F86-A98C-293252912B1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552</Words>
  <Characters>3671</Characters>
  <Application>Microsoft Office Word</Application>
  <DocSecurity>0</DocSecurity>
  <Lines>85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ECE/TRANS/WP.15/2024/7</dc:title>
  <dc:subject/>
  <dc:creator>Larisa MAYKOVSKAYA</dc:creator>
  <cp:keywords/>
  <cp:lastModifiedBy>Larisa MAYKOVSKAYA</cp:lastModifiedBy>
  <cp:revision>3</cp:revision>
  <cp:lastPrinted>2024-02-13T10:34:00Z</cp:lastPrinted>
  <dcterms:created xsi:type="dcterms:W3CDTF">2024-02-13T10:34:00Z</dcterms:created>
  <dcterms:modified xsi:type="dcterms:W3CDTF">2024-02-13T10:35:00Z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