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BD4FA89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C0DD580" w14:textId="77777777" w:rsidR="00F35BAF" w:rsidRPr="00DB58B5" w:rsidRDefault="00F35BAF" w:rsidP="009D2DE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9C4529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BA03318" w14:textId="795D7765" w:rsidR="00F35BAF" w:rsidRPr="00DB58B5" w:rsidRDefault="009D2DE3" w:rsidP="009D2DE3">
            <w:pPr>
              <w:jc w:val="right"/>
            </w:pPr>
            <w:r w:rsidRPr="009D2DE3">
              <w:rPr>
                <w:sz w:val="40"/>
              </w:rPr>
              <w:t>ECE</w:t>
            </w:r>
            <w:r>
              <w:t>/TRANS/WP.15/2024/7</w:t>
            </w:r>
          </w:p>
        </w:tc>
      </w:tr>
      <w:tr w:rsidR="00F35BAF" w:rsidRPr="00DB58B5" w14:paraId="5127853D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49C12F1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200CA7A" wp14:editId="73644D7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8F71B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ADC5116" w14:textId="77777777" w:rsidR="00F35BAF" w:rsidRDefault="009D2DE3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19BEE086" w14:textId="77777777" w:rsidR="009D2DE3" w:rsidRDefault="009D2DE3" w:rsidP="009D2DE3">
            <w:pPr>
              <w:spacing w:line="240" w:lineRule="exact"/>
            </w:pPr>
            <w:r>
              <w:t>15 janvier 2024</w:t>
            </w:r>
          </w:p>
          <w:p w14:paraId="129B8E58" w14:textId="77777777" w:rsidR="009D2DE3" w:rsidRDefault="009D2DE3" w:rsidP="009D2DE3">
            <w:pPr>
              <w:spacing w:line="240" w:lineRule="exact"/>
            </w:pPr>
            <w:r>
              <w:t>Français</w:t>
            </w:r>
          </w:p>
          <w:p w14:paraId="240AE608" w14:textId="4C202250" w:rsidR="009D2DE3" w:rsidRPr="00DB58B5" w:rsidRDefault="009D2DE3" w:rsidP="009D2DE3">
            <w:pPr>
              <w:spacing w:line="240" w:lineRule="exact"/>
            </w:pPr>
            <w:r>
              <w:t>Original : anglais</w:t>
            </w:r>
          </w:p>
        </w:tc>
      </w:tr>
    </w:tbl>
    <w:p w14:paraId="742F682C" w14:textId="415352D6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7802D9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59BC5938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B9413BB" w14:textId="77777777" w:rsidR="009D2DE3" w:rsidRPr="009D2DE3" w:rsidRDefault="009D2DE3" w:rsidP="009D2DE3">
      <w:pPr>
        <w:spacing w:before="120"/>
        <w:rPr>
          <w:b/>
          <w:sz w:val="24"/>
          <w:szCs w:val="24"/>
          <w:lang w:val="fr-FR"/>
        </w:rPr>
      </w:pPr>
      <w:r w:rsidRPr="009D2DE3">
        <w:rPr>
          <w:b/>
          <w:bCs/>
          <w:sz w:val="24"/>
          <w:szCs w:val="24"/>
          <w:lang w:val="fr-FR"/>
        </w:rPr>
        <w:t>Groupe de travail des transports de marchandises dangereuses</w:t>
      </w:r>
    </w:p>
    <w:p w14:paraId="6AC5C499" w14:textId="28977667" w:rsidR="009D2DE3" w:rsidRPr="00690D70" w:rsidRDefault="009D2DE3" w:rsidP="009D2DE3">
      <w:pPr>
        <w:spacing w:before="120"/>
        <w:rPr>
          <w:rFonts w:eastAsia="SimSun"/>
          <w:b/>
          <w:lang w:val="fr-FR"/>
        </w:rPr>
      </w:pPr>
      <w:r>
        <w:rPr>
          <w:b/>
          <w:bCs/>
          <w:lang w:val="fr-FR"/>
        </w:rPr>
        <w:t>115</w:t>
      </w:r>
      <w:r w:rsidRPr="009D2DE3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> session</w:t>
      </w:r>
      <w:r>
        <w:rPr>
          <w:lang w:val="fr-FR"/>
        </w:rPr>
        <w:t xml:space="preserve"> </w:t>
      </w:r>
    </w:p>
    <w:p w14:paraId="40140F5A" w14:textId="3216FA9C" w:rsidR="009D2DE3" w:rsidRPr="00690D70" w:rsidRDefault="009D2DE3" w:rsidP="009D2DE3">
      <w:pPr>
        <w:rPr>
          <w:rFonts w:eastAsia="SimSun"/>
          <w:lang w:val="fr-FR"/>
        </w:rPr>
      </w:pPr>
      <w:r>
        <w:rPr>
          <w:lang w:val="fr-FR"/>
        </w:rPr>
        <w:t>Genève, 2</w:t>
      </w:r>
      <w:r w:rsidR="00B50126">
        <w:rPr>
          <w:lang w:val="fr-FR"/>
        </w:rPr>
        <w:noBreakHyphen/>
      </w:r>
      <w:r>
        <w:rPr>
          <w:lang w:val="fr-FR"/>
        </w:rPr>
        <w:t>5 avril 2024</w:t>
      </w:r>
    </w:p>
    <w:p w14:paraId="5C9DCD94" w14:textId="23235198" w:rsidR="009D2DE3" w:rsidRPr="00690D70" w:rsidRDefault="009D2DE3" w:rsidP="009D2DE3">
      <w:pPr>
        <w:rPr>
          <w:lang w:val="fr-FR"/>
        </w:rPr>
      </w:pPr>
      <w:r>
        <w:rPr>
          <w:lang w:val="fr-FR"/>
        </w:rPr>
        <w:t>Point 5 a) de l</w:t>
      </w:r>
      <w:r w:rsidR="007802D9">
        <w:rPr>
          <w:lang w:val="fr-FR"/>
        </w:rPr>
        <w:t>’</w:t>
      </w:r>
      <w:r>
        <w:rPr>
          <w:lang w:val="fr-FR"/>
        </w:rPr>
        <w:t>ordre du jour provisoire</w:t>
      </w:r>
    </w:p>
    <w:p w14:paraId="2CE49776" w14:textId="067F589B" w:rsidR="009D2DE3" w:rsidRPr="00690D70" w:rsidRDefault="009D2DE3" w:rsidP="009D2DE3">
      <w:pPr>
        <w:rPr>
          <w:lang w:val="fr-FR"/>
        </w:rPr>
      </w:pPr>
      <w:r>
        <w:rPr>
          <w:b/>
          <w:bCs/>
          <w:lang w:val="fr-FR"/>
        </w:rPr>
        <w:t>Propositions d</w:t>
      </w:r>
      <w:r w:rsidR="007802D9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 aux annexes A et B de l</w:t>
      </w:r>
      <w:r w:rsidR="007802D9">
        <w:rPr>
          <w:b/>
          <w:bCs/>
          <w:lang w:val="fr-FR"/>
        </w:rPr>
        <w:t>’</w:t>
      </w:r>
      <w:r>
        <w:rPr>
          <w:b/>
          <w:bCs/>
          <w:lang w:val="fr-FR"/>
        </w:rPr>
        <w:t>ADR :</w:t>
      </w:r>
    </w:p>
    <w:p w14:paraId="58934489" w14:textId="77777777" w:rsidR="009D2DE3" w:rsidRPr="00690D70" w:rsidRDefault="009D2DE3" w:rsidP="009D2DE3">
      <w:pPr>
        <w:rPr>
          <w:b/>
          <w:bCs/>
          <w:lang w:val="fr-FR"/>
        </w:rPr>
      </w:pPr>
      <w:r>
        <w:rPr>
          <w:b/>
          <w:bCs/>
          <w:lang w:val="fr-FR"/>
        </w:rPr>
        <w:t>Construction et agrément des véhicules</w:t>
      </w:r>
    </w:p>
    <w:p w14:paraId="24B91E3A" w14:textId="77777777" w:rsidR="009D2DE3" w:rsidRPr="00690D70" w:rsidRDefault="009D2DE3" w:rsidP="009D2DE3">
      <w:pPr>
        <w:pStyle w:val="HChG"/>
        <w:rPr>
          <w:sz w:val="24"/>
          <w:szCs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Tableau figurant au 9.2.1.1</w:t>
      </w:r>
    </w:p>
    <w:p w14:paraId="6CC96478" w14:textId="77777777" w:rsidR="009D2DE3" w:rsidRPr="00690D70" w:rsidRDefault="009D2DE3" w:rsidP="009D2DE3">
      <w:pPr>
        <w:pStyle w:val="H1G"/>
        <w:rPr>
          <w:szCs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du Gouvernement néerlandais</w:t>
      </w:r>
      <w:r w:rsidRPr="009D2DE3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052041CA" w14:textId="7B07B076" w:rsidR="009D2DE3" w:rsidRPr="00690D70" w:rsidRDefault="009D2DE3" w:rsidP="009D2DE3">
      <w:pPr>
        <w:pStyle w:val="HChG"/>
        <w:rPr>
          <w:lang w:val="fr-FR"/>
        </w:rPr>
      </w:pPr>
      <w:r>
        <w:rPr>
          <w:lang w:val="fr-FR"/>
        </w:rPr>
        <w:tab/>
        <w:t>I.</w:t>
      </w:r>
      <w:r>
        <w:rPr>
          <w:lang w:val="fr-FR"/>
        </w:rPr>
        <w:tab/>
        <w:t>Introduction</w:t>
      </w:r>
    </w:p>
    <w:p w14:paraId="41888EF7" w14:textId="25E67466" w:rsidR="009D2DE3" w:rsidRPr="00690D70" w:rsidRDefault="009D2DE3" w:rsidP="009D2DE3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Le document informel INF.10 de la 114</w:t>
      </w:r>
      <w:r w:rsidRPr="009D2DE3">
        <w:rPr>
          <w:vertAlign w:val="superscript"/>
          <w:lang w:val="fr-FR"/>
        </w:rPr>
        <w:t>e</w:t>
      </w:r>
      <w:r>
        <w:rPr>
          <w:lang w:val="fr-FR"/>
        </w:rPr>
        <w:t> session mentionnait les problèmes d</w:t>
      </w:r>
      <w:r w:rsidR="007802D9">
        <w:rPr>
          <w:lang w:val="fr-FR"/>
        </w:rPr>
        <w:t>’</w:t>
      </w:r>
      <w:r>
        <w:rPr>
          <w:lang w:val="fr-FR"/>
        </w:rPr>
        <w:t>interprétation pouvant se présenter dans les cas où l</w:t>
      </w:r>
      <w:r w:rsidR="007802D9">
        <w:rPr>
          <w:lang w:val="fr-FR"/>
        </w:rPr>
        <w:t>’</w:t>
      </w:r>
      <w:r>
        <w:rPr>
          <w:lang w:val="fr-FR"/>
        </w:rPr>
        <w:t>application des prescriptions du chapitre 9.2 se faisait uniquement sur la base du tableau du 9.2.1.1.</w:t>
      </w:r>
    </w:p>
    <w:p w14:paraId="2EE1767E" w14:textId="536E1E74" w:rsidR="009D2DE3" w:rsidRPr="00690D70" w:rsidRDefault="009D2DE3" w:rsidP="009D2DE3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De nouvelles prescriptions relatives aux carburants de remplacement tels que le gaz naturel et le gaz de pétrole liquéfié ont été ajoutées au chapitre 9.2 de l</w:t>
      </w:r>
      <w:r w:rsidR="007802D9">
        <w:rPr>
          <w:lang w:val="fr-FR"/>
        </w:rPr>
        <w:t>’</w:t>
      </w:r>
      <w:r>
        <w:rPr>
          <w:lang w:val="fr-FR"/>
        </w:rPr>
        <w:t>ADR 2017. Elles renvoient aux règlements ONU généraux concernant les véhicules relatifs à la sécurité des réservoirs et des circuits de carburant des moteurs. La présence d</w:t>
      </w:r>
      <w:r w:rsidR="007802D9">
        <w:rPr>
          <w:lang w:val="fr-FR"/>
        </w:rPr>
        <w:t>’</w:t>
      </w:r>
      <w:r>
        <w:rPr>
          <w:lang w:val="fr-FR"/>
        </w:rPr>
        <w:t>une croix dans le tableau figurant au 9.2.1.1 indique que ces prescriptions s</w:t>
      </w:r>
      <w:r w:rsidR="007802D9">
        <w:rPr>
          <w:lang w:val="fr-FR"/>
        </w:rPr>
        <w:t>’</w:t>
      </w:r>
      <w:r>
        <w:rPr>
          <w:lang w:val="fr-FR"/>
        </w:rPr>
        <w:t>appliquent. En l</w:t>
      </w:r>
      <w:r w:rsidR="007802D9">
        <w:rPr>
          <w:lang w:val="fr-FR"/>
        </w:rPr>
        <w:t>’</w:t>
      </w:r>
      <w:r>
        <w:rPr>
          <w:lang w:val="fr-FR"/>
        </w:rPr>
        <w:t>absence de croix, on pourrait, selon l</w:t>
      </w:r>
      <w:r w:rsidR="007802D9">
        <w:rPr>
          <w:lang w:val="fr-FR"/>
        </w:rPr>
        <w:t>’</w:t>
      </w:r>
      <w:r>
        <w:rPr>
          <w:lang w:val="fr-FR"/>
        </w:rPr>
        <w:t>ordonnancement juridique concerné, en déduire que l</w:t>
      </w:r>
      <w:r w:rsidR="007802D9">
        <w:rPr>
          <w:lang w:val="fr-FR"/>
        </w:rPr>
        <w:t>’</w:t>
      </w:r>
      <w:r>
        <w:rPr>
          <w:lang w:val="fr-FR"/>
        </w:rPr>
        <w:t>équipement est alors interdit (l</w:t>
      </w:r>
      <w:r w:rsidR="007802D9">
        <w:rPr>
          <w:lang w:val="fr-FR"/>
        </w:rPr>
        <w:t>’</w:t>
      </w:r>
      <w:r>
        <w:rPr>
          <w:lang w:val="fr-FR"/>
        </w:rPr>
        <w:t>absence de croix signifierait qu</w:t>
      </w:r>
      <w:r w:rsidR="007802D9">
        <w:rPr>
          <w:lang w:val="fr-FR"/>
        </w:rPr>
        <w:t>’</w:t>
      </w:r>
      <w:r>
        <w:rPr>
          <w:lang w:val="fr-FR"/>
        </w:rPr>
        <w:t>aucun moteur à combustion interne n</w:t>
      </w:r>
      <w:r w:rsidR="007802D9">
        <w:rPr>
          <w:lang w:val="fr-FR"/>
        </w:rPr>
        <w:t>’</w:t>
      </w:r>
      <w:r>
        <w:rPr>
          <w:lang w:val="fr-FR"/>
        </w:rPr>
        <w:t>est autorisé). Étant donné que le chapitre 9.2 complète ou modifie les règlements généraux de sécurité en vigueur dans le pays d</w:t>
      </w:r>
      <w:r w:rsidR="007802D9">
        <w:rPr>
          <w:lang w:val="fr-FR"/>
        </w:rPr>
        <w:t>’</w:t>
      </w:r>
      <w:r>
        <w:rPr>
          <w:lang w:val="fr-FR"/>
        </w:rPr>
        <w:t>origine, ce n</w:t>
      </w:r>
      <w:r w:rsidR="007802D9">
        <w:rPr>
          <w:lang w:val="fr-FR"/>
        </w:rPr>
        <w:t>’</w:t>
      </w:r>
      <w:r>
        <w:rPr>
          <w:lang w:val="fr-FR"/>
        </w:rPr>
        <w:t>est évidemment pas le cas.</w:t>
      </w:r>
    </w:p>
    <w:p w14:paraId="1A8B94AB" w14:textId="2232245B" w:rsidR="009D2DE3" w:rsidRPr="00690D70" w:rsidRDefault="009D2DE3" w:rsidP="009D2DE3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Bien que dans la pratique le système soit bien compris et mis en application, il est nécessaire de trouver une solution pour éviter les erreurs d</w:t>
      </w:r>
      <w:r w:rsidR="007802D9">
        <w:rPr>
          <w:lang w:val="fr-FR"/>
        </w:rPr>
        <w:t>’</w:t>
      </w:r>
      <w:r>
        <w:rPr>
          <w:lang w:val="fr-FR"/>
        </w:rPr>
        <w:t>interprétation.</w:t>
      </w:r>
    </w:p>
    <w:p w14:paraId="77D3363D" w14:textId="506C1E97" w:rsidR="009D2DE3" w:rsidRPr="00690D70" w:rsidRDefault="009D2DE3" w:rsidP="009D2DE3">
      <w:pPr>
        <w:pStyle w:val="HChG"/>
        <w:rPr>
          <w:lang w:val="fr-FR"/>
        </w:rPr>
      </w:pPr>
      <w:r>
        <w:rPr>
          <w:lang w:val="fr-FR"/>
        </w:rPr>
        <w:tab/>
        <w:t>II.</w:t>
      </w:r>
      <w:r>
        <w:rPr>
          <w:lang w:val="fr-FR"/>
        </w:rPr>
        <w:tab/>
        <w:t>Proposition</w:t>
      </w:r>
    </w:p>
    <w:p w14:paraId="09A4365D" w14:textId="0A661CB3" w:rsidR="009D2DE3" w:rsidRPr="00690D70" w:rsidRDefault="009D2DE3" w:rsidP="009D2DE3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 xml:space="preserve">Modifier la ligne du tableau du 9.2.1.1 relative à la sous-section 9.2.4.4 de </w:t>
      </w:r>
      <w:r w:rsidRPr="002C0CF5">
        <w:rPr>
          <w:lang w:val="fr-FR"/>
        </w:rPr>
        <w:t>l</w:t>
      </w:r>
      <w:r w:rsidR="007802D9" w:rsidRPr="002C0CF5">
        <w:rPr>
          <w:lang w:val="fr-FR"/>
        </w:rPr>
        <w:t>’</w:t>
      </w:r>
      <w:r w:rsidRPr="002C0CF5">
        <w:rPr>
          <w:lang w:val="fr-FR"/>
        </w:rPr>
        <w:t>édition 2023 de l</w:t>
      </w:r>
      <w:r w:rsidR="007802D9" w:rsidRPr="002C0CF5">
        <w:rPr>
          <w:lang w:val="fr-FR"/>
        </w:rPr>
        <w:t>’</w:t>
      </w:r>
      <w:r w:rsidRPr="002C0CF5">
        <w:rPr>
          <w:lang w:val="fr-FR"/>
        </w:rPr>
        <w:t>ADR (ou 9.2.4.3 pour l</w:t>
      </w:r>
      <w:r w:rsidR="007802D9" w:rsidRPr="002C0CF5">
        <w:rPr>
          <w:lang w:val="fr-FR"/>
        </w:rPr>
        <w:t>’</w:t>
      </w:r>
      <w:r w:rsidRPr="002C0CF5">
        <w:rPr>
          <w:lang w:val="fr-FR"/>
        </w:rPr>
        <w:t>édition 2025 comme proposé à l</w:t>
      </w:r>
      <w:r w:rsidR="007802D9" w:rsidRPr="002C0CF5">
        <w:rPr>
          <w:lang w:val="fr-FR"/>
        </w:rPr>
        <w:t>’</w:t>
      </w:r>
      <w:r w:rsidRPr="002C0CF5">
        <w:rPr>
          <w:lang w:val="fr-FR"/>
        </w:rPr>
        <w:t>annexe III du rapport</w:t>
      </w:r>
      <w:r>
        <w:rPr>
          <w:lang w:val="fr-FR"/>
        </w:rPr>
        <w:t xml:space="preserve"> de la 114</w:t>
      </w:r>
      <w:r w:rsidRPr="009D2DE3">
        <w:rPr>
          <w:vertAlign w:val="superscript"/>
          <w:lang w:val="fr-FR"/>
        </w:rPr>
        <w:t>e</w:t>
      </w:r>
      <w:r>
        <w:rPr>
          <w:lang w:val="fr-FR"/>
        </w:rPr>
        <w:t xml:space="preserve"> session) comme suit :</w:t>
      </w: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1649"/>
        <w:gridCol w:w="541"/>
        <w:gridCol w:w="541"/>
        <w:gridCol w:w="541"/>
        <w:gridCol w:w="542"/>
        <w:gridCol w:w="2662"/>
      </w:tblGrid>
      <w:tr w:rsidR="001C2CED" w:rsidRPr="002829CE" w14:paraId="016BA7CB" w14:textId="77777777" w:rsidTr="001C2CED">
        <w:tc>
          <w:tcPr>
            <w:tcW w:w="895" w:type="dxa"/>
            <w:tcMar>
              <w:left w:w="0" w:type="dxa"/>
            </w:tcMar>
          </w:tcPr>
          <w:p w14:paraId="7BC63C76" w14:textId="77777777" w:rsidR="009D2DE3" w:rsidRPr="002D45F3" w:rsidRDefault="009D2DE3" w:rsidP="00062780">
            <w:pPr>
              <w:ind w:left="113"/>
              <w:rPr>
                <w:i/>
                <w:iCs/>
                <w:strike/>
                <w:sz w:val="18"/>
                <w:szCs w:val="18"/>
              </w:rPr>
            </w:pPr>
            <w:r>
              <w:rPr>
                <w:i/>
                <w:iCs/>
                <w:strike/>
                <w:lang w:val="fr-FR"/>
              </w:rPr>
              <w:t>9.2.4.4</w:t>
            </w:r>
          </w:p>
          <w:p w14:paraId="7F0A8149" w14:textId="77777777" w:rsidR="009D2DE3" w:rsidRPr="002D45F3" w:rsidRDefault="009D2DE3" w:rsidP="00062780">
            <w:pPr>
              <w:ind w:left="113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lang w:val="fr-FR"/>
              </w:rPr>
              <w:t>9.2.4.3</w:t>
            </w:r>
          </w:p>
        </w:tc>
        <w:tc>
          <w:tcPr>
            <w:tcW w:w="1649" w:type="dxa"/>
            <w:tcMar>
              <w:left w:w="0" w:type="dxa"/>
            </w:tcMar>
          </w:tcPr>
          <w:p w14:paraId="510EC8A0" w14:textId="77777777" w:rsidR="009D2DE3" w:rsidRPr="00690D70" w:rsidRDefault="009D2DE3" w:rsidP="00062780">
            <w:pPr>
              <w:ind w:left="113"/>
              <w:rPr>
                <w:i/>
                <w:iCs/>
                <w:sz w:val="18"/>
                <w:szCs w:val="18"/>
                <w:lang w:val="fr-FR"/>
              </w:rPr>
            </w:pPr>
            <w:r w:rsidRPr="00690D70">
              <w:rPr>
                <w:i/>
                <w:iCs/>
                <w:strike/>
                <w:sz w:val="18"/>
                <w:szCs w:val="18"/>
                <w:lang w:val="fr-FR"/>
              </w:rPr>
              <w:t>Moteur</w:t>
            </w:r>
            <w:r w:rsidRPr="00690D70">
              <w:rPr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90D70">
              <w:rPr>
                <w:i/>
                <w:iCs/>
                <w:sz w:val="18"/>
                <w:szCs w:val="18"/>
                <w:lang w:val="fr-FR"/>
              </w:rPr>
              <w:t>Moteur</w:t>
            </w:r>
            <w:proofErr w:type="spellEnd"/>
            <w:r w:rsidRPr="00690D70">
              <w:rPr>
                <w:i/>
                <w:iCs/>
                <w:sz w:val="18"/>
                <w:szCs w:val="18"/>
                <w:lang w:val="fr-FR"/>
              </w:rPr>
              <w:t xml:space="preserve"> à combustion i</w:t>
            </w:r>
            <w:r>
              <w:rPr>
                <w:i/>
                <w:iCs/>
                <w:sz w:val="18"/>
                <w:szCs w:val="18"/>
                <w:lang w:val="fr-FR"/>
              </w:rPr>
              <w:t>nterne</w:t>
            </w:r>
          </w:p>
        </w:tc>
        <w:tc>
          <w:tcPr>
            <w:tcW w:w="541" w:type="dxa"/>
            <w:tcMar>
              <w:left w:w="0" w:type="dxa"/>
            </w:tcMar>
          </w:tcPr>
          <w:p w14:paraId="3F338CC0" w14:textId="77777777" w:rsidR="009D2DE3" w:rsidRPr="002D45F3" w:rsidRDefault="009D2DE3" w:rsidP="00062780">
            <w:pPr>
              <w:ind w:left="113"/>
              <w:rPr>
                <w:sz w:val="18"/>
                <w:szCs w:val="18"/>
              </w:rPr>
            </w:pPr>
            <w:r w:rsidRPr="002D45F3">
              <w:rPr>
                <w:sz w:val="18"/>
                <w:szCs w:val="18"/>
              </w:rPr>
              <w:t>X</w:t>
            </w:r>
          </w:p>
        </w:tc>
        <w:tc>
          <w:tcPr>
            <w:tcW w:w="541" w:type="dxa"/>
            <w:tcMar>
              <w:left w:w="0" w:type="dxa"/>
            </w:tcMar>
          </w:tcPr>
          <w:p w14:paraId="37AB676F" w14:textId="77777777" w:rsidR="009D2DE3" w:rsidRPr="002D45F3" w:rsidRDefault="009D2DE3" w:rsidP="00062780">
            <w:pPr>
              <w:ind w:left="113"/>
              <w:rPr>
                <w:sz w:val="18"/>
                <w:szCs w:val="18"/>
              </w:rPr>
            </w:pPr>
            <w:r w:rsidRPr="002D45F3">
              <w:rPr>
                <w:sz w:val="18"/>
                <w:szCs w:val="18"/>
              </w:rPr>
              <w:t>X</w:t>
            </w:r>
          </w:p>
        </w:tc>
        <w:tc>
          <w:tcPr>
            <w:tcW w:w="541" w:type="dxa"/>
            <w:tcMar>
              <w:left w:w="0" w:type="dxa"/>
            </w:tcMar>
          </w:tcPr>
          <w:p w14:paraId="45ABE451" w14:textId="77777777" w:rsidR="009D2DE3" w:rsidRPr="002D45F3" w:rsidRDefault="009D2DE3" w:rsidP="00062780">
            <w:pPr>
              <w:ind w:left="113"/>
              <w:rPr>
                <w:sz w:val="18"/>
                <w:szCs w:val="18"/>
              </w:rPr>
            </w:pPr>
            <w:r w:rsidRPr="002D45F3">
              <w:rPr>
                <w:sz w:val="18"/>
                <w:szCs w:val="18"/>
              </w:rPr>
              <w:t>[</w:t>
            </w:r>
            <w:proofErr w:type="spellStart"/>
            <w:r w:rsidRPr="002D45F3">
              <w:rPr>
                <w:sz w:val="18"/>
                <w:szCs w:val="18"/>
              </w:rPr>
              <w:t>X</w:t>
            </w:r>
            <w:r w:rsidRPr="002D45F3">
              <w:rPr>
                <w:vertAlign w:val="superscript"/>
              </w:rPr>
              <w:t>k</w:t>
            </w:r>
            <w:proofErr w:type="spellEnd"/>
            <w:r w:rsidRPr="002D45F3">
              <w:t>]</w:t>
            </w:r>
          </w:p>
        </w:tc>
        <w:tc>
          <w:tcPr>
            <w:tcW w:w="542" w:type="dxa"/>
            <w:tcMar>
              <w:left w:w="0" w:type="dxa"/>
            </w:tcMar>
          </w:tcPr>
          <w:p w14:paraId="6E62CCD7" w14:textId="77777777" w:rsidR="009D2DE3" w:rsidRPr="002D45F3" w:rsidRDefault="009D2DE3" w:rsidP="00062780">
            <w:pPr>
              <w:ind w:left="113"/>
              <w:rPr>
                <w:sz w:val="18"/>
                <w:szCs w:val="18"/>
              </w:rPr>
            </w:pPr>
            <w:r w:rsidRPr="002D45F3">
              <w:rPr>
                <w:sz w:val="18"/>
                <w:szCs w:val="18"/>
              </w:rPr>
              <w:t>X</w:t>
            </w:r>
          </w:p>
        </w:tc>
        <w:tc>
          <w:tcPr>
            <w:tcW w:w="2662" w:type="dxa"/>
            <w:tcMar>
              <w:left w:w="0" w:type="dxa"/>
            </w:tcMar>
          </w:tcPr>
          <w:p w14:paraId="5F595701" w14:textId="5633F6A2" w:rsidR="009D2DE3" w:rsidRPr="00062780" w:rsidRDefault="009D2DE3" w:rsidP="00062780">
            <w:pPr>
              <w:ind w:left="113"/>
              <w:rPr>
                <w:i/>
                <w:iCs/>
                <w:spacing w:val="-2"/>
                <w:sz w:val="18"/>
                <w:szCs w:val="18"/>
                <w:lang w:val="fr-FR"/>
              </w:rPr>
            </w:pPr>
            <w:r w:rsidRPr="00062780">
              <w:rPr>
                <w:spacing w:val="-2"/>
                <w:lang w:val="fr-FR"/>
              </w:rPr>
              <w:t>[</w:t>
            </w:r>
            <w:r w:rsidRPr="00062780">
              <w:rPr>
                <w:spacing w:val="-2"/>
                <w:vertAlign w:val="superscript"/>
                <w:lang w:val="fr-FR"/>
              </w:rPr>
              <w:t>k</w:t>
            </w:r>
            <w:r w:rsidRPr="00062780">
              <w:rPr>
                <w:spacing w:val="-2"/>
                <w:lang w:val="fr-FR"/>
              </w:rPr>
              <w:t xml:space="preserve"> Applicable aux véhicules </w:t>
            </w:r>
            <w:r w:rsidR="00062780" w:rsidRPr="00062780">
              <w:rPr>
                <w:spacing w:val="-2"/>
                <w:lang w:val="fr-FR"/>
              </w:rPr>
              <w:t xml:space="preserve">à </w:t>
            </w:r>
            <w:r w:rsidRPr="00062780">
              <w:rPr>
                <w:spacing w:val="-2"/>
                <w:lang w:val="fr-FR"/>
              </w:rPr>
              <w:t>moteur immatriculés pour la première fois après le 31 mars 2026.]</w:t>
            </w:r>
          </w:p>
        </w:tc>
      </w:tr>
    </w:tbl>
    <w:p w14:paraId="12E84A56" w14:textId="006AC5AB" w:rsidR="009D2DE3" w:rsidRPr="002C0CF5" w:rsidRDefault="009D2DE3" w:rsidP="009D2DE3">
      <w:pPr>
        <w:pStyle w:val="SingleTxtG"/>
        <w:rPr>
          <w:lang w:val="fr-FR"/>
        </w:rPr>
      </w:pPr>
      <w:r>
        <w:rPr>
          <w:lang w:val="fr-FR"/>
        </w:rPr>
        <w:lastRenderedPageBreak/>
        <w:t>5.</w:t>
      </w:r>
      <w:r>
        <w:rPr>
          <w:lang w:val="fr-FR"/>
        </w:rPr>
        <w:tab/>
      </w:r>
      <w:r w:rsidRPr="002C0CF5">
        <w:rPr>
          <w:lang w:val="fr-FR"/>
        </w:rPr>
        <w:t>Ajouter une mesure transitoire libellée comme suit :</w:t>
      </w:r>
    </w:p>
    <w:p w14:paraId="7478912E" w14:textId="16EB3CCB" w:rsidR="009D2DE3" w:rsidRPr="00690D70" w:rsidRDefault="009D2DE3" w:rsidP="009D2DE3">
      <w:pPr>
        <w:pStyle w:val="SingleTxtG"/>
        <w:ind w:left="1701"/>
        <w:rPr>
          <w:b/>
          <w:bCs/>
          <w:i/>
          <w:iCs/>
          <w:sz w:val="28"/>
          <w:szCs w:val="28"/>
          <w:lang w:val="fr-FR"/>
        </w:rPr>
      </w:pPr>
      <w:r w:rsidRPr="002C0CF5">
        <w:rPr>
          <w:i/>
          <w:iCs/>
          <w:lang w:val="fr-FR"/>
        </w:rPr>
        <w:t>«</w:t>
      </w:r>
      <w:r w:rsidR="007802D9" w:rsidRPr="002C0CF5">
        <w:rPr>
          <w:i/>
          <w:iCs/>
          <w:lang w:val="fr-FR"/>
        </w:rPr>
        <w:t> </w:t>
      </w:r>
      <w:r w:rsidRPr="002C0CF5">
        <w:rPr>
          <w:i/>
          <w:iCs/>
          <w:lang w:val="fr-FR"/>
        </w:rPr>
        <w:t>1.6.5.yy Les véhicules immatriculés pour la première fois (ou mis en circulation, si l</w:t>
      </w:r>
      <w:r w:rsidR="007802D9" w:rsidRPr="002C0CF5">
        <w:rPr>
          <w:i/>
          <w:iCs/>
          <w:lang w:val="fr-FR"/>
        </w:rPr>
        <w:t>’</w:t>
      </w:r>
      <w:r w:rsidRPr="002C0CF5">
        <w:rPr>
          <w:i/>
          <w:iCs/>
          <w:lang w:val="fr-FR"/>
        </w:rPr>
        <w:t>immatriculation</w:t>
      </w:r>
      <w:r>
        <w:rPr>
          <w:i/>
          <w:iCs/>
          <w:lang w:val="fr-FR"/>
        </w:rPr>
        <w:t xml:space="preserve"> n</w:t>
      </w:r>
      <w:r w:rsidR="007802D9">
        <w:rPr>
          <w:i/>
          <w:iCs/>
          <w:lang w:val="fr-FR"/>
        </w:rPr>
        <w:t>’</w:t>
      </w:r>
      <w:r>
        <w:rPr>
          <w:i/>
          <w:iCs/>
          <w:lang w:val="fr-FR"/>
        </w:rPr>
        <w:t>est pas obligatoire) avant le [1</w:t>
      </w:r>
      <w:r w:rsidRPr="00062780">
        <w:rPr>
          <w:i/>
          <w:iCs/>
          <w:vertAlign w:val="superscript"/>
          <w:lang w:val="fr-FR"/>
        </w:rPr>
        <w:t>er</w:t>
      </w:r>
      <w:r w:rsidR="00062780">
        <w:rPr>
          <w:i/>
          <w:iCs/>
          <w:lang w:val="fr-FR"/>
        </w:rPr>
        <w:t> </w:t>
      </w:r>
      <w:r>
        <w:rPr>
          <w:i/>
          <w:iCs/>
          <w:lang w:val="fr-FR"/>
        </w:rPr>
        <w:t>avril 2026], agréés en tant que véhicules AT, qui ne sont pas conformes aux dispositions du 9.2.4.3 en ce qui concerne les réservoirs de carburant, peuvent encore être utilisés.</w:t>
      </w:r>
      <w:r w:rsidR="007802D9">
        <w:rPr>
          <w:i/>
          <w:iCs/>
          <w:lang w:val="fr-FR"/>
        </w:rPr>
        <w:t> </w:t>
      </w:r>
      <w:r>
        <w:rPr>
          <w:i/>
          <w:iCs/>
          <w:lang w:val="fr-FR"/>
        </w:rPr>
        <w:t>».</w:t>
      </w:r>
    </w:p>
    <w:p w14:paraId="5066824A" w14:textId="19C1AA9B" w:rsidR="009D2DE3" w:rsidRPr="00690D70" w:rsidRDefault="009D2DE3" w:rsidP="009D2DE3">
      <w:pPr>
        <w:pStyle w:val="HChG"/>
        <w:rPr>
          <w:lang w:val="fr-FR"/>
        </w:rPr>
      </w:pPr>
      <w:r>
        <w:rPr>
          <w:bCs/>
          <w:lang w:val="fr-FR"/>
        </w:rPr>
        <w:tab/>
        <w:t>III.</w:t>
      </w:r>
      <w:r>
        <w:rPr>
          <w:lang w:val="fr-FR"/>
        </w:rPr>
        <w:tab/>
      </w:r>
      <w:r>
        <w:rPr>
          <w:bCs/>
          <w:lang w:val="fr-FR"/>
        </w:rPr>
        <w:t>Justification</w:t>
      </w:r>
    </w:p>
    <w:p w14:paraId="07A13AC3" w14:textId="4EC21698" w:rsidR="009D2DE3" w:rsidRPr="00690D70" w:rsidRDefault="009D2DE3" w:rsidP="009D2DE3">
      <w:pPr>
        <w:pStyle w:val="SingleTxtG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>Trois des lignes du tableau figurant au 9.2.1.1 risquent d</w:t>
      </w:r>
      <w:r w:rsidR="007802D9">
        <w:rPr>
          <w:lang w:val="fr-FR"/>
        </w:rPr>
        <w:t>’</w:t>
      </w:r>
      <w:r>
        <w:rPr>
          <w:lang w:val="fr-FR"/>
        </w:rPr>
        <w:t>être mal comprises. Les</w:t>
      </w:r>
      <w:r w:rsidR="007802D9">
        <w:rPr>
          <w:lang w:val="fr-FR"/>
        </w:rPr>
        <w:t> </w:t>
      </w:r>
      <w:r>
        <w:rPr>
          <w:lang w:val="fr-FR"/>
        </w:rPr>
        <w:t>véhicules AT sont déjà concernés par la nouvelle ligne 9.2.4.2 sur les réservoirs de carburant (voir l</w:t>
      </w:r>
      <w:r w:rsidR="007802D9">
        <w:rPr>
          <w:lang w:val="fr-FR"/>
        </w:rPr>
        <w:t>’</w:t>
      </w:r>
      <w:r>
        <w:rPr>
          <w:lang w:val="fr-FR"/>
        </w:rPr>
        <w:t>annexe</w:t>
      </w:r>
      <w:r w:rsidR="007802D9">
        <w:rPr>
          <w:lang w:val="fr-FR"/>
        </w:rPr>
        <w:t> </w:t>
      </w:r>
      <w:r>
        <w:rPr>
          <w:lang w:val="fr-FR"/>
        </w:rPr>
        <w:t>III du document ECE/TRANS/WP.15/264). En raison de l</w:t>
      </w:r>
      <w:r w:rsidR="007802D9">
        <w:rPr>
          <w:lang w:val="fr-FR"/>
        </w:rPr>
        <w:t>’</w:t>
      </w:r>
      <w:r>
        <w:rPr>
          <w:lang w:val="fr-FR"/>
        </w:rPr>
        <w:t>arrivée sur le marché des réservoirs à hydrogène, on a considéré qu</w:t>
      </w:r>
      <w:r w:rsidR="007802D9">
        <w:rPr>
          <w:lang w:val="fr-FR"/>
        </w:rPr>
        <w:t>’</w:t>
      </w:r>
      <w:r>
        <w:rPr>
          <w:lang w:val="fr-FR"/>
        </w:rPr>
        <w:t>il était essentiel de garantir un haut niveau de sécurité dans tous les cas. Le document du groupe de travail informel des véhicules électriques contient une proposition relative à la chaîne de traction électrique (voir</w:t>
      </w:r>
      <w:r w:rsidR="00062780">
        <w:rPr>
          <w:lang w:val="fr-FR"/>
        </w:rPr>
        <w:t> </w:t>
      </w:r>
      <w:r>
        <w:rPr>
          <w:lang w:val="fr-FR"/>
        </w:rPr>
        <w:t>ECE/TRANS/WP.15/2024/7). Dans ce cas, il convient de préciser que les véhicules équipés d</w:t>
      </w:r>
      <w:r w:rsidR="007802D9">
        <w:rPr>
          <w:lang w:val="fr-FR"/>
        </w:rPr>
        <w:t>’</w:t>
      </w:r>
      <w:r>
        <w:rPr>
          <w:lang w:val="fr-FR"/>
        </w:rPr>
        <w:t>une chaîne de traction électrique ne peuvent faire partie de la catégorie des véhicules</w:t>
      </w:r>
      <w:r w:rsidR="007802D9">
        <w:rPr>
          <w:lang w:val="fr-FR"/>
        </w:rPr>
        <w:t> </w:t>
      </w:r>
      <w:r>
        <w:rPr>
          <w:lang w:val="fr-FR"/>
        </w:rPr>
        <w:t>EX et, d</w:t>
      </w:r>
      <w:r w:rsidR="007802D9">
        <w:rPr>
          <w:lang w:val="fr-FR"/>
        </w:rPr>
        <w:t>’</w:t>
      </w:r>
      <w:r>
        <w:rPr>
          <w:lang w:val="fr-FR"/>
        </w:rPr>
        <w:t>une manière générale, d</w:t>
      </w:r>
      <w:r w:rsidR="007802D9">
        <w:rPr>
          <w:lang w:val="fr-FR"/>
        </w:rPr>
        <w:t>’</w:t>
      </w:r>
      <w:r>
        <w:rPr>
          <w:lang w:val="fr-FR"/>
        </w:rPr>
        <w:t>interdire les remorques électrifiées pour l</w:t>
      </w:r>
      <w:r w:rsidR="007802D9">
        <w:rPr>
          <w:lang w:val="fr-FR"/>
        </w:rPr>
        <w:t>’</w:t>
      </w:r>
      <w:r>
        <w:rPr>
          <w:lang w:val="fr-FR"/>
        </w:rPr>
        <w:t>instant.</w:t>
      </w:r>
    </w:p>
    <w:p w14:paraId="4F57F134" w14:textId="61744050" w:rsidR="009D2DE3" w:rsidRPr="00690D70" w:rsidRDefault="009D2DE3" w:rsidP="009D2DE3">
      <w:pPr>
        <w:pStyle w:val="SingleTxtG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>La proposition d</w:t>
      </w:r>
      <w:r w:rsidR="007802D9">
        <w:rPr>
          <w:lang w:val="fr-FR"/>
        </w:rPr>
        <w:t>’</w:t>
      </w:r>
      <w:r>
        <w:rPr>
          <w:lang w:val="fr-FR"/>
        </w:rPr>
        <w:t>ajouter une croix pour la catégorie AT dans la ligne «</w:t>
      </w:r>
      <w:r w:rsidR="00062780">
        <w:rPr>
          <w:lang w:val="fr-FR"/>
        </w:rPr>
        <w:t> </w:t>
      </w:r>
      <w:r>
        <w:rPr>
          <w:lang w:val="fr-FR"/>
        </w:rPr>
        <w:t>Moteur à combustion interne</w:t>
      </w:r>
      <w:r w:rsidR="00062780">
        <w:rPr>
          <w:lang w:val="fr-FR"/>
        </w:rPr>
        <w:t> </w:t>
      </w:r>
      <w:r>
        <w:rPr>
          <w:lang w:val="fr-FR"/>
        </w:rPr>
        <w:t>» éviterait cette interprétation, et aurait pour conséquence de faire s</w:t>
      </w:r>
      <w:r w:rsidR="007802D9">
        <w:rPr>
          <w:lang w:val="fr-FR"/>
        </w:rPr>
        <w:t>’</w:t>
      </w:r>
      <w:r>
        <w:rPr>
          <w:lang w:val="fr-FR"/>
        </w:rPr>
        <w:t>appliquer les règlements généraux de sécurité à la catégorie AT. On peut cependant se demander si ces véhicules ne devraient pas de toute façon les respecter. Une mesure transitoire est prévue pour les véhicules existants.</w:t>
      </w:r>
    </w:p>
    <w:p w14:paraId="1CADC3A9" w14:textId="6262A0C7" w:rsidR="00F9573C" w:rsidRDefault="009D2DE3" w:rsidP="009D2DE3">
      <w:pPr>
        <w:pStyle w:val="SingleTxtG"/>
        <w:rPr>
          <w:lang w:val="fr-FR"/>
        </w:rPr>
      </w:pPr>
      <w:r>
        <w:rPr>
          <w:lang w:val="fr-FR"/>
        </w:rPr>
        <w:t>8.</w:t>
      </w:r>
      <w:r>
        <w:rPr>
          <w:lang w:val="fr-FR"/>
        </w:rPr>
        <w:tab/>
        <w:t>Le présent document a pour but d</w:t>
      </w:r>
      <w:r w:rsidR="007802D9">
        <w:rPr>
          <w:lang w:val="fr-FR"/>
        </w:rPr>
        <w:t>’</w:t>
      </w:r>
      <w:r>
        <w:rPr>
          <w:lang w:val="fr-FR"/>
        </w:rPr>
        <w:t>éviter une interprétation erronée du tableau du 9.2.1.1 de l</w:t>
      </w:r>
      <w:r w:rsidR="007802D9">
        <w:rPr>
          <w:lang w:val="fr-FR"/>
        </w:rPr>
        <w:t>’</w:t>
      </w:r>
      <w:r>
        <w:rPr>
          <w:lang w:val="fr-FR"/>
        </w:rPr>
        <w:t>ADR en ce qui concerne les véhicules AT. Le fait d</w:t>
      </w:r>
      <w:r w:rsidR="007802D9">
        <w:rPr>
          <w:lang w:val="fr-FR"/>
        </w:rPr>
        <w:t>’</w:t>
      </w:r>
      <w:r>
        <w:rPr>
          <w:lang w:val="fr-FR"/>
        </w:rPr>
        <w:t>adopter une approche plus systématique et plus logique dans l</w:t>
      </w:r>
      <w:r w:rsidR="007802D9">
        <w:rPr>
          <w:lang w:val="fr-FR"/>
        </w:rPr>
        <w:t>’</w:t>
      </w:r>
      <w:r>
        <w:rPr>
          <w:lang w:val="fr-FR"/>
        </w:rPr>
        <w:t>ADR permet de clarifier le cadre juridique et d</w:t>
      </w:r>
      <w:r w:rsidR="007802D9">
        <w:rPr>
          <w:lang w:val="fr-FR"/>
        </w:rPr>
        <w:t>’</w:t>
      </w:r>
      <w:r>
        <w:rPr>
          <w:lang w:val="fr-FR"/>
        </w:rPr>
        <w:t>éviter que des critères différents soient appliqués selon les Parties contractantes et les services d</w:t>
      </w:r>
      <w:r w:rsidR="007802D9">
        <w:rPr>
          <w:lang w:val="fr-FR"/>
        </w:rPr>
        <w:t>’</w:t>
      </w:r>
      <w:r>
        <w:rPr>
          <w:lang w:val="fr-FR"/>
        </w:rPr>
        <w:t>inspection, ce qui est conforme à l</w:t>
      </w:r>
      <w:r w:rsidR="007802D9">
        <w:rPr>
          <w:lang w:val="fr-FR"/>
        </w:rPr>
        <w:t>’</w:t>
      </w:r>
      <w:r>
        <w:rPr>
          <w:lang w:val="fr-FR"/>
        </w:rPr>
        <w:t>objectif de développement durable n</w:t>
      </w:r>
      <w:r w:rsidRPr="007802D9">
        <w:rPr>
          <w:vertAlign w:val="superscript"/>
          <w:lang w:val="fr-FR"/>
        </w:rPr>
        <w:t>o</w:t>
      </w:r>
      <w:r w:rsidR="007802D9">
        <w:rPr>
          <w:lang w:val="fr-FR"/>
        </w:rPr>
        <w:t> </w:t>
      </w:r>
      <w:r>
        <w:rPr>
          <w:lang w:val="fr-FR"/>
        </w:rPr>
        <w:t>16 (Paix, justice et institutions efficaces).</w:t>
      </w:r>
    </w:p>
    <w:p w14:paraId="589CE52B" w14:textId="152CA262" w:rsidR="009D2DE3" w:rsidRPr="009D2DE3" w:rsidRDefault="009D2DE3" w:rsidP="009D2DE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2DE3" w:rsidRPr="009D2DE3" w:rsidSect="009D2DE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6184" w14:textId="77777777" w:rsidR="00261F31" w:rsidRDefault="00261F31" w:rsidP="00F95C08">
      <w:pPr>
        <w:spacing w:line="240" w:lineRule="auto"/>
      </w:pPr>
    </w:p>
  </w:endnote>
  <w:endnote w:type="continuationSeparator" w:id="0">
    <w:p w14:paraId="458DE9AF" w14:textId="77777777" w:rsidR="00261F31" w:rsidRPr="00AC3823" w:rsidRDefault="00261F31" w:rsidP="00AC3823">
      <w:pPr>
        <w:pStyle w:val="Pieddepage"/>
      </w:pPr>
    </w:p>
  </w:endnote>
  <w:endnote w:type="continuationNotice" w:id="1">
    <w:p w14:paraId="7B5585EA" w14:textId="77777777" w:rsidR="00261F31" w:rsidRDefault="00261F3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FD96" w14:textId="4D880200" w:rsidR="009D2DE3" w:rsidRPr="009D2DE3" w:rsidRDefault="009D2DE3" w:rsidP="009D2DE3">
    <w:pPr>
      <w:pStyle w:val="Pieddepage"/>
      <w:tabs>
        <w:tab w:val="right" w:pos="9638"/>
      </w:tabs>
    </w:pPr>
    <w:r w:rsidRPr="009D2DE3">
      <w:rPr>
        <w:b/>
        <w:sz w:val="18"/>
      </w:rPr>
      <w:fldChar w:fldCharType="begin"/>
    </w:r>
    <w:r w:rsidRPr="009D2DE3">
      <w:rPr>
        <w:b/>
        <w:sz w:val="18"/>
      </w:rPr>
      <w:instrText xml:space="preserve"> PAGE  \* MERGEFORMAT </w:instrText>
    </w:r>
    <w:r w:rsidRPr="009D2DE3">
      <w:rPr>
        <w:b/>
        <w:sz w:val="18"/>
      </w:rPr>
      <w:fldChar w:fldCharType="separate"/>
    </w:r>
    <w:r w:rsidRPr="009D2DE3">
      <w:rPr>
        <w:b/>
        <w:noProof/>
        <w:sz w:val="18"/>
      </w:rPr>
      <w:t>2</w:t>
    </w:r>
    <w:r w:rsidRPr="009D2DE3">
      <w:rPr>
        <w:b/>
        <w:sz w:val="18"/>
      </w:rPr>
      <w:fldChar w:fldCharType="end"/>
    </w:r>
    <w:r>
      <w:rPr>
        <w:b/>
        <w:sz w:val="18"/>
      </w:rPr>
      <w:tab/>
    </w:r>
    <w:r>
      <w:t>GE.24-00632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1EAD" w14:textId="619AE782" w:rsidR="009D2DE3" w:rsidRPr="009D2DE3" w:rsidRDefault="009D2DE3" w:rsidP="009D2DE3">
    <w:pPr>
      <w:pStyle w:val="Pieddepage"/>
      <w:tabs>
        <w:tab w:val="right" w:pos="9638"/>
      </w:tabs>
      <w:rPr>
        <w:b/>
        <w:sz w:val="18"/>
      </w:rPr>
    </w:pPr>
    <w:r>
      <w:t>GE.24-00632</w:t>
    </w:r>
    <w:r>
      <w:tab/>
    </w:r>
    <w:r w:rsidRPr="009D2DE3">
      <w:rPr>
        <w:b/>
        <w:sz w:val="18"/>
      </w:rPr>
      <w:fldChar w:fldCharType="begin"/>
    </w:r>
    <w:r w:rsidRPr="009D2DE3">
      <w:rPr>
        <w:b/>
        <w:sz w:val="18"/>
      </w:rPr>
      <w:instrText xml:space="preserve"> PAGE  \* MERGEFORMAT </w:instrText>
    </w:r>
    <w:r w:rsidRPr="009D2DE3">
      <w:rPr>
        <w:b/>
        <w:sz w:val="18"/>
      </w:rPr>
      <w:fldChar w:fldCharType="separate"/>
    </w:r>
    <w:r w:rsidRPr="009D2DE3">
      <w:rPr>
        <w:b/>
        <w:noProof/>
        <w:sz w:val="18"/>
      </w:rPr>
      <w:t>3</w:t>
    </w:r>
    <w:r w:rsidRPr="009D2DE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2D44" w14:textId="0CB09DF6" w:rsidR="007F20FA" w:rsidRPr="009D2DE3" w:rsidRDefault="009D2DE3" w:rsidP="009D2DE3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CD2F36E" wp14:editId="2CEB81C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24-00632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A2F6F11" wp14:editId="65C68FA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49469357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130224    130224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B8F6" w14:textId="77777777" w:rsidR="00261F31" w:rsidRPr="00AC3823" w:rsidRDefault="00261F3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E41F620" w14:textId="77777777" w:rsidR="00261F31" w:rsidRPr="00AC3823" w:rsidRDefault="00261F3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1A96D25" w14:textId="77777777" w:rsidR="00261F31" w:rsidRPr="00AC3823" w:rsidRDefault="00261F31">
      <w:pPr>
        <w:spacing w:line="240" w:lineRule="auto"/>
        <w:rPr>
          <w:sz w:val="2"/>
          <w:szCs w:val="2"/>
        </w:rPr>
      </w:pPr>
    </w:p>
  </w:footnote>
  <w:footnote w:id="2">
    <w:p w14:paraId="09F9A49C" w14:textId="5B367284" w:rsidR="009D2DE3" w:rsidRPr="00B13AD8" w:rsidRDefault="009D2DE3" w:rsidP="009D2DE3">
      <w:pPr>
        <w:pStyle w:val="Notedebasdepage"/>
      </w:pPr>
      <w:r>
        <w:rPr>
          <w:lang w:val="fr-FR"/>
        </w:rPr>
        <w:tab/>
      </w:r>
      <w:r w:rsidRPr="009D2DE3">
        <w:rPr>
          <w:sz w:val="20"/>
          <w:lang w:val="fr-FR"/>
        </w:rPr>
        <w:t>*</w:t>
      </w:r>
      <w:r>
        <w:rPr>
          <w:lang w:val="fr-FR"/>
        </w:rPr>
        <w:tab/>
        <w:t>A/78/6 (Sect.</w:t>
      </w:r>
      <w:r w:rsidR="00062780">
        <w:rPr>
          <w:lang w:val="fr-FR"/>
        </w:rPr>
        <w:t> </w:t>
      </w:r>
      <w:r>
        <w:rPr>
          <w:lang w:val="fr-FR"/>
        </w:rPr>
        <w:t>20), tableau</w:t>
      </w:r>
      <w:r w:rsidR="00062780">
        <w:rPr>
          <w:lang w:val="fr-FR"/>
        </w:rPr>
        <w:t> </w:t>
      </w:r>
      <w:r>
        <w:rPr>
          <w:lang w:val="fr-FR"/>
        </w:rPr>
        <w:t>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6140" w14:textId="496C9E56" w:rsidR="009D2DE3" w:rsidRPr="009D2DE3" w:rsidRDefault="00B50126">
    <w:pPr>
      <w:pStyle w:val="En-tte"/>
    </w:pPr>
    <w:fldSimple w:instr=" TITLE  \* MERGEFORMAT ">
      <w:r w:rsidR="00110C9E">
        <w:t>ECE/TRANS/WP.15/2024/7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5931" w14:textId="00A1B492" w:rsidR="009D2DE3" w:rsidRPr="009D2DE3" w:rsidRDefault="00B50126" w:rsidP="009D2DE3">
    <w:pPr>
      <w:pStyle w:val="En-tte"/>
      <w:jc w:val="right"/>
    </w:pPr>
    <w:fldSimple w:instr=" TITLE  \* MERGEFORMAT ">
      <w:r w:rsidR="00110C9E">
        <w:t>ECE/TRANS/WP.15/2024/7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331130290">
    <w:abstractNumId w:val="12"/>
  </w:num>
  <w:num w:numId="2" w16cid:durableId="1187524817">
    <w:abstractNumId w:val="11"/>
  </w:num>
  <w:num w:numId="3" w16cid:durableId="499274596">
    <w:abstractNumId w:val="10"/>
  </w:num>
  <w:num w:numId="4" w16cid:durableId="590624327">
    <w:abstractNumId w:val="8"/>
  </w:num>
  <w:num w:numId="5" w16cid:durableId="1566254161">
    <w:abstractNumId w:val="3"/>
  </w:num>
  <w:num w:numId="6" w16cid:durableId="1913003989">
    <w:abstractNumId w:val="2"/>
  </w:num>
  <w:num w:numId="7" w16cid:durableId="848133406">
    <w:abstractNumId w:val="1"/>
  </w:num>
  <w:num w:numId="8" w16cid:durableId="1370839497">
    <w:abstractNumId w:val="0"/>
  </w:num>
  <w:num w:numId="9" w16cid:durableId="518355845">
    <w:abstractNumId w:val="9"/>
  </w:num>
  <w:num w:numId="10" w16cid:durableId="1119376484">
    <w:abstractNumId w:val="7"/>
  </w:num>
  <w:num w:numId="11" w16cid:durableId="916281968">
    <w:abstractNumId w:val="6"/>
  </w:num>
  <w:num w:numId="12" w16cid:durableId="989558059">
    <w:abstractNumId w:val="5"/>
  </w:num>
  <w:num w:numId="13" w16cid:durableId="542403810">
    <w:abstractNumId w:val="4"/>
  </w:num>
  <w:num w:numId="14" w16cid:durableId="1038433257">
    <w:abstractNumId w:val="12"/>
  </w:num>
  <w:num w:numId="15" w16cid:durableId="2111659382">
    <w:abstractNumId w:val="11"/>
  </w:num>
  <w:num w:numId="16" w16cid:durableId="17047902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31"/>
    <w:rsid w:val="00017F94"/>
    <w:rsid w:val="00023842"/>
    <w:rsid w:val="000334F9"/>
    <w:rsid w:val="00045FEB"/>
    <w:rsid w:val="00062780"/>
    <w:rsid w:val="0007796D"/>
    <w:rsid w:val="000B7790"/>
    <w:rsid w:val="00110C9E"/>
    <w:rsid w:val="00111F2F"/>
    <w:rsid w:val="0014365E"/>
    <w:rsid w:val="00143C66"/>
    <w:rsid w:val="00176178"/>
    <w:rsid w:val="001C2CED"/>
    <w:rsid w:val="001F525A"/>
    <w:rsid w:val="00201148"/>
    <w:rsid w:val="00223272"/>
    <w:rsid w:val="0024779E"/>
    <w:rsid w:val="00257168"/>
    <w:rsid w:val="00261F31"/>
    <w:rsid w:val="002744B8"/>
    <w:rsid w:val="002832AC"/>
    <w:rsid w:val="002C0CF5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802D9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D2DE3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50126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2AAC7"/>
  <w15:docId w15:val="{9D217354-0A46-4CE3-B003-D5099D12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9D2DE3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9D2DE3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5EA496-0DF6-4960-98BE-C0B98AB94302}"/>
</file>

<file path=customXml/itemProps2.xml><?xml version="1.0" encoding="utf-8"?>
<ds:datastoreItem xmlns:ds="http://schemas.openxmlformats.org/officeDocument/2006/customXml" ds:itemID="{68DA21FE-0815-4BC1-9D6B-998B40F42C9D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523</Words>
  <Characters>3666</Characters>
  <Application>Microsoft Office Word</Application>
  <DocSecurity>0</DocSecurity>
  <Lines>305</Lines>
  <Paragraphs>167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ECE/TRANS/WP.15/2024/7</vt:lpstr>
    </vt:vector>
  </TitlesOfParts>
  <Company>DCM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ECE/TRANS/WP.15/2024/7</dc:title>
  <dc:subject/>
  <dc:creator>Estelle-Delphine DITTA</dc:creator>
  <cp:keywords/>
  <cp:lastModifiedBy>Estelle-Delphine DITTA</cp:lastModifiedBy>
  <cp:revision>3</cp:revision>
  <cp:lastPrinted>2024-02-13T13:20:00Z</cp:lastPrinted>
  <dcterms:created xsi:type="dcterms:W3CDTF">2024-02-13T13:19:00Z</dcterms:created>
  <dcterms:modified xsi:type="dcterms:W3CDTF">2024-02-13T13:20:00Z</dcterms:modified>
</cp:coreProperties>
</file>