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17A7B6DE" w14:textId="77777777" w:rsidTr="00C97039">
        <w:trPr>
          <w:trHeight w:hRule="exact" w:val="851"/>
        </w:trPr>
        <w:tc>
          <w:tcPr>
            <w:tcW w:w="1276" w:type="dxa"/>
            <w:tcBorders>
              <w:bottom w:val="single" w:sz="4" w:space="0" w:color="auto"/>
            </w:tcBorders>
          </w:tcPr>
          <w:p w14:paraId="0A94717F" w14:textId="77777777" w:rsidR="00F35BAF" w:rsidRPr="00DB58B5" w:rsidRDefault="00F35BAF" w:rsidP="002B1D76"/>
        </w:tc>
        <w:tc>
          <w:tcPr>
            <w:tcW w:w="2268" w:type="dxa"/>
            <w:tcBorders>
              <w:bottom w:val="single" w:sz="4" w:space="0" w:color="auto"/>
            </w:tcBorders>
            <w:vAlign w:val="bottom"/>
          </w:tcPr>
          <w:p w14:paraId="7BD2D113"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1ABD217" w14:textId="24710AF7" w:rsidR="00F35BAF" w:rsidRPr="00DB58B5" w:rsidRDefault="002B1D76" w:rsidP="002B1D76">
            <w:pPr>
              <w:jc w:val="right"/>
            </w:pPr>
            <w:r w:rsidRPr="002B1D76">
              <w:rPr>
                <w:sz w:val="40"/>
              </w:rPr>
              <w:t>ECE</w:t>
            </w:r>
            <w:r>
              <w:t>/TRANS/2024/4</w:t>
            </w:r>
          </w:p>
        </w:tc>
      </w:tr>
      <w:tr w:rsidR="00F35BAF" w:rsidRPr="00DB58B5" w14:paraId="36C2D867" w14:textId="77777777" w:rsidTr="00C97039">
        <w:trPr>
          <w:trHeight w:hRule="exact" w:val="2835"/>
        </w:trPr>
        <w:tc>
          <w:tcPr>
            <w:tcW w:w="1276" w:type="dxa"/>
            <w:tcBorders>
              <w:top w:val="single" w:sz="4" w:space="0" w:color="auto"/>
              <w:bottom w:val="single" w:sz="12" w:space="0" w:color="auto"/>
            </w:tcBorders>
          </w:tcPr>
          <w:p w14:paraId="181F1574" w14:textId="77777777" w:rsidR="00F35BAF" w:rsidRPr="00DB58B5" w:rsidRDefault="00F35BAF" w:rsidP="00C97039">
            <w:pPr>
              <w:spacing w:before="120"/>
              <w:jc w:val="center"/>
            </w:pPr>
            <w:r>
              <w:rPr>
                <w:noProof/>
                <w:lang w:eastAsia="fr-CH"/>
              </w:rPr>
              <w:drawing>
                <wp:inline distT="0" distB="0" distL="0" distR="0" wp14:anchorId="7C15D9AA" wp14:editId="6D4C458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B86BC75"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BBB8B0E" w14:textId="77777777" w:rsidR="00F35BAF" w:rsidRDefault="002B1D76" w:rsidP="00C97039">
            <w:pPr>
              <w:spacing w:before="240"/>
            </w:pPr>
            <w:r>
              <w:t>Distr. générale</w:t>
            </w:r>
          </w:p>
          <w:p w14:paraId="092CD28A" w14:textId="77777777" w:rsidR="002B1D76" w:rsidRDefault="002B1D76" w:rsidP="002B1D76">
            <w:pPr>
              <w:spacing w:line="240" w:lineRule="exact"/>
            </w:pPr>
            <w:r>
              <w:t>11 décembre 2023</w:t>
            </w:r>
          </w:p>
          <w:p w14:paraId="02B19937" w14:textId="77777777" w:rsidR="002B1D76" w:rsidRDefault="002B1D76" w:rsidP="002B1D76">
            <w:pPr>
              <w:spacing w:line="240" w:lineRule="exact"/>
            </w:pPr>
            <w:r>
              <w:t>Français</w:t>
            </w:r>
          </w:p>
          <w:p w14:paraId="7AF8D2FB" w14:textId="6F92ABED" w:rsidR="002B1D76" w:rsidRPr="00DB58B5" w:rsidRDefault="002B1D76" w:rsidP="002B1D76">
            <w:pPr>
              <w:spacing w:line="240" w:lineRule="exact"/>
            </w:pPr>
            <w:r>
              <w:t>Original : anglais</w:t>
            </w:r>
          </w:p>
        </w:tc>
      </w:tr>
    </w:tbl>
    <w:p w14:paraId="6BF4AC93" w14:textId="77777777" w:rsidR="007F20FA" w:rsidRPr="000312C0" w:rsidRDefault="007F20FA" w:rsidP="007F20FA">
      <w:pPr>
        <w:spacing w:before="120"/>
        <w:rPr>
          <w:b/>
          <w:sz w:val="28"/>
          <w:szCs w:val="28"/>
        </w:rPr>
      </w:pPr>
      <w:r w:rsidRPr="000312C0">
        <w:rPr>
          <w:b/>
          <w:sz w:val="28"/>
          <w:szCs w:val="28"/>
        </w:rPr>
        <w:t>Commission économique pour l’Europe</w:t>
      </w:r>
    </w:p>
    <w:p w14:paraId="248D7658" w14:textId="77777777" w:rsidR="007F20FA" w:rsidRDefault="007F20FA" w:rsidP="007F20FA">
      <w:pPr>
        <w:spacing w:before="120"/>
        <w:rPr>
          <w:sz w:val="28"/>
          <w:szCs w:val="28"/>
        </w:rPr>
      </w:pPr>
      <w:r w:rsidRPr="00685843">
        <w:rPr>
          <w:sz w:val="28"/>
          <w:szCs w:val="28"/>
        </w:rPr>
        <w:t>Comité des transports intérieurs</w:t>
      </w:r>
    </w:p>
    <w:p w14:paraId="6767E194" w14:textId="77777777" w:rsidR="002B1D76" w:rsidRPr="00501EF4" w:rsidRDefault="002B1D76" w:rsidP="002B1D76">
      <w:pPr>
        <w:spacing w:before="120"/>
        <w:rPr>
          <w:b/>
          <w:bCs/>
          <w:lang w:val="fr-FR"/>
        </w:rPr>
      </w:pPr>
      <w:r>
        <w:rPr>
          <w:b/>
          <w:bCs/>
          <w:lang w:val="fr-FR"/>
        </w:rPr>
        <w:t>Quatre-vingt-sixième session</w:t>
      </w:r>
    </w:p>
    <w:p w14:paraId="1745CC66" w14:textId="77777777" w:rsidR="002B1D76" w:rsidRPr="00501EF4" w:rsidRDefault="002B1D76" w:rsidP="002B1D76">
      <w:pPr>
        <w:rPr>
          <w:lang w:val="fr-FR"/>
        </w:rPr>
      </w:pPr>
      <w:r>
        <w:rPr>
          <w:lang w:val="fr-FR"/>
        </w:rPr>
        <w:t>Genève, 20-23 février 2024</w:t>
      </w:r>
    </w:p>
    <w:p w14:paraId="6BBF3287" w14:textId="77777777" w:rsidR="002B1D76" w:rsidRPr="00501EF4" w:rsidRDefault="002B1D76" w:rsidP="002B1D76">
      <w:pPr>
        <w:rPr>
          <w:lang w:val="fr-FR"/>
        </w:rPr>
      </w:pPr>
      <w:r>
        <w:rPr>
          <w:lang w:val="fr-FR"/>
        </w:rPr>
        <w:t>Point 4 de l’ordre du jour provisoire</w:t>
      </w:r>
    </w:p>
    <w:p w14:paraId="21025E34" w14:textId="44D327E1" w:rsidR="002B1D76" w:rsidRPr="00501EF4" w:rsidRDefault="002B1D76" w:rsidP="002B1D76">
      <w:pPr>
        <w:rPr>
          <w:b/>
          <w:bCs/>
          <w:lang w:val="fr-FR"/>
        </w:rPr>
      </w:pPr>
      <w:r>
        <w:rPr>
          <w:b/>
          <w:bCs/>
          <w:lang w:val="fr-FR"/>
        </w:rPr>
        <w:t xml:space="preserve">Réunion sur l’adoption de la stratégie du Comité des transports </w:t>
      </w:r>
      <w:r w:rsidR="00674322">
        <w:rPr>
          <w:b/>
          <w:bCs/>
          <w:lang w:val="fr-FR"/>
        </w:rPr>
        <w:br/>
      </w:r>
      <w:r>
        <w:rPr>
          <w:b/>
          <w:bCs/>
          <w:lang w:val="fr-FR"/>
        </w:rPr>
        <w:t xml:space="preserve">intérieurs sur la réduction des émissions de gaz à effet de serre </w:t>
      </w:r>
      <w:r w:rsidR="00674322">
        <w:rPr>
          <w:b/>
          <w:bCs/>
          <w:lang w:val="fr-FR"/>
        </w:rPr>
        <w:br/>
      </w:r>
      <w:r>
        <w:rPr>
          <w:b/>
          <w:bCs/>
          <w:lang w:val="fr-FR"/>
        </w:rPr>
        <w:t xml:space="preserve">dans les transports intérieurs, réservée aux représentants </w:t>
      </w:r>
      <w:r w:rsidR="00BF629C">
        <w:rPr>
          <w:b/>
          <w:bCs/>
          <w:lang w:val="fr-FR"/>
        </w:rPr>
        <w:br/>
      </w:r>
      <w:r>
        <w:rPr>
          <w:b/>
          <w:bCs/>
          <w:lang w:val="fr-FR"/>
        </w:rPr>
        <w:t xml:space="preserve">des États, avec la participation des présidents </w:t>
      </w:r>
      <w:r w:rsidR="00BF629C">
        <w:rPr>
          <w:b/>
          <w:bCs/>
          <w:lang w:val="fr-FR"/>
        </w:rPr>
        <w:br/>
      </w:r>
      <w:r>
        <w:rPr>
          <w:b/>
          <w:bCs/>
          <w:lang w:val="fr-FR"/>
        </w:rPr>
        <w:t>des organes subsidiaires du Comité</w:t>
      </w:r>
    </w:p>
    <w:p w14:paraId="72E4BFCA" w14:textId="7961EBC0" w:rsidR="002B1D76" w:rsidRPr="00501EF4" w:rsidRDefault="002B1D76" w:rsidP="002B1D76">
      <w:pPr>
        <w:pStyle w:val="HChG"/>
        <w:rPr>
          <w:lang w:val="fr-FR"/>
        </w:rPr>
      </w:pPr>
      <w:r>
        <w:rPr>
          <w:lang w:val="fr-FR"/>
        </w:rPr>
        <w:tab/>
      </w:r>
      <w:r>
        <w:rPr>
          <w:lang w:val="fr-FR"/>
        </w:rPr>
        <w:tab/>
      </w:r>
      <w:r>
        <w:rPr>
          <w:lang w:val="fr-FR"/>
        </w:rPr>
        <w:t xml:space="preserve">Rapport approfondi sur les transports intérieurs </w:t>
      </w:r>
      <w:r w:rsidR="00BF629C">
        <w:rPr>
          <w:lang w:val="fr-FR"/>
        </w:rPr>
        <w:br/>
      </w:r>
      <w:r>
        <w:rPr>
          <w:lang w:val="fr-FR"/>
        </w:rPr>
        <w:t xml:space="preserve">et les changements climatiques, partie 1 : sur la voie </w:t>
      </w:r>
      <w:r w:rsidR="00BF629C">
        <w:rPr>
          <w:lang w:val="fr-FR"/>
        </w:rPr>
        <w:br/>
      </w:r>
      <w:r>
        <w:rPr>
          <w:lang w:val="fr-FR"/>
        </w:rPr>
        <w:t xml:space="preserve">de la neutralité carbone </w:t>
      </w:r>
      <w:r w:rsidR="00BF629C">
        <w:rPr>
          <w:lang w:val="fr-FR"/>
        </w:rPr>
        <w:t>−</w:t>
      </w:r>
      <w:r>
        <w:rPr>
          <w:lang w:val="fr-FR"/>
        </w:rPr>
        <w:t xml:space="preserve"> état des lieux, projections </w:t>
      </w:r>
      <w:r w:rsidR="00BF629C">
        <w:rPr>
          <w:lang w:val="fr-FR"/>
        </w:rPr>
        <w:br/>
      </w:r>
      <w:r>
        <w:rPr>
          <w:lang w:val="fr-FR"/>
        </w:rPr>
        <w:t>et tendances des émissions de gaz à effet de serre</w:t>
      </w:r>
    </w:p>
    <w:p w14:paraId="4C9E8C7D" w14:textId="77777777" w:rsidR="002B1D76" w:rsidRDefault="002B1D76" w:rsidP="002B1D76">
      <w:pPr>
        <w:pStyle w:val="H1G"/>
      </w:pPr>
      <w:r>
        <w:rPr>
          <w:lang w:val="fr-FR"/>
        </w:rPr>
        <w:tab/>
      </w:r>
      <w:r>
        <w:rPr>
          <w:lang w:val="fr-FR"/>
        </w:rPr>
        <w:tab/>
        <w:t>Note du secrétariat</w:t>
      </w:r>
      <w:r w:rsidRPr="002B1D76">
        <w:rPr>
          <w:rStyle w:val="Appelnotedebasdep"/>
          <w:b w:val="0"/>
          <w:bCs/>
          <w:sz w:val="20"/>
          <w:vertAlign w:val="baseline"/>
          <w:lang w:val="fr-FR"/>
        </w:rPr>
        <w:footnoteReference w:customMarkFollows="1" w:id="2"/>
        <w:t>*</w:t>
      </w:r>
    </w:p>
    <w:tbl>
      <w:tblPr>
        <w:tblStyle w:val="Grilledutableau"/>
        <w:tblW w:w="0" w:type="auto"/>
        <w:jc w:val="center"/>
        <w:tblBorders>
          <w:insideH w:val="none" w:sz="0" w:space="0" w:color="auto"/>
        </w:tblBorders>
        <w:tblLook w:val="05E0" w:firstRow="1" w:lastRow="1" w:firstColumn="1" w:lastColumn="1" w:noHBand="0" w:noVBand="1"/>
      </w:tblPr>
      <w:tblGrid>
        <w:gridCol w:w="9628"/>
      </w:tblGrid>
      <w:tr w:rsidR="002B1D76" w14:paraId="1517798E" w14:textId="77777777" w:rsidTr="002B1D76">
        <w:trPr>
          <w:jc w:val="center"/>
        </w:trPr>
        <w:tc>
          <w:tcPr>
            <w:tcW w:w="9628" w:type="dxa"/>
            <w:shd w:val="clear" w:color="auto" w:fill="auto"/>
          </w:tcPr>
          <w:p w14:paraId="3E3F150D" w14:textId="77777777" w:rsidR="002B1D76" w:rsidRDefault="002B1D76">
            <w:pPr>
              <w:spacing w:before="240" w:after="120"/>
              <w:ind w:left="255"/>
              <w:rPr>
                <w:i/>
                <w:sz w:val="24"/>
              </w:rPr>
            </w:pPr>
            <w:r>
              <w:rPr>
                <w:i/>
                <w:sz w:val="24"/>
              </w:rPr>
              <w:t>Résumé</w:t>
            </w:r>
          </w:p>
        </w:tc>
      </w:tr>
      <w:tr w:rsidR="002B1D76" w14:paraId="2B8F1172" w14:textId="77777777" w:rsidTr="002B1D76">
        <w:trPr>
          <w:jc w:val="center"/>
        </w:trPr>
        <w:tc>
          <w:tcPr>
            <w:tcW w:w="9628" w:type="dxa"/>
            <w:shd w:val="clear" w:color="auto" w:fill="auto"/>
          </w:tcPr>
          <w:p w14:paraId="409EEA4B" w14:textId="7EB9DD94" w:rsidR="002B1D76" w:rsidRDefault="002B1D76" w:rsidP="00BF629C">
            <w:pPr>
              <w:pStyle w:val="SingleTxtG"/>
              <w:ind w:firstLine="567"/>
            </w:pPr>
            <w:r w:rsidRPr="002B1D76">
              <w:rPr>
                <w:lang w:val="fr-FR"/>
              </w:rPr>
              <w:tab/>
              <w:t xml:space="preserve">Avec l’aide d’un consultant externe (Nikola </w:t>
            </w:r>
            <w:proofErr w:type="spellStart"/>
            <w:r w:rsidRPr="002B1D76">
              <w:rPr>
                <w:lang w:val="fr-FR"/>
              </w:rPr>
              <w:t>Medimorec</w:t>
            </w:r>
            <w:proofErr w:type="spellEnd"/>
            <w:r w:rsidRPr="002B1D76">
              <w:rPr>
                <w:lang w:val="fr-FR"/>
              </w:rPr>
              <w:t>), le secrétariat a élaboré deux rapports approfondis pour éclairer l’examen du projet de stratégie du Comité des transports intérieurs sur la réduction des émissions de gaz à effet de serre (GES) dans les transports intérieurs.</w:t>
            </w:r>
          </w:p>
        </w:tc>
      </w:tr>
      <w:tr w:rsidR="002B1D76" w14:paraId="17032EFA" w14:textId="77777777" w:rsidTr="002B1D76">
        <w:trPr>
          <w:jc w:val="center"/>
        </w:trPr>
        <w:tc>
          <w:tcPr>
            <w:tcW w:w="9628" w:type="dxa"/>
            <w:shd w:val="clear" w:color="auto" w:fill="auto"/>
          </w:tcPr>
          <w:p w14:paraId="4FDE1CC9" w14:textId="4BEB54C9" w:rsidR="002B1D76" w:rsidRPr="002B1D76" w:rsidRDefault="002B1D76" w:rsidP="00BF629C">
            <w:pPr>
              <w:pStyle w:val="SingleTxtG"/>
              <w:ind w:firstLine="567"/>
              <w:rPr>
                <w:lang w:val="fr-FR"/>
              </w:rPr>
            </w:pPr>
            <w:r w:rsidRPr="002B1D76">
              <w:rPr>
                <w:lang w:val="fr-FR"/>
              </w:rPr>
              <w:tab/>
              <w:t>Dans ce premier rapport approfondi, le secrétariat s’intéresse tout d’abord à la part que les transports intérieurs ont représentée par le passé et représentent aujourd’hui, aux niveaux mondial et régional, dans le volume total des émissions de GES du secteur des transports, ainsi qu’à l’incidence que la pandémie de COVID-19 a eue sur ces émissions.</w:t>
            </w:r>
          </w:p>
        </w:tc>
      </w:tr>
      <w:tr w:rsidR="002B1D76" w14:paraId="06EA923B" w14:textId="77777777" w:rsidTr="002B1D76">
        <w:trPr>
          <w:jc w:val="center"/>
        </w:trPr>
        <w:tc>
          <w:tcPr>
            <w:tcW w:w="9628" w:type="dxa"/>
            <w:shd w:val="clear" w:color="auto" w:fill="auto"/>
          </w:tcPr>
          <w:p w14:paraId="6327BF81" w14:textId="38DF48A9" w:rsidR="002B1D76" w:rsidRPr="002B1D76" w:rsidRDefault="002B1D76" w:rsidP="00BF629C">
            <w:pPr>
              <w:pStyle w:val="SingleTxtG"/>
              <w:ind w:firstLine="567"/>
              <w:rPr>
                <w:lang w:val="fr-FR"/>
              </w:rPr>
            </w:pPr>
            <w:r w:rsidRPr="002B1D76">
              <w:rPr>
                <w:lang w:val="fr-FR"/>
              </w:rPr>
              <w:tab/>
              <w:t>Il analyse ensuite certaines des principales projections d’évolution des émissions de GES du secteur des transports et différentes voies envisageables pour atteindre les objectifs de l’Accord de Paris.</w:t>
            </w:r>
          </w:p>
        </w:tc>
      </w:tr>
      <w:tr w:rsidR="002B1D76" w14:paraId="340B41CB" w14:textId="77777777" w:rsidTr="002B1D76">
        <w:trPr>
          <w:jc w:val="center"/>
        </w:trPr>
        <w:tc>
          <w:tcPr>
            <w:tcW w:w="9628" w:type="dxa"/>
            <w:shd w:val="clear" w:color="auto" w:fill="auto"/>
          </w:tcPr>
          <w:p w14:paraId="7F3F2213" w14:textId="14EDC83D" w:rsidR="002B1D76" w:rsidRPr="002B1D76" w:rsidRDefault="002B1D76" w:rsidP="00BF629C">
            <w:pPr>
              <w:pStyle w:val="SingleTxtG"/>
              <w:ind w:firstLine="567"/>
              <w:rPr>
                <w:lang w:val="fr-FR"/>
              </w:rPr>
            </w:pPr>
            <w:r w:rsidRPr="002B1D76">
              <w:rPr>
                <w:lang w:val="fr-FR"/>
              </w:rPr>
              <w:tab/>
              <w:t>Enfin, il fait le point sur les initiatives notables qui ont récemment vu le jour au niveau international, mettant en évidence le rôle que les partenariats, les institutions financières internationales et le secteur privé pourraient jouer à l’appui de la décarbonation du secteur des transports intérieurs.</w:t>
            </w:r>
          </w:p>
        </w:tc>
      </w:tr>
      <w:tr w:rsidR="002B1D76" w14:paraId="64104C4C" w14:textId="77777777" w:rsidTr="002B1D76">
        <w:trPr>
          <w:jc w:val="center"/>
        </w:trPr>
        <w:tc>
          <w:tcPr>
            <w:tcW w:w="9628" w:type="dxa"/>
            <w:shd w:val="clear" w:color="auto" w:fill="auto"/>
          </w:tcPr>
          <w:p w14:paraId="2A9CFFDB" w14:textId="77777777" w:rsidR="002B1D76" w:rsidRDefault="002B1D76"/>
        </w:tc>
      </w:tr>
    </w:tbl>
    <w:p w14:paraId="164CB8EB" w14:textId="7486274F" w:rsidR="002B1D76" w:rsidRPr="00501EF4" w:rsidRDefault="002B1D76" w:rsidP="002B1D76">
      <w:pPr>
        <w:pStyle w:val="HChG"/>
        <w:rPr>
          <w:lang w:val="fr-FR"/>
        </w:rPr>
      </w:pPr>
      <w:r>
        <w:rPr>
          <w:lang w:val="fr-FR"/>
        </w:rPr>
        <w:lastRenderedPageBreak/>
        <w:tab/>
        <w:t>I.</w:t>
      </w:r>
      <w:r>
        <w:rPr>
          <w:lang w:val="fr-FR"/>
        </w:rPr>
        <w:tab/>
        <w:t xml:space="preserve">Contribution du secteur des transports intérieurs </w:t>
      </w:r>
      <w:r w:rsidR="00BF629C">
        <w:rPr>
          <w:lang w:val="fr-FR"/>
        </w:rPr>
        <w:br/>
      </w:r>
      <w:r>
        <w:rPr>
          <w:lang w:val="fr-FR"/>
        </w:rPr>
        <w:t>aux changements climatiques</w:t>
      </w:r>
    </w:p>
    <w:p w14:paraId="185ECD1D" w14:textId="599EE760" w:rsidR="002B1D76" w:rsidRPr="00501EF4" w:rsidRDefault="002B1D76" w:rsidP="002B1D76">
      <w:pPr>
        <w:pStyle w:val="H1G"/>
        <w:rPr>
          <w:lang w:val="fr-FR"/>
        </w:rPr>
      </w:pPr>
      <w:bookmarkStart w:id="0" w:name="_3znysh7" w:colFirst="0" w:colLast="0"/>
      <w:bookmarkStart w:id="1" w:name="_Hlk152583383"/>
      <w:bookmarkEnd w:id="0"/>
      <w:r>
        <w:rPr>
          <w:lang w:val="fr-FR"/>
        </w:rPr>
        <w:tab/>
        <w:t>A.</w:t>
      </w:r>
      <w:r>
        <w:rPr>
          <w:lang w:val="fr-FR"/>
        </w:rPr>
        <w:tab/>
      </w:r>
      <w:r>
        <w:rPr>
          <w:lang w:val="fr-FR"/>
        </w:rPr>
        <w:tab/>
        <w:t xml:space="preserve">Les émissions de gaz à effet de serre du secteur des transports : </w:t>
      </w:r>
      <w:r w:rsidR="00BF629C">
        <w:rPr>
          <w:lang w:val="fr-FR"/>
        </w:rPr>
        <w:br/>
      </w:r>
      <w:r>
        <w:rPr>
          <w:lang w:val="fr-FR"/>
        </w:rPr>
        <w:t>point sur la situation actuelle</w:t>
      </w:r>
      <w:bookmarkEnd w:id="1"/>
    </w:p>
    <w:p w14:paraId="07EF9ECA" w14:textId="4256F506" w:rsidR="002B1D76" w:rsidRPr="00501EF4" w:rsidRDefault="002B1D76" w:rsidP="005B6267">
      <w:pPr>
        <w:pStyle w:val="SingleTxtG"/>
        <w:rPr>
          <w:lang w:val="fr-FR"/>
        </w:rPr>
      </w:pPr>
      <w:r>
        <w:rPr>
          <w:lang w:val="fr-FR"/>
        </w:rPr>
        <w:t>1.</w:t>
      </w:r>
      <w:r>
        <w:rPr>
          <w:lang w:val="fr-FR"/>
        </w:rPr>
        <w:tab/>
        <w:t>À ce jour, la planète s’est déjà réchauffée de plus de 1,2</w:t>
      </w:r>
      <w:r>
        <w:rPr>
          <w:lang w:val="fr-FR"/>
        </w:rPr>
        <w:t> </w:t>
      </w:r>
      <w:r>
        <w:rPr>
          <w:lang w:val="fr-FR"/>
        </w:rPr>
        <w:t>°C depuis le début de l’ère industrielle, chaque décennie ayant été plus chaude que la précédente</w:t>
      </w:r>
      <w:r w:rsidRPr="002B1D76">
        <w:rPr>
          <w:rStyle w:val="Appelnotedebasdep"/>
        </w:rPr>
        <w:footnoteReference w:id="3"/>
      </w:r>
      <w:r>
        <w:rPr>
          <w:lang w:val="fr-FR"/>
        </w:rPr>
        <w:t>. Tous les ans depuis le tournant du XXI</w:t>
      </w:r>
      <w:r>
        <w:rPr>
          <w:vertAlign w:val="superscript"/>
          <w:lang w:val="fr-FR"/>
        </w:rPr>
        <w:t>e</w:t>
      </w:r>
      <w:r>
        <w:rPr>
          <w:lang w:val="fr-FR"/>
        </w:rPr>
        <w:t> </w:t>
      </w:r>
      <w:r>
        <w:rPr>
          <w:lang w:val="fr-FR"/>
        </w:rPr>
        <w:t>siècle, la température moyenne de la planète a été supérieure d’au moins 0,5</w:t>
      </w:r>
      <w:r>
        <w:rPr>
          <w:lang w:val="fr-FR"/>
        </w:rPr>
        <w:t> </w:t>
      </w:r>
      <w:r>
        <w:rPr>
          <w:lang w:val="fr-FR"/>
        </w:rPr>
        <w:t>°C à la moyenne de la période 1951-1980, et l’a même surpassée de plus de 1,0</w:t>
      </w:r>
      <w:r>
        <w:rPr>
          <w:lang w:val="fr-FR"/>
        </w:rPr>
        <w:t> </w:t>
      </w:r>
      <w:r>
        <w:rPr>
          <w:lang w:val="fr-FR"/>
        </w:rPr>
        <w:t>°C en 2016 et en 2020</w:t>
      </w:r>
      <w:r w:rsidRPr="002B1D76">
        <w:rPr>
          <w:rStyle w:val="Appelnotedebasdep"/>
        </w:rPr>
        <w:footnoteReference w:id="4"/>
      </w:r>
      <w:r>
        <w:rPr>
          <w:lang w:val="fr-FR"/>
        </w:rPr>
        <w:t>.</w:t>
      </w:r>
    </w:p>
    <w:p w14:paraId="0EAB6947" w14:textId="41B838F4" w:rsidR="002B1D76" w:rsidRPr="00501EF4" w:rsidRDefault="002B1D76" w:rsidP="005B6267">
      <w:pPr>
        <w:pStyle w:val="SingleTxtG"/>
        <w:rPr>
          <w:lang w:val="fr-FR"/>
        </w:rPr>
      </w:pPr>
      <w:r>
        <w:rPr>
          <w:lang w:val="fr-FR"/>
        </w:rPr>
        <w:t>2.</w:t>
      </w:r>
      <w:r>
        <w:rPr>
          <w:lang w:val="fr-FR"/>
        </w:rPr>
        <w:tab/>
        <w:t>Le volume des émissions mondiales de CO</w:t>
      </w:r>
      <w:r>
        <w:rPr>
          <w:vertAlign w:val="subscript"/>
          <w:lang w:val="fr-FR"/>
        </w:rPr>
        <w:t>2</w:t>
      </w:r>
      <w:r>
        <w:rPr>
          <w:lang w:val="fr-FR"/>
        </w:rPr>
        <w:t xml:space="preserve"> d’origine fossile s’est élevé à plus de 37,4</w:t>
      </w:r>
      <w:r>
        <w:rPr>
          <w:lang w:val="fr-FR"/>
        </w:rPr>
        <w:t> </w:t>
      </w:r>
      <w:r>
        <w:rPr>
          <w:lang w:val="fr-FR"/>
        </w:rPr>
        <w:t>gigatonnes en 2019, puis a baissé de 2</w:t>
      </w:r>
      <w:r>
        <w:rPr>
          <w:lang w:val="fr-FR"/>
        </w:rPr>
        <w:t> </w:t>
      </w:r>
      <w:r>
        <w:rPr>
          <w:lang w:val="fr-FR"/>
        </w:rPr>
        <w:t>gigatonnes en 2020 pour s’établir à 35,5</w:t>
      </w:r>
      <w:r>
        <w:rPr>
          <w:lang w:val="fr-FR"/>
        </w:rPr>
        <w:t> </w:t>
      </w:r>
      <w:r>
        <w:rPr>
          <w:lang w:val="fr-FR"/>
        </w:rPr>
        <w:t>gigatonnes, avant de rebondir à 37,6</w:t>
      </w:r>
      <w:r>
        <w:rPr>
          <w:lang w:val="fr-FR"/>
        </w:rPr>
        <w:t> </w:t>
      </w:r>
      <w:r>
        <w:rPr>
          <w:lang w:val="fr-FR"/>
        </w:rPr>
        <w:t>gigatonnes en 2021 et d’atteindre un nouveau record historique de 38,1</w:t>
      </w:r>
      <w:r>
        <w:rPr>
          <w:lang w:val="fr-FR"/>
        </w:rPr>
        <w:t> </w:t>
      </w:r>
      <w:r>
        <w:rPr>
          <w:lang w:val="fr-FR"/>
        </w:rPr>
        <w:t>gigatonnes en 2022</w:t>
      </w:r>
      <w:r w:rsidRPr="002B1D76">
        <w:rPr>
          <w:rStyle w:val="Appelnotedebasdep"/>
        </w:rPr>
        <w:footnoteReference w:id="5"/>
      </w:r>
      <w:r>
        <w:rPr>
          <w:lang w:val="fr-FR"/>
        </w:rPr>
        <w:t>. En 2022, le secteur des transports était le plus gros secteur émetteur après celui de l’énergie électrique (« autres secteurs » exclus</w:t>
      </w:r>
      <w:r w:rsidRPr="002B1D76">
        <w:rPr>
          <w:rStyle w:val="Appelnotedebasdep"/>
        </w:rPr>
        <w:footnoteReference w:id="6"/>
      </w:r>
      <w:r>
        <w:rPr>
          <w:lang w:val="fr-FR"/>
        </w:rPr>
        <w:t>). Il représentait 20,7 % des émissions mondiales de CO</w:t>
      </w:r>
      <w:r>
        <w:rPr>
          <w:vertAlign w:val="subscript"/>
          <w:lang w:val="fr-FR"/>
        </w:rPr>
        <w:t>2</w:t>
      </w:r>
      <w:r>
        <w:rPr>
          <w:lang w:val="fr-FR"/>
        </w:rPr>
        <w:t xml:space="preserve"> d’origine fossile, en légère baisse par rapport à 2019 (21,9 %)</w:t>
      </w:r>
      <w:r w:rsidRPr="002B1D76">
        <w:rPr>
          <w:rStyle w:val="Appelnotedebasdep"/>
        </w:rPr>
        <w:footnoteReference w:id="7"/>
      </w:r>
      <w:r>
        <w:rPr>
          <w:lang w:val="fr-FR"/>
        </w:rPr>
        <w:t>.</w:t>
      </w:r>
    </w:p>
    <w:p w14:paraId="60F27D9E" w14:textId="67CB97C8" w:rsidR="002B1D76" w:rsidRPr="00501EF4" w:rsidRDefault="002B1D76" w:rsidP="005B6267">
      <w:pPr>
        <w:pStyle w:val="SingleTxtG"/>
        <w:rPr>
          <w:lang w:val="fr-FR"/>
        </w:rPr>
      </w:pPr>
      <w:r>
        <w:rPr>
          <w:lang w:val="fr-FR"/>
        </w:rPr>
        <w:t>3.</w:t>
      </w:r>
      <w:r>
        <w:rPr>
          <w:lang w:val="fr-FR"/>
        </w:rPr>
        <w:tab/>
        <w:t>Entre 2010 et 2019, les émissions mondiales de CO</w:t>
      </w:r>
      <w:r>
        <w:rPr>
          <w:vertAlign w:val="subscript"/>
          <w:lang w:val="fr-FR"/>
        </w:rPr>
        <w:t>2</w:t>
      </w:r>
      <w:r>
        <w:rPr>
          <w:lang w:val="fr-FR"/>
        </w:rPr>
        <w:t xml:space="preserve"> du secteur des transports ont augmenté de 18 %. Leur taux de croissance annuel moyen était de 2,1 %, le plus élevé parmi les grands secteurs émetteurs. En 2020, le secteur des transports a affiché la baisse la plus prononcée du volume des émissions parmi ces mêmes secteurs (-14,2 %), conséquence de la pandémie de COVID-19. Du fait de ce recul, les émissions imputables aux transports sont revenues à leur niveau de 2011 (7,05</w:t>
      </w:r>
      <w:r>
        <w:rPr>
          <w:lang w:val="fr-FR"/>
        </w:rPr>
        <w:t> </w:t>
      </w:r>
      <w:r>
        <w:rPr>
          <w:lang w:val="fr-FR"/>
        </w:rPr>
        <w:t>gigatonnes). Elles ont ensuite pratiquement retrouvé leur niveau d’avant la pandémie, atteignant 7,5</w:t>
      </w:r>
      <w:r>
        <w:rPr>
          <w:lang w:val="fr-FR"/>
        </w:rPr>
        <w:t> </w:t>
      </w:r>
      <w:r>
        <w:rPr>
          <w:lang w:val="fr-FR"/>
        </w:rPr>
        <w:t>gigatonnes de CO</w:t>
      </w:r>
      <w:r>
        <w:rPr>
          <w:vertAlign w:val="subscript"/>
          <w:lang w:val="fr-FR"/>
        </w:rPr>
        <w:t>2</w:t>
      </w:r>
      <w:r>
        <w:rPr>
          <w:lang w:val="fr-FR"/>
        </w:rPr>
        <w:t xml:space="preserve"> en 2021, puis 7,9</w:t>
      </w:r>
      <w:r>
        <w:rPr>
          <w:lang w:val="fr-FR"/>
        </w:rPr>
        <w:t> </w:t>
      </w:r>
      <w:r>
        <w:rPr>
          <w:lang w:val="fr-FR"/>
        </w:rPr>
        <w:t>gigatonnes en 2022, enregistrant pour ces deux années le taux de croissance annuel le plus élevé parmi les grands secteurs émetteurs (voir la figure I)</w:t>
      </w:r>
      <w:r w:rsidRPr="002B1D76">
        <w:rPr>
          <w:rStyle w:val="Appelnotedebasdep"/>
        </w:rPr>
        <w:footnoteReference w:id="8"/>
      </w:r>
      <w:r>
        <w:rPr>
          <w:lang w:val="fr-FR"/>
        </w:rPr>
        <w:t>.</w:t>
      </w:r>
    </w:p>
    <w:p w14:paraId="4B658215" w14:textId="0427CD17" w:rsidR="002B1D76" w:rsidRDefault="002B1D76" w:rsidP="005B6267">
      <w:pPr>
        <w:pStyle w:val="Titre1"/>
        <w:spacing w:after="120"/>
        <w:rPr>
          <w:b/>
          <w:bCs/>
          <w:lang w:val="fr-FR"/>
        </w:rPr>
      </w:pPr>
      <w:r>
        <w:rPr>
          <w:lang w:val="fr-FR"/>
        </w:rPr>
        <w:lastRenderedPageBreak/>
        <w:t>Figure I</w:t>
      </w:r>
      <w:r>
        <w:rPr>
          <w:lang w:val="fr-FR"/>
        </w:rPr>
        <w:br/>
      </w:r>
      <w:r>
        <w:rPr>
          <w:b/>
          <w:bCs/>
          <w:lang w:val="fr-FR"/>
        </w:rPr>
        <w:t>Évolution des émissions de CO</w:t>
      </w:r>
      <w:r>
        <w:rPr>
          <w:b/>
          <w:bCs/>
          <w:vertAlign w:val="subscript"/>
          <w:lang w:val="fr-FR"/>
        </w:rPr>
        <w:t>2</w:t>
      </w:r>
      <w:r>
        <w:rPr>
          <w:b/>
          <w:bCs/>
          <w:lang w:val="fr-FR"/>
        </w:rPr>
        <w:t xml:space="preserve"> des grands secteurs émetteurs, 2010-2022</w:t>
      </w:r>
    </w:p>
    <w:p w14:paraId="05F39685" w14:textId="0DE5A428" w:rsidR="000244D0" w:rsidRPr="000244D0" w:rsidRDefault="000244D0" w:rsidP="000244D0">
      <w:pPr>
        <w:pStyle w:val="SingleTxtG"/>
        <w:rPr>
          <w:lang w:val="fr-FR"/>
        </w:rPr>
      </w:pPr>
      <w:r>
        <w:rPr>
          <w:noProof/>
        </w:rPr>
        <w:drawing>
          <wp:inline distT="0" distB="0" distL="0" distR="0" wp14:anchorId="3DD742A3" wp14:editId="0F7D3204">
            <wp:extent cx="5400000" cy="2753685"/>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2753685"/>
                    </a:xfrm>
                    <a:prstGeom prst="rect">
                      <a:avLst/>
                    </a:prstGeom>
                  </pic:spPr>
                </pic:pic>
              </a:graphicData>
            </a:graphic>
          </wp:inline>
        </w:drawing>
      </w:r>
    </w:p>
    <w:p w14:paraId="44326133" w14:textId="77777777" w:rsidR="002B1D76" w:rsidRPr="00501EF4" w:rsidRDefault="002B1D76" w:rsidP="005B6267">
      <w:pPr>
        <w:pStyle w:val="SingleTxtG"/>
        <w:rPr>
          <w:lang w:val="fr-FR"/>
        </w:rPr>
      </w:pPr>
      <w:r>
        <w:rPr>
          <w:lang w:val="fr-FR"/>
        </w:rPr>
        <w:t>4.</w:t>
      </w:r>
      <w:r>
        <w:rPr>
          <w:lang w:val="fr-FR"/>
        </w:rPr>
        <w:tab/>
        <w:t>Le secteur des transports n’est pas en bonne voie pour atteindre ses objectifs mondiaux en matière d’action climatique et de développement durable. Il est indispensable et urgent, pour le décarboner, de réduire drastiquement ses émissions et d’améliorer l’accès à des systèmes de transport intégrés</w:t>
      </w:r>
      <w:r w:rsidRPr="002B1D76">
        <w:rPr>
          <w:rStyle w:val="Appelnotedebasdep"/>
        </w:rPr>
        <w:footnoteReference w:id="9"/>
      </w:r>
      <w:r>
        <w:rPr>
          <w:lang w:val="fr-FR"/>
        </w:rPr>
        <w:t>. Cet impératif suppose d’investir suffisamment dans l’adaptation des transports et le renforcement de leur résilience, mais aussi de réaffecter les fonds actuellement consacrés aux subventions aux combustibles fossiles et d’accélérer les investissements dans la transformation des systèmes de transport</w:t>
      </w:r>
      <w:r w:rsidRPr="002B1D76">
        <w:rPr>
          <w:rStyle w:val="Appelnotedebasdep"/>
        </w:rPr>
        <w:footnoteReference w:id="10"/>
      </w:r>
      <w:r>
        <w:rPr>
          <w:lang w:val="fr-FR"/>
        </w:rPr>
        <w:t>.</w:t>
      </w:r>
    </w:p>
    <w:p w14:paraId="5BC7BDC3" w14:textId="4C84DA6C" w:rsidR="002B1D76" w:rsidRPr="00501EF4" w:rsidRDefault="002B1D76" w:rsidP="005B6267">
      <w:pPr>
        <w:pStyle w:val="SingleTxtG"/>
        <w:rPr>
          <w:vertAlign w:val="superscript"/>
          <w:lang w:val="fr-FR"/>
        </w:rPr>
      </w:pPr>
      <w:r>
        <w:rPr>
          <w:lang w:val="fr-FR"/>
        </w:rPr>
        <w:t>5.</w:t>
      </w:r>
      <w:r>
        <w:rPr>
          <w:lang w:val="fr-FR"/>
        </w:rPr>
        <w:tab/>
        <w:t>En 2023, c’est-à-dire à mi-chemin entre la date d’adoption des 17</w:t>
      </w:r>
      <w:r>
        <w:rPr>
          <w:lang w:val="fr-FR"/>
        </w:rPr>
        <w:t> </w:t>
      </w:r>
      <w:r>
        <w:rPr>
          <w:lang w:val="fr-FR"/>
        </w:rPr>
        <w:t>objectifs de développement durable des Nations Unies (2015) et leur échéance (2030), il a été estimé qu’aucun de ces objectifs ne serait pleinement atteint, et que seules 12 % des cibles le seraient. Plusieurs des objectifs de développement durable sont en lien avec le secteur des transports, dont les objectifs n</w:t>
      </w:r>
      <w:r>
        <w:rPr>
          <w:vertAlign w:val="superscript"/>
          <w:lang w:val="fr-FR"/>
        </w:rPr>
        <w:t>os</w:t>
      </w:r>
      <w:r>
        <w:rPr>
          <w:lang w:val="fr-FR"/>
        </w:rPr>
        <w:t xml:space="preserve"> 3 (bonne santé et bien-être), 7 (énergie propre et d’un coût abordable), 9 (industrie, innovation et infrastructure), 11 (villes et communautés durables) et 13 (lutte contre les changements climatiques). Quant à l’action en faveur d’une transition énergétique juste, elle n’a que peu progressé, bien que son importance soit de plus en plus reconnue au niveau mondial</w:t>
      </w:r>
      <w:r w:rsidRPr="002B1D76">
        <w:rPr>
          <w:rStyle w:val="Appelnotedebasdep"/>
        </w:rPr>
        <w:footnoteReference w:id="11"/>
      </w:r>
      <w:r>
        <w:rPr>
          <w:lang w:val="fr-FR"/>
        </w:rPr>
        <w:t>.</w:t>
      </w:r>
    </w:p>
    <w:p w14:paraId="18C7D2AF" w14:textId="77777777" w:rsidR="002B1D76" w:rsidRPr="00501EF4" w:rsidRDefault="002B1D76" w:rsidP="005B6267">
      <w:pPr>
        <w:pStyle w:val="SingleTxtG"/>
        <w:rPr>
          <w:vertAlign w:val="superscript"/>
          <w:lang w:val="fr-FR"/>
        </w:rPr>
      </w:pPr>
      <w:r>
        <w:rPr>
          <w:lang w:val="fr-FR"/>
        </w:rPr>
        <w:t>6.</w:t>
      </w:r>
      <w:r>
        <w:rPr>
          <w:lang w:val="fr-FR"/>
        </w:rPr>
        <w:tab/>
        <w:t xml:space="preserve">Outre la crise climatique, le monde a dû faire face à des défis de taille et à des crises majeures en 2021 et 2022, dont la pandémie de COVID-19 et des conflits frontaliers, qui ont </w:t>
      </w:r>
      <w:r>
        <w:rPr>
          <w:lang w:val="fr-FR"/>
        </w:rPr>
        <w:lastRenderedPageBreak/>
        <w:t>entraîné un ralentissement de l’économie mondiale, accentué les perturbations des chaînes d’approvisionnement et provoqué une crise énergétique qui continue de sévir</w:t>
      </w:r>
      <w:r w:rsidRPr="002B1D76">
        <w:rPr>
          <w:rStyle w:val="Appelnotedebasdep"/>
        </w:rPr>
        <w:footnoteReference w:id="12"/>
      </w:r>
      <w:r>
        <w:rPr>
          <w:lang w:val="fr-FR"/>
        </w:rPr>
        <w:t>.</w:t>
      </w:r>
    </w:p>
    <w:p w14:paraId="44EA4C2E" w14:textId="62E537BA" w:rsidR="002B1D76" w:rsidRPr="00501EF4" w:rsidRDefault="002B1D76" w:rsidP="00C62270">
      <w:pPr>
        <w:pStyle w:val="SingleTxtG"/>
        <w:rPr>
          <w:vertAlign w:val="superscript"/>
          <w:lang w:val="fr-FR"/>
        </w:rPr>
      </w:pPr>
      <w:r>
        <w:rPr>
          <w:lang w:val="fr-FR"/>
        </w:rPr>
        <w:t>7.</w:t>
      </w:r>
      <w:r>
        <w:rPr>
          <w:lang w:val="fr-FR"/>
        </w:rPr>
        <w:tab/>
        <w:t>Ces bouleversements ont rendu les systèmes de transport et de mobilité plus vulnérables aux chocs systémiques. De surcroît, les aléas naturels, les phénomènes météorologiques extrêmes et l’élévation du niveau de la mer font planer une grave menace sur ces systèmes et les moyens de subsistance des populations, et vont vraisemblablement s’accentuer sous l’effet des changements climatiques. Au-delà de leur bilan humain souvent lourd, les phénomènes météorologiques extrêmes peuvent endommager sérieusement les infrastructures de transport. Plus du quart des infrastructures routières et ferroviaires du monde sont exposées à au moins un cyclone, un tremblement de terre ou une inondation chaque année</w:t>
      </w:r>
      <w:r w:rsidRPr="002B1D76">
        <w:rPr>
          <w:rStyle w:val="Appelnotedebasdep"/>
        </w:rPr>
        <w:footnoteReference w:id="13"/>
      </w:r>
      <w:r>
        <w:rPr>
          <w:lang w:val="fr-FR"/>
        </w:rPr>
        <w:t>. Les aléas naturels engendrent d’énormes pertes financières, les dommages qu’ils occasionnent aux infrastructures de transport étant estimés à 15</w:t>
      </w:r>
      <w:r>
        <w:rPr>
          <w:lang w:val="fr-FR"/>
        </w:rPr>
        <w:t> </w:t>
      </w:r>
      <w:r>
        <w:rPr>
          <w:lang w:val="fr-FR"/>
        </w:rPr>
        <w:t>milliards de dollars par an à l’échelle mondiale et à 8</w:t>
      </w:r>
      <w:r>
        <w:rPr>
          <w:lang w:val="fr-FR"/>
        </w:rPr>
        <w:t> </w:t>
      </w:r>
      <w:r>
        <w:rPr>
          <w:lang w:val="fr-FR"/>
        </w:rPr>
        <w:t>milliards de dollars par an dans les seuls pays à faible revenu et à revenu intermédiaire, qui doivent supporter les coûts les plus élevés en proportion de leur PIB</w:t>
      </w:r>
      <w:r w:rsidRPr="002B1D76">
        <w:rPr>
          <w:rStyle w:val="Appelnotedebasdep"/>
        </w:rPr>
        <w:footnoteReference w:id="14"/>
      </w:r>
      <w:r>
        <w:rPr>
          <w:lang w:val="fr-FR"/>
        </w:rPr>
        <w:t xml:space="preserve">. </w:t>
      </w:r>
    </w:p>
    <w:p w14:paraId="6B795AEC" w14:textId="77777777" w:rsidR="002B1D76" w:rsidRPr="00501EF4" w:rsidRDefault="002B1D76" w:rsidP="002B1D76">
      <w:pPr>
        <w:pStyle w:val="H1G"/>
        <w:rPr>
          <w:lang w:val="fr-FR"/>
        </w:rPr>
      </w:pPr>
      <w:r>
        <w:rPr>
          <w:lang w:val="fr-FR"/>
        </w:rPr>
        <w:tab/>
        <w:t>B.</w:t>
      </w:r>
      <w:r>
        <w:rPr>
          <w:lang w:val="fr-FR"/>
        </w:rPr>
        <w:tab/>
        <w:t>Situation du secteur des transports intérieurs</w:t>
      </w:r>
    </w:p>
    <w:p w14:paraId="29A20440" w14:textId="77777777" w:rsidR="002B1D76" w:rsidRPr="00501EF4" w:rsidRDefault="002B1D76" w:rsidP="00C62270">
      <w:pPr>
        <w:pStyle w:val="SingleTxtG"/>
        <w:rPr>
          <w:lang w:val="fr-FR"/>
        </w:rPr>
      </w:pPr>
      <w:r>
        <w:rPr>
          <w:lang w:val="fr-FR"/>
        </w:rPr>
        <w:t>8.</w:t>
      </w:r>
      <w:r>
        <w:rPr>
          <w:lang w:val="fr-FR"/>
        </w:rPr>
        <w:tab/>
        <w:t>Entre 2010 et 2019, les émissions de CO</w:t>
      </w:r>
      <w:r>
        <w:rPr>
          <w:vertAlign w:val="subscript"/>
          <w:lang w:val="fr-FR"/>
        </w:rPr>
        <w:t>2</w:t>
      </w:r>
      <w:r>
        <w:rPr>
          <w:lang w:val="fr-FR"/>
        </w:rPr>
        <w:t xml:space="preserve"> du secteur des transports ont augmenté plus rapidement que celles de tous les autres grands secteurs émetteurs (+18 %, soit un taux de croissance annuel moyen de 2,1 %)</w:t>
      </w:r>
      <w:r w:rsidRPr="002B1D76">
        <w:rPr>
          <w:rStyle w:val="Appelnotedebasdep"/>
        </w:rPr>
        <w:footnoteReference w:id="15"/>
      </w:r>
      <w:r>
        <w:rPr>
          <w:lang w:val="fr-FR"/>
        </w:rPr>
        <w:t>. Les transports intérieurs ont été responsables d’une part croissante des émissions de CO</w:t>
      </w:r>
      <w:r>
        <w:rPr>
          <w:vertAlign w:val="subscript"/>
          <w:lang w:val="fr-FR"/>
        </w:rPr>
        <w:t>2</w:t>
      </w:r>
      <w:r>
        <w:rPr>
          <w:lang w:val="fr-FR"/>
        </w:rPr>
        <w:t xml:space="preserve"> dues à la combustion de combustibles. La part des transports intérieurs dans le volume total des émissions de CO</w:t>
      </w:r>
      <w:r>
        <w:rPr>
          <w:vertAlign w:val="subscript"/>
          <w:lang w:val="fr-FR"/>
        </w:rPr>
        <w:t>2</w:t>
      </w:r>
      <w:r>
        <w:rPr>
          <w:lang w:val="fr-FR"/>
        </w:rPr>
        <w:t xml:space="preserve"> du secteur des transports oscillait entre 77 % et 78 % en 1990, en 2000 et entre 2010 à 2019, puis elle s’est élevée à 81 % en 2020 et à 80 % en 2021</w:t>
      </w:r>
      <w:r w:rsidRPr="002B1D76">
        <w:rPr>
          <w:rStyle w:val="Appelnotedebasdep"/>
        </w:rPr>
        <w:footnoteReference w:id="16"/>
      </w:r>
      <w:r>
        <w:rPr>
          <w:lang w:val="fr-FR"/>
        </w:rPr>
        <w:t>.</w:t>
      </w:r>
    </w:p>
    <w:p w14:paraId="0D01993E" w14:textId="34E2F3B5" w:rsidR="002B1D76" w:rsidRDefault="002B1D76" w:rsidP="00137BB3">
      <w:pPr>
        <w:pStyle w:val="Titre1"/>
        <w:spacing w:after="120"/>
        <w:rPr>
          <w:b/>
          <w:bCs/>
          <w:lang w:val="fr-FR"/>
        </w:rPr>
      </w:pPr>
      <w:r>
        <w:rPr>
          <w:lang w:val="fr-FR"/>
        </w:rPr>
        <w:t>Figure II</w:t>
      </w:r>
      <w:r>
        <w:rPr>
          <w:lang w:val="fr-FR"/>
        </w:rPr>
        <w:br/>
      </w:r>
      <w:r>
        <w:rPr>
          <w:b/>
          <w:bCs/>
          <w:lang w:val="fr-FR"/>
        </w:rPr>
        <w:t xml:space="preserve">Évolution de la part des transports intérieurs dans le volume total des émissions du secteur </w:t>
      </w:r>
      <w:r w:rsidR="00137BB3">
        <w:rPr>
          <w:b/>
          <w:bCs/>
          <w:lang w:val="fr-FR"/>
        </w:rPr>
        <w:br/>
      </w:r>
      <w:r>
        <w:rPr>
          <w:b/>
          <w:bCs/>
          <w:lang w:val="fr-FR"/>
        </w:rPr>
        <w:t>des transports, 2000, 2015 et 2021</w:t>
      </w:r>
    </w:p>
    <w:p w14:paraId="769CC32C" w14:textId="4E2C0344" w:rsidR="00137BB3" w:rsidRDefault="00137BB3" w:rsidP="00137BB3">
      <w:pPr>
        <w:pStyle w:val="SingleTxtG"/>
        <w:spacing w:after="240"/>
        <w:rPr>
          <w:lang w:val="fr-FR"/>
        </w:rPr>
      </w:pPr>
      <w:r>
        <w:rPr>
          <w:noProof/>
        </w:rPr>
        <w:drawing>
          <wp:inline distT="0" distB="0" distL="0" distR="0" wp14:anchorId="098632DB" wp14:editId="434DBC83">
            <wp:extent cx="5400000" cy="158391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1583918"/>
                    </a:xfrm>
                    <a:prstGeom prst="rect">
                      <a:avLst/>
                    </a:prstGeom>
                  </pic:spPr>
                </pic:pic>
              </a:graphicData>
            </a:graphic>
          </wp:inline>
        </w:drawing>
      </w:r>
    </w:p>
    <w:p w14:paraId="4155F446" w14:textId="01AC3369" w:rsidR="002B1D76" w:rsidRPr="00501EF4" w:rsidRDefault="002B1D76" w:rsidP="00137BB3">
      <w:pPr>
        <w:pStyle w:val="SingleTxtG"/>
        <w:rPr>
          <w:lang w:val="fr-FR"/>
        </w:rPr>
      </w:pPr>
      <w:r>
        <w:rPr>
          <w:lang w:val="fr-FR"/>
        </w:rPr>
        <w:t>9.</w:t>
      </w:r>
      <w:r>
        <w:rPr>
          <w:lang w:val="fr-FR"/>
        </w:rPr>
        <w:tab/>
        <w:t>Les émissions imputables au transport de marchandises (tous modes confondus) constituent une part croissante des émissions de CO</w:t>
      </w:r>
      <w:r>
        <w:rPr>
          <w:vertAlign w:val="subscript"/>
          <w:lang w:val="fr-FR"/>
        </w:rPr>
        <w:t>2</w:t>
      </w:r>
      <w:r>
        <w:rPr>
          <w:lang w:val="fr-FR"/>
        </w:rPr>
        <w:t xml:space="preserve"> du secteur des transports. En 2019, elles </w:t>
      </w:r>
      <w:r>
        <w:rPr>
          <w:lang w:val="fr-FR"/>
        </w:rPr>
        <w:lastRenderedPageBreak/>
        <w:t>en représentaient 42 %, contre 58 % pour les émissions du transport de voyageurs</w:t>
      </w:r>
      <w:r w:rsidRPr="002B1D76">
        <w:rPr>
          <w:rStyle w:val="Appelnotedebasdep"/>
        </w:rPr>
        <w:footnoteReference w:id="17"/>
      </w:r>
      <w:r>
        <w:rPr>
          <w:lang w:val="fr-FR"/>
        </w:rPr>
        <w:t>. Selon les estimations, les transports intérieurs représentent 30 % de l’activité de transport de marchandises (41 000</w:t>
      </w:r>
      <w:r>
        <w:rPr>
          <w:lang w:val="fr-FR"/>
        </w:rPr>
        <w:t> </w:t>
      </w:r>
      <w:r>
        <w:rPr>
          <w:lang w:val="fr-FR"/>
        </w:rPr>
        <w:t>milliards de tonnes-kilomètres sur un total de 139 000</w:t>
      </w:r>
      <w:r>
        <w:rPr>
          <w:lang w:val="fr-FR"/>
        </w:rPr>
        <w:t> </w:t>
      </w:r>
      <w:r>
        <w:rPr>
          <w:lang w:val="fr-FR"/>
        </w:rPr>
        <w:t>milliards), mais ils ont été responsables de 74 % des émissions dues à cette activité en 2019. Quant au transport de voyageurs, la situation est inverse : les transports intérieurs ont représenté 92 % de l’activité (41 000</w:t>
      </w:r>
      <w:r>
        <w:rPr>
          <w:lang w:val="fr-FR"/>
        </w:rPr>
        <w:t> </w:t>
      </w:r>
      <w:r>
        <w:rPr>
          <w:lang w:val="fr-FR"/>
        </w:rPr>
        <w:t>milliards de voyageurs-kilomètres sur un total de 44 400</w:t>
      </w:r>
      <w:r>
        <w:rPr>
          <w:lang w:val="fr-FR"/>
        </w:rPr>
        <w:t> </w:t>
      </w:r>
      <w:r>
        <w:rPr>
          <w:lang w:val="fr-FR"/>
        </w:rPr>
        <w:t>milliards) en 2020, toujours selon les estimations, et 83 % des émissions en 2019</w:t>
      </w:r>
      <w:r w:rsidRPr="002B1D76">
        <w:rPr>
          <w:rStyle w:val="Appelnotedebasdep"/>
        </w:rPr>
        <w:footnoteReference w:id="18"/>
      </w:r>
      <w:r>
        <w:rPr>
          <w:lang w:val="fr-FR"/>
        </w:rPr>
        <w:t>.</w:t>
      </w:r>
    </w:p>
    <w:p w14:paraId="19890829" w14:textId="77777777" w:rsidR="002B1D76" w:rsidRPr="00501EF4" w:rsidRDefault="002B1D76" w:rsidP="00137BB3">
      <w:pPr>
        <w:pStyle w:val="SingleTxtG"/>
        <w:rPr>
          <w:lang w:val="fr-FR"/>
        </w:rPr>
      </w:pPr>
      <w:r>
        <w:rPr>
          <w:lang w:val="fr-FR"/>
        </w:rPr>
        <w:t>10.</w:t>
      </w:r>
      <w:r>
        <w:rPr>
          <w:lang w:val="fr-FR"/>
        </w:rPr>
        <w:tab/>
        <w:t>En ce qui concerne la pollution atmosphérique, les transports intérieurs sont responsables, à l’échelle mondiale, de 5 % des décès imputables aux particules fines (PM</w:t>
      </w:r>
      <w:r>
        <w:rPr>
          <w:vertAlign w:val="subscript"/>
          <w:lang w:val="fr-FR"/>
        </w:rPr>
        <w:t>2,5</w:t>
      </w:r>
      <w:r>
        <w:rPr>
          <w:lang w:val="fr-FR"/>
        </w:rPr>
        <w:t>), mais cette proportion varie sensiblement d’une région à l’autre</w:t>
      </w:r>
      <w:r w:rsidRPr="002B1D76">
        <w:rPr>
          <w:rStyle w:val="Appelnotedebasdep"/>
        </w:rPr>
        <w:footnoteReference w:id="19"/>
      </w:r>
      <w:r>
        <w:rPr>
          <w:lang w:val="fr-FR"/>
        </w:rPr>
        <w:t>.</w:t>
      </w:r>
    </w:p>
    <w:p w14:paraId="390AC17F" w14:textId="77777777" w:rsidR="002B1D76" w:rsidRPr="00501EF4" w:rsidRDefault="002B1D76" w:rsidP="002B1D76">
      <w:pPr>
        <w:pStyle w:val="H1G"/>
        <w:rPr>
          <w:lang w:val="fr-FR"/>
        </w:rPr>
      </w:pPr>
      <w:bookmarkStart w:id="2" w:name="_tyjcwt" w:colFirst="0" w:colLast="0"/>
      <w:bookmarkEnd w:id="2"/>
      <w:r>
        <w:rPr>
          <w:lang w:val="fr-FR"/>
        </w:rPr>
        <w:tab/>
        <w:t>C.</w:t>
      </w:r>
      <w:r>
        <w:rPr>
          <w:lang w:val="fr-FR"/>
        </w:rPr>
        <w:tab/>
        <w:t>Émissions des groupes de pays classés selon le niveau de revenu</w:t>
      </w:r>
    </w:p>
    <w:p w14:paraId="6CADEC3E" w14:textId="463CEFA7" w:rsidR="002B1D76" w:rsidRPr="00501EF4" w:rsidRDefault="002B1D76" w:rsidP="00137BB3">
      <w:pPr>
        <w:pStyle w:val="SingleTxtG"/>
        <w:rPr>
          <w:lang w:val="fr-FR"/>
        </w:rPr>
      </w:pPr>
      <w:r>
        <w:rPr>
          <w:lang w:val="fr-FR"/>
        </w:rPr>
        <w:t>11.</w:t>
      </w:r>
      <w:r>
        <w:rPr>
          <w:lang w:val="fr-FR"/>
        </w:rPr>
        <w:tab/>
        <w:t>L’analyse des émissions mondiales de CO</w:t>
      </w:r>
      <w:r>
        <w:rPr>
          <w:vertAlign w:val="subscript"/>
          <w:lang w:val="fr-FR"/>
        </w:rPr>
        <w:t>2</w:t>
      </w:r>
      <w:r>
        <w:rPr>
          <w:lang w:val="fr-FR"/>
        </w:rPr>
        <w:t xml:space="preserve"> du secteur des transports révèle que l’écart entre les 38</w:t>
      </w:r>
      <w:r>
        <w:rPr>
          <w:lang w:val="fr-FR"/>
        </w:rPr>
        <w:t> </w:t>
      </w:r>
      <w:r>
        <w:rPr>
          <w:lang w:val="fr-FR"/>
        </w:rPr>
        <w:t>pays membres de l’Organisation de coopération et de développement économiques (OCDE) et les 160</w:t>
      </w:r>
      <w:r>
        <w:rPr>
          <w:lang w:val="fr-FR"/>
        </w:rPr>
        <w:t> </w:t>
      </w:r>
      <w:r>
        <w:rPr>
          <w:lang w:val="fr-FR"/>
        </w:rPr>
        <w:t>pays non membres de l’OCDE s’est quasiment résorbé, les premiers étant responsables de 51,5 % des émissions générées en 2022. En revanche, si l’on regarde les émissions des différents groupes de pays classés selon le niveau de revenu, on constate que celles des pays à revenu élevé ont représenté 51,3 % du total en 2022, contre moins de 1 % pour les pays à faible revenu</w:t>
      </w:r>
      <w:r w:rsidRPr="002B1D76">
        <w:rPr>
          <w:rStyle w:val="Appelnotedebasdep"/>
        </w:rPr>
        <w:footnoteReference w:id="20"/>
      </w:r>
      <w:r>
        <w:rPr>
          <w:lang w:val="fr-FR"/>
        </w:rPr>
        <w:t>. La même année, les émissions de CO</w:t>
      </w:r>
      <w:r>
        <w:rPr>
          <w:vertAlign w:val="subscript"/>
          <w:lang w:val="fr-FR"/>
        </w:rPr>
        <w:t>2</w:t>
      </w:r>
      <w:r>
        <w:rPr>
          <w:lang w:val="fr-FR"/>
        </w:rPr>
        <w:t xml:space="preserve"> par habitant du secteur des transports se sont élevées à 2,9</w:t>
      </w:r>
      <w:r>
        <w:rPr>
          <w:lang w:val="fr-FR"/>
        </w:rPr>
        <w:t> </w:t>
      </w:r>
      <w:r>
        <w:rPr>
          <w:lang w:val="fr-FR"/>
        </w:rPr>
        <w:t>tonnes dans les pays à revenu élevé, à 0,50</w:t>
      </w:r>
      <w:r>
        <w:rPr>
          <w:lang w:val="fr-FR"/>
        </w:rPr>
        <w:t> </w:t>
      </w:r>
      <w:r>
        <w:rPr>
          <w:lang w:val="fr-FR"/>
        </w:rPr>
        <w:t>tonne dans les pays à revenu intermédiaire et à 0,07</w:t>
      </w:r>
      <w:r>
        <w:rPr>
          <w:lang w:val="fr-FR"/>
        </w:rPr>
        <w:t> </w:t>
      </w:r>
      <w:r>
        <w:rPr>
          <w:lang w:val="fr-FR"/>
        </w:rPr>
        <w:t>tonne dans les pays à faible revenu (voir la figure III). Elles ont doublé depuis 1980 dans les pays à revenu intermédiaire, mais n’ont pratiquement pas évolué dans les pays à faible revenu</w:t>
      </w:r>
      <w:r w:rsidRPr="002B1D76">
        <w:rPr>
          <w:rStyle w:val="Appelnotedebasdep"/>
        </w:rPr>
        <w:footnoteReference w:id="21"/>
      </w:r>
      <w:r>
        <w:rPr>
          <w:lang w:val="fr-FR"/>
        </w:rPr>
        <w:t>.</w:t>
      </w:r>
    </w:p>
    <w:p w14:paraId="674CEED2" w14:textId="2AC2AF77" w:rsidR="002B1D76" w:rsidRPr="00501EF4" w:rsidRDefault="002B1D76" w:rsidP="00137BB3">
      <w:pPr>
        <w:pStyle w:val="SingleTxtG"/>
        <w:rPr>
          <w:lang w:val="fr-FR"/>
        </w:rPr>
      </w:pPr>
      <w:r>
        <w:rPr>
          <w:lang w:val="fr-FR"/>
        </w:rPr>
        <w:t>12.</w:t>
      </w:r>
      <w:r>
        <w:rPr>
          <w:lang w:val="fr-FR"/>
        </w:rPr>
        <w:tab/>
        <w:t>Au niveau individuel, on constate que les émissions du premier pour cent des émetteurs sont plus de 1 000</w:t>
      </w:r>
      <w:r>
        <w:rPr>
          <w:lang w:val="fr-FR"/>
        </w:rPr>
        <w:t> </w:t>
      </w:r>
      <w:r>
        <w:rPr>
          <w:lang w:val="fr-FR"/>
        </w:rPr>
        <w:t>fois supérieures à celles du dernier pour cent, et c’est dans le secteur des transports que les disparités sont les plus marquées. En Amérique du Nord, le transport routier représente jusqu’à un quart des émissions de CO</w:t>
      </w:r>
      <w:r>
        <w:rPr>
          <w:vertAlign w:val="subscript"/>
          <w:lang w:val="fr-FR"/>
        </w:rPr>
        <w:t>2</w:t>
      </w:r>
      <w:r>
        <w:rPr>
          <w:lang w:val="fr-FR"/>
        </w:rPr>
        <w:t xml:space="preserve"> des foyers du plus haut décile de revenu</w:t>
      </w:r>
      <w:r w:rsidRPr="002B1D76">
        <w:rPr>
          <w:rStyle w:val="Appelnotedebasdep"/>
        </w:rPr>
        <w:footnoteReference w:id="22"/>
      </w:r>
      <w:r>
        <w:rPr>
          <w:lang w:val="fr-FR"/>
        </w:rPr>
        <w:t>.</w:t>
      </w:r>
    </w:p>
    <w:p w14:paraId="0C4E33CB" w14:textId="561D2130" w:rsidR="002B1D76" w:rsidRDefault="002B1D76" w:rsidP="00137BB3">
      <w:pPr>
        <w:pStyle w:val="Titre1"/>
        <w:spacing w:after="120"/>
        <w:rPr>
          <w:b/>
          <w:bCs/>
          <w:lang w:val="fr-FR"/>
        </w:rPr>
      </w:pPr>
      <w:r>
        <w:rPr>
          <w:lang w:val="fr-FR"/>
        </w:rPr>
        <w:lastRenderedPageBreak/>
        <w:t>Figure III</w:t>
      </w:r>
      <w:r>
        <w:rPr>
          <w:lang w:val="fr-FR"/>
        </w:rPr>
        <w:br/>
      </w:r>
      <w:r>
        <w:rPr>
          <w:b/>
          <w:bCs/>
          <w:lang w:val="fr-FR"/>
        </w:rPr>
        <w:t>Émissions de CO</w:t>
      </w:r>
      <w:r>
        <w:rPr>
          <w:b/>
          <w:bCs/>
          <w:vertAlign w:val="subscript"/>
          <w:lang w:val="fr-FR"/>
        </w:rPr>
        <w:t>2</w:t>
      </w:r>
      <w:r>
        <w:rPr>
          <w:b/>
          <w:bCs/>
          <w:lang w:val="fr-FR"/>
        </w:rPr>
        <w:t xml:space="preserve"> par habitant du secteur des transports par rapport au produit intérieur brut </w:t>
      </w:r>
      <w:r w:rsidR="000244D0">
        <w:rPr>
          <w:b/>
          <w:bCs/>
          <w:lang w:val="fr-FR"/>
        </w:rPr>
        <w:br/>
      </w:r>
      <w:r>
        <w:rPr>
          <w:b/>
          <w:bCs/>
          <w:lang w:val="fr-FR"/>
        </w:rPr>
        <w:t>par habitant dans les différents groupes de pays classés selon le niveau de revenu, 2021</w:t>
      </w:r>
    </w:p>
    <w:p w14:paraId="17DFDE9B" w14:textId="343800EF" w:rsidR="000244D0" w:rsidRPr="000244D0" w:rsidRDefault="000244D0" w:rsidP="000244D0">
      <w:pPr>
        <w:pStyle w:val="SingleTxtG"/>
        <w:rPr>
          <w:lang w:val="fr-FR"/>
        </w:rPr>
      </w:pPr>
      <w:r>
        <w:rPr>
          <w:noProof/>
        </w:rPr>
        <w:drawing>
          <wp:inline distT="0" distB="0" distL="0" distR="0" wp14:anchorId="6388AF3B" wp14:editId="663338F6">
            <wp:extent cx="5400000" cy="2851049"/>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2851049"/>
                    </a:xfrm>
                    <a:prstGeom prst="rect">
                      <a:avLst/>
                    </a:prstGeom>
                  </pic:spPr>
                </pic:pic>
              </a:graphicData>
            </a:graphic>
          </wp:inline>
        </w:drawing>
      </w:r>
    </w:p>
    <w:p w14:paraId="55BF43D7" w14:textId="15316D5D" w:rsidR="002B1D76" w:rsidRPr="00501EF4" w:rsidRDefault="000244D0" w:rsidP="000244D0">
      <w:pPr>
        <w:pStyle w:val="H1G"/>
        <w:rPr>
          <w:lang w:val="fr-FR"/>
        </w:rPr>
      </w:pPr>
      <w:r>
        <w:rPr>
          <w:noProof/>
        </w:rPr>
        <w:drawing>
          <wp:anchor distT="0" distB="0" distL="114300" distR="114300" simplePos="0" relativeHeight="251658240" behindDoc="0" locked="0" layoutInCell="1" allowOverlap="1" wp14:anchorId="188AE55A" wp14:editId="505D69CC">
            <wp:simplePos x="0" y="0"/>
            <wp:positionH relativeFrom="column">
              <wp:posOffset>1362710</wp:posOffset>
            </wp:positionH>
            <wp:positionV relativeFrom="paragraph">
              <wp:posOffset>6584839</wp:posOffset>
            </wp:positionV>
            <wp:extent cx="2230492" cy="1368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30492" cy="136800"/>
                    </a:xfrm>
                    <a:prstGeom prst="rect">
                      <a:avLst/>
                    </a:prstGeom>
                  </pic:spPr>
                </pic:pic>
              </a:graphicData>
            </a:graphic>
            <wp14:sizeRelH relativeFrom="page">
              <wp14:pctWidth>0</wp14:pctWidth>
            </wp14:sizeRelH>
            <wp14:sizeRelV relativeFrom="page">
              <wp14:pctHeight>0</wp14:pctHeight>
            </wp14:sizeRelV>
          </wp:anchor>
        </w:drawing>
      </w:r>
      <w:bookmarkStart w:id="3" w:name="_3dy6vkm" w:colFirst="0" w:colLast="0"/>
      <w:bookmarkEnd w:id="3"/>
      <w:r w:rsidR="002B1D76">
        <w:rPr>
          <w:lang w:val="fr-FR"/>
        </w:rPr>
        <w:tab/>
        <w:t>D.</w:t>
      </w:r>
      <w:r w:rsidR="002B1D76">
        <w:rPr>
          <w:lang w:val="fr-FR"/>
        </w:rPr>
        <w:tab/>
        <w:t>Situation régionale</w:t>
      </w:r>
    </w:p>
    <w:p w14:paraId="259A680C" w14:textId="49F65DC7" w:rsidR="002B1D76" w:rsidRPr="00501EF4" w:rsidRDefault="002B1D76" w:rsidP="00335A70">
      <w:pPr>
        <w:pStyle w:val="SingleTxtG"/>
        <w:rPr>
          <w:lang w:val="fr-FR"/>
        </w:rPr>
      </w:pPr>
      <w:r>
        <w:rPr>
          <w:lang w:val="fr-FR"/>
        </w:rPr>
        <w:t>13.</w:t>
      </w:r>
      <w:r>
        <w:rPr>
          <w:lang w:val="fr-FR"/>
        </w:rPr>
        <w:tab/>
        <w:t>Toutes les régions ne contribuent pas dans la même mesure à la croissance des émissions de CO</w:t>
      </w:r>
      <w:r>
        <w:rPr>
          <w:vertAlign w:val="subscript"/>
          <w:lang w:val="fr-FR"/>
        </w:rPr>
        <w:t>2</w:t>
      </w:r>
      <w:r>
        <w:rPr>
          <w:lang w:val="fr-FR"/>
        </w:rPr>
        <w:t xml:space="preserve"> du secteur des transports (voir la figure IV). Entre 2010 et 2022, l’Afrique est le continent où ces émissions ont affiché le taux de croissance le plus élevé (49,8 %), suivie par l’Asie (38,9 %). En termes absolus, elle se situait en revanche à l’avant-dernier rang en 2022, avec un volume d’émissions de CO</w:t>
      </w:r>
      <w:r>
        <w:rPr>
          <w:vertAlign w:val="subscript"/>
          <w:lang w:val="fr-FR"/>
        </w:rPr>
        <w:t>2</w:t>
      </w:r>
      <w:r>
        <w:rPr>
          <w:lang w:val="fr-FR"/>
        </w:rPr>
        <w:t xml:space="preserve"> de 387</w:t>
      </w:r>
      <w:r>
        <w:rPr>
          <w:lang w:val="fr-FR"/>
        </w:rPr>
        <w:t> </w:t>
      </w:r>
      <w:r>
        <w:rPr>
          <w:lang w:val="fr-FR"/>
        </w:rPr>
        <w:t>millions de tonnes de CO</w:t>
      </w:r>
      <w:r>
        <w:rPr>
          <w:vertAlign w:val="subscript"/>
          <w:lang w:val="fr-FR"/>
        </w:rPr>
        <w:t>2</w:t>
      </w:r>
      <w:r>
        <w:rPr>
          <w:lang w:val="fr-FR"/>
        </w:rPr>
        <w:t>, devant l’Océanie. Dans la région de l’Amérique latine et des Caraïbes, le taux de croissance s’est élevé à 17 % sur la même période. En Europe, les émissions de CO</w:t>
      </w:r>
      <w:r>
        <w:rPr>
          <w:vertAlign w:val="subscript"/>
          <w:lang w:val="fr-FR"/>
        </w:rPr>
        <w:t>2</w:t>
      </w:r>
      <w:r>
        <w:rPr>
          <w:lang w:val="fr-FR"/>
        </w:rPr>
        <w:t xml:space="preserve"> du secteur des transports ont baissé de 4 % entre 2010 et 2022</w:t>
      </w:r>
      <w:r w:rsidRPr="002B1D76">
        <w:rPr>
          <w:rStyle w:val="Appelnotedebasdep"/>
        </w:rPr>
        <w:footnoteReference w:id="23"/>
      </w:r>
      <w:r>
        <w:rPr>
          <w:lang w:val="fr-FR"/>
        </w:rPr>
        <w:t>.</w:t>
      </w:r>
    </w:p>
    <w:p w14:paraId="2F965F24" w14:textId="77777777" w:rsidR="002B1D76" w:rsidRPr="00501EF4" w:rsidRDefault="002B1D76" w:rsidP="00335A70">
      <w:pPr>
        <w:pStyle w:val="SingleTxtG"/>
        <w:rPr>
          <w:lang w:val="fr-FR"/>
        </w:rPr>
      </w:pPr>
      <w:r>
        <w:rPr>
          <w:lang w:val="fr-FR"/>
        </w:rPr>
        <w:t>14.</w:t>
      </w:r>
      <w:r>
        <w:rPr>
          <w:lang w:val="fr-FR"/>
        </w:rPr>
        <w:tab/>
        <w:t>Parmi les différentes régions, c’est en Amérique latine et dans les Caraïbes que la baisse des émissions de CO</w:t>
      </w:r>
      <w:r>
        <w:rPr>
          <w:vertAlign w:val="subscript"/>
          <w:lang w:val="fr-FR"/>
        </w:rPr>
        <w:t>2</w:t>
      </w:r>
      <w:r>
        <w:rPr>
          <w:lang w:val="fr-FR"/>
        </w:rPr>
        <w:t xml:space="preserve"> du secteur des transports observée entre 2019 et 2020, conséquence de la pandémie de COVID-19, a été la plus marquée (-16,4 %). L’Amérique du Nord et l’Europe ont vu leurs émissions chuter respectivement de 14,1 % et de 13,2 %. Toutes les régions, à l’exception de l’Asie et de l’Europe, ont surpassé au plus tard en 2022 le volume d’émissions qu’elles avaient enregistré en 2019, avant la pandémie. </w:t>
      </w:r>
    </w:p>
    <w:p w14:paraId="641095E4" w14:textId="0D25607D" w:rsidR="002B1D76" w:rsidRDefault="002B1D76" w:rsidP="00335A70">
      <w:pPr>
        <w:pStyle w:val="Titre1"/>
        <w:spacing w:after="120"/>
        <w:rPr>
          <w:b/>
          <w:bCs/>
          <w:lang w:val="fr-FR"/>
        </w:rPr>
      </w:pPr>
      <w:r>
        <w:rPr>
          <w:lang w:val="fr-FR"/>
        </w:rPr>
        <w:lastRenderedPageBreak/>
        <w:t>Figure IV</w:t>
      </w:r>
      <w:r>
        <w:rPr>
          <w:lang w:val="fr-FR"/>
        </w:rPr>
        <w:br/>
      </w:r>
      <w:r>
        <w:rPr>
          <w:b/>
          <w:bCs/>
          <w:lang w:val="fr-FR"/>
        </w:rPr>
        <w:t>Croissance des émissions de CO</w:t>
      </w:r>
      <w:r>
        <w:rPr>
          <w:b/>
          <w:bCs/>
          <w:vertAlign w:val="subscript"/>
          <w:lang w:val="fr-FR"/>
        </w:rPr>
        <w:t>2</w:t>
      </w:r>
      <w:r>
        <w:rPr>
          <w:b/>
          <w:bCs/>
          <w:lang w:val="fr-FR"/>
        </w:rPr>
        <w:t xml:space="preserve"> du secteur des transports au niveau régional</w:t>
      </w:r>
    </w:p>
    <w:p w14:paraId="6DF343F2" w14:textId="71CD1440" w:rsidR="00B30DDA" w:rsidRPr="00B30DDA" w:rsidRDefault="00B30DDA" w:rsidP="00B30DDA">
      <w:pPr>
        <w:pStyle w:val="SingleTxtG"/>
        <w:rPr>
          <w:lang w:val="fr-FR"/>
        </w:rPr>
      </w:pPr>
      <w:r>
        <w:rPr>
          <w:noProof/>
        </w:rPr>
        <w:drawing>
          <wp:inline distT="0" distB="0" distL="0" distR="0" wp14:anchorId="638EDAB4" wp14:editId="1C58282A">
            <wp:extent cx="4680000" cy="2425358"/>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425358"/>
                    </a:xfrm>
                    <a:prstGeom prst="rect">
                      <a:avLst/>
                    </a:prstGeom>
                  </pic:spPr>
                </pic:pic>
              </a:graphicData>
            </a:graphic>
          </wp:inline>
        </w:drawing>
      </w:r>
    </w:p>
    <w:p w14:paraId="7411B22A" w14:textId="77777777" w:rsidR="002B1D76" w:rsidRPr="00501EF4" w:rsidRDefault="002B1D76" w:rsidP="002B1D76">
      <w:pPr>
        <w:pStyle w:val="H23G"/>
        <w:rPr>
          <w:lang w:val="fr-FR"/>
        </w:rPr>
      </w:pPr>
      <w:r>
        <w:rPr>
          <w:lang w:val="fr-FR"/>
        </w:rPr>
        <w:tab/>
        <w:t>1.</w:t>
      </w:r>
      <w:r>
        <w:rPr>
          <w:lang w:val="fr-FR"/>
        </w:rPr>
        <w:tab/>
        <w:t>Tendances régionales : Afrique</w:t>
      </w:r>
    </w:p>
    <w:p w14:paraId="65ECE62C" w14:textId="19CD665E" w:rsidR="002B1D76" w:rsidRPr="00501EF4" w:rsidRDefault="002B1D76" w:rsidP="00B30DDA">
      <w:pPr>
        <w:pStyle w:val="SingleTxtG"/>
        <w:rPr>
          <w:vertAlign w:val="superscript"/>
          <w:lang w:val="fr-FR"/>
        </w:rPr>
      </w:pPr>
      <w:r>
        <w:rPr>
          <w:lang w:val="fr-FR"/>
        </w:rPr>
        <w:t>15.</w:t>
      </w:r>
      <w:r>
        <w:rPr>
          <w:lang w:val="fr-FR"/>
        </w:rPr>
        <w:tab/>
        <w:t>Le secteur des transports a représenté plus du quart (26 %) des émissions africaines de CO</w:t>
      </w:r>
      <w:r>
        <w:rPr>
          <w:vertAlign w:val="subscript"/>
          <w:lang w:val="fr-FR"/>
        </w:rPr>
        <w:t>2</w:t>
      </w:r>
      <w:r>
        <w:rPr>
          <w:lang w:val="fr-FR"/>
        </w:rPr>
        <w:t xml:space="preserve"> en 2022. Les émissions de CO</w:t>
      </w:r>
      <w:r>
        <w:rPr>
          <w:vertAlign w:val="subscript"/>
          <w:lang w:val="fr-FR"/>
        </w:rPr>
        <w:t>2</w:t>
      </w:r>
      <w:r>
        <w:rPr>
          <w:lang w:val="fr-FR"/>
        </w:rPr>
        <w:t xml:space="preserve"> du secteur des transports ont augmenté de près de 50 % entre 2010 et 2022, soit la croissance la plus forte de toutes les régions. Toutefois, ramenées à l’habitant, elles sont 3,4</w:t>
      </w:r>
      <w:r>
        <w:rPr>
          <w:lang w:val="fr-FR"/>
        </w:rPr>
        <w:t> </w:t>
      </w:r>
      <w:r>
        <w:rPr>
          <w:lang w:val="fr-FR"/>
        </w:rPr>
        <w:t>fois inférieures à la moyenne mondiale de 0,86</w:t>
      </w:r>
      <w:r>
        <w:rPr>
          <w:lang w:val="fr-FR"/>
        </w:rPr>
        <w:t> </w:t>
      </w:r>
      <w:r>
        <w:rPr>
          <w:lang w:val="fr-FR"/>
        </w:rPr>
        <w:t>tonne. Les émissions de CO</w:t>
      </w:r>
      <w:r>
        <w:rPr>
          <w:vertAlign w:val="subscript"/>
          <w:lang w:val="fr-FR"/>
        </w:rPr>
        <w:t>2</w:t>
      </w:r>
      <w:r>
        <w:rPr>
          <w:lang w:val="fr-FR"/>
        </w:rPr>
        <w:t xml:space="preserve"> du secteur des transports ont reculé de 8,2 % en 2020 avant de repartir à la hausse en 2021 (+9,1 %)</w:t>
      </w:r>
      <w:r w:rsidRPr="002B1D76">
        <w:rPr>
          <w:rStyle w:val="Appelnotedebasdep"/>
        </w:rPr>
        <w:footnoteReference w:id="24"/>
      </w:r>
      <w:r>
        <w:rPr>
          <w:lang w:val="fr-FR"/>
        </w:rPr>
        <w:t xml:space="preserve">. </w:t>
      </w:r>
    </w:p>
    <w:p w14:paraId="4C471BFF" w14:textId="5F4D786B"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Volume total des émissions de CO</w:t>
      </w:r>
      <w:r w:rsidR="002B1D76">
        <w:rPr>
          <w:vertAlign w:val="subscript"/>
          <w:lang w:val="fr-FR"/>
        </w:rPr>
        <w:t>2</w:t>
      </w:r>
      <w:r w:rsidR="002B1D76">
        <w:rPr>
          <w:lang w:val="fr-FR"/>
        </w:rPr>
        <w:t xml:space="preserve"> du secteur des transports (2022) : 387</w:t>
      </w:r>
      <w:r w:rsidR="002B1D76">
        <w:rPr>
          <w:lang w:val="fr-FR"/>
        </w:rPr>
        <w:t> </w:t>
      </w:r>
      <w:r w:rsidR="002B1D76">
        <w:rPr>
          <w:lang w:val="fr-FR"/>
        </w:rPr>
        <w:t>millions de tonnes</w:t>
      </w:r>
    </w:p>
    <w:p w14:paraId="5F09E2B2" w14:textId="51EF2AE5"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Part du total mondial des émissions de CO</w:t>
      </w:r>
      <w:r w:rsidR="002B1D76">
        <w:rPr>
          <w:vertAlign w:val="subscript"/>
          <w:lang w:val="fr-FR"/>
        </w:rPr>
        <w:t>2</w:t>
      </w:r>
      <w:r w:rsidR="002B1D76">
        <w:rPr>
          <w:lang w:val="fr-FR"/>
        </w:rPr>
        <w:t xml:space="preserve"> du secteur des transports (2022) : 5,7 %</w:t>
      </w:r>
    </w:p>
    <w:p w14:paraId="194AB76F" w14:textId="07A14C0C"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par habitant du secteur des transports (2022) : 0,27</w:t>
      </w:r>
      <w:r w:rsidR="002B1D76">
        <w:rPr>
          <w:lang w:val="fr-FR"/>
        </w:rPr>
        <w:t> </w:t>
      </w:r>
      <w:r w:rsidR="002B1D76">
        <w:rPr>
          <w:lang w:val="fr-FR"/>
        </w:rPr>
        <w:t>tonne</w:t>
      </w:r>
    </w:p>
    <w:p w14:paraId="626BDEF6" w14:textId="6125F127" w:rsidR="002B1D76" w:rsidRPr="00501EF4" w:rsidRDefault="007A0F95" w:rsidP="007A0F95">
      <w:pPr>
        <w:pStyle w:val="Bullet1G"/>
        <w:numPr>
          <w:ilvl w:val="0"/>
          <w:numId w:val="0"/>
        </w:numPr>
        <w:tabs>
          <w:tab w:val="left" w:pos="1701"/>
        </w:tabs>
        <w:ind w:left="1701" w:hanging="170"/>
        <w:rPr>
          <w:rFonts w:eastAsia="Arial"/>
          <w:lang w:val="fr-FR"/>
        </w:rPr>
      </w:pPr>
      <w:r w:rsidRPr="00501EF4">
        <w:rPr>
          <w:rFonts w:eastAsia="Arial"/>
          <w:lang w:val="fr-FR"/>
        </w:rPr>
        <w:t>•</w:t>
      </w:r>
      <w:r w:rsidRPr="00501EF4">
        <w:rPr>
          <w:rFonts w:eastAsia="Arial"/>
          <w:lang w:val="fr-FR"/>
        </w:rPr>
        <w:tab/>
      </w:r>
      <w:r w:rsidR="002B1D76">
        <w:rPr>
          <w:lang w:val="fr-FR"/>
        </w:rPr>
        <w:t>Émissions de CO</w:t>
      </w:r>
      <w:r w:rsidR="002B1D76">
        <w:rPr>
          <w:vertAlign w:val="subscript"/>
          <w:lang w:val="fr-FR"/>
        </w:rPr>
        <w:t>2</w:t>
      </w:r>
      <w:r w:rsidR="002B1D76">
        <w:rPr>
          <w:lang w:val="fr-FR"/>
        </w:rPr>
        <w:t xml:space="preserve"> du secteur des transports pour 10 000</w:t>
      </w:r>
      <w:r w:rsidR="002B1D76">
        <w:rPr>
          <w:lang w:val="fr-FR"/>
        </w:rPr>
        <w:t> </w:t>
      </w:r>
      <w:r w:rsidR="002B1D76">
        <w:rPr>
          <w:lang w:val="fr-FR"/>
        </w:rPr>
        <w:t>dollars de PIB (2022) : 1,37</w:t>
      </w:r>
      <w:r w:rsidR="002B1D76">
        <w:rPr>
          <w:lang w:val="fr-FR"/>
        </w:rPr>
        <w:t> </w:t>
      </w:r>
      <w:r w:rsidR="002B1D76">
        <w:rPr>
          <w:lang w:val="fr-FR"/>
        </w:rPr>
        <w:t>tonne</w:t>
      </w:r>
    </w:p>
    <w:p w14:paraId="5F5561B3" w14:textId="7E180FA4" w:rsidR="002B1D76" w:rsidRPr="00501EF4" w:rsidRDefault="002B1D76" w:rsidP="00B30DDA">
      <w:pPr>
        <w:pStyle w:val="SingleTxtG"/>
        <w:rPr>
          <w:lang w:val="fr-FR"/>
        </w:rPr>
      </w:pPr>
      <w:r>
        <w:rPr>
          <w:lang w:val="fr-FR"/>
        </w:rPr>
        <w:t>16.</w:t>
      </w:r>
      <w:r>
        <w:rPr>
          <w:lang w:val="fr-FR"/>
        </w:rPr>
        <w:tab/>
        <w:t>Entre 2016 et 2020, le taux de motorisation de l’Afrique était de 43</w:t>
      </w:r>
      <w:r>
        <w:rPr>
          <w:lang w:val="fr-FR"/>
        </w:rPr>
        <w:t> </w:t>
      </w:r>
      <w:r>
        <w:rPr>
          <w:lang w:val="fr-FR"/>
        </w:rPr>
        <w:t>véhicules pour 1 000</w:t>
      </w:r>
      <w:r>
        <w:rPr>
          <w:lang w:val="fr-FR"/>
        </w:rPr>
        <w:t> </w:t>
      </w:r>
      <w:r>
        <w:rPr>
          <w:lang w:val="fr-FR"/>
        </w:rPr>
        <w:t>habitants, environ 4,6</w:t>
      </w:r>
      <w:r>
        <w:rPr>
          <w:lang w:val="fr-FR"/>
        </w:rPr>
        <w:t> </w:t>
      </w:r>
      <w:r>
        <w:rPr>
          <w:lang w:val="fr-FR"/>
        </w:rPr>
        <w:t>fois moins que la moyenne mondiale. Le continent représente moins de 1 % de la production mondiale de véhicules. Entre 2015 et 2018, l’Afrique a importé plus de véhicules d’occasion qu’aucune autre région (40 % du total). Dans la plupart des pays africains, les véhicules d’occasion représentent 85 à 100 % de la flotte.</w:t>
      </w:r>
    </w:p>
    <w:p w14:paraId="6992042A" w14:textId="77777777" w:rsidR="002B1D76" w:rsidRPr="00501EF4" w:rsidRDefault="002B1D76" w:rsidP="00B30DDA">
      <w:pPr>
        <w:pStyle w:val="SingleTxtG"/>
        <w:rPr>
          <w:lang w:val="fr-FR"/>
        </w:rPr>
      </w:pPr>
      <w:r>
        <w:rPr>
          <w:lang w:val="fr-FR"/>
        </w:rPr>
        <w:t>17.</w:t>
      </w:r>
      <w:r>
        <w:rPr>
          <w:lang w:val="fr-FR"/>
        </w:rPr>
        <w:tab/>
        <w:t>En Afrique, au moins 80 % des marchandises sont acheminées par la route. Les autres grands modes de transport (maritime, ferroviaire et aérien) demeurent peu développés en raison de leurs coûts élevés, d’un manque de capacités et d’un faible niveau de développement technologique.</w:t>
      </w:r>
    </w:p>
    <w:p w14:paraId="21B6ADEE" w14:textId="77777777" w:rsidR="002B1D76" w:rsidRPr="00501EF4" w:rsidRDefault="002B1D76" w:rsidP="002B1D76">
      <w:pPr>
        <w:pStyle w:val="H23G"/>
        <w:rPr>
          <w:lang w:val="fr-FR"/>
        </w:rPr>
      </w:pPr>
      <w:r>
        <w:rPr>
          <w:lang w:val="fr-FR"/>
        </w:rPr>
        <w:tab/>
        <w:t>2.</w:t>
      </w:r>
      <w:r>
        <w:rPr>
          <w:lang w:val="fr-FR"/>
        </w:rPr>
        <w:tab/>
        <w:t>Tendances régionales : Asie</w:t>
      </w:r>
    </w:p>
    <w:p w14:paraId="783B41CC" w14:textId="2D745C0B" w:rsidR="002B1D76" w:rsidRPr="00501EF4" w:rsidRDefault="002B1D76" w:rsidP="00B30DDA">
      <w:pPr>
        <w:pStyle w:val="SingleTxtG"/>
        <w:rPr>
          <w:lang w:val="fr-FR"/>
        </w:rPr>
      </w:pPr>
      <w:r>
        <w:rPr>
          <w:lang w:val="fr-FR"/>
        </w:rPr>
        <w:t>18.</w:t>
      </w:r>
      <w:r>
        <w:rPr>
          <w:lang w:val="fr-FR"/>
        </w:rPr>
        <w:tab/>
        <w:t>L’Asie est restée la région dont les émissions de CO</w:t>
      </w:r>
      <w:r>
        <w:rPr>
          <w:vertAlign w:val="subscript"/>
          <w:lang w:val="fr-FR"/>
        </w:rPr>
        <w:t>2</w:t>
      </w:r>
      <w:r>
        <w:rPr>
          <w:lang w:val="fr-FR"/>
        </w:rPr>
        <w:t xml:space="preserve"> dues aux transports sont les plus élevées (2 560</w:t>
      </w:r>
      <w:r>
        <w:rPr>
          <w:lang w:val="fr-FR"/>
        </w:rPr>
        <w:t> </w:t>
      </w:r>
      <w:r>
        <w:rPr>
          <w:lang w:val="fr-FR"/>
        </w:rPr>
        <w:t>millions de tonnes en 2022), avec un rythme de croissance de 39 % entre 2010 et 2022, le deuxième plus rapide. Le volume des émissions de CO</w:t>
      </w:r>
      <w:r>
        <w:rPr>
          <w:vertAlign w:val="subscript"/>
          <w:lang w:val="fr-FR"/>
        </w:rPr>
        <w:t>2</w:t>
      </w:r>
      <w:r>
        <w:rPr>
          <w:lang w:val="fr-FR"/>
        </w:rPr>
        <w:t xml:space="preserve"> par habitant s’élevait à 0,54</w:t>
      </w:r>
      <w:r>
        <w:rPr>
          <w:lang w:val="fr-FR"/>
        </w:rPr>
        <w:t> </w:t>
      </w:r>
      <w:r>
        <w:rPr>
          <w:lang w:val="fr-FR"/>
        </w:rPr>
        <w:t>tonne en moyenne en 2021, le plus faible après l’Afrique. La Chine est demeurée le premier pays émetteur de la région (34 % du volume total des émissions de CO</w:t>
      </w:r>
      <w:r>
        <w:rPr>
          <w:vertAlign w:val="subscript"/>
          <w:lang w:val="fr-FR"/>
        </w:rPr>
        <w:t>2</w:t>
      </w:r>
      <w:r>
        <w:rPr>
          <w:lang w:val="fr-FR"/>
        </w:rPr>
        <w:t xml:space="preserve"> dues aux </w:t>
      </w:r>
      <w:r>
        <w:rPr>
          <w:lang w:val="fr-FR"/>
        </w:rPr>
        <w:lastRenderedPageBreak/>
        <w:t>transports en 2022) et le deuxième pays émetteur à l’échelle mondiale, suivie par l’Inde, bien que, sur le plan des émissions par habitant, les pays du golfe Persique soient restés en tête</w:t>
      </w:r>
      <w:r w:rsidRPr="002B1D76">
        <w:rPr>
          <w:rStyle w:val="Appelnotedebasdep"/>
        </w:rPr>
        <w:footnoteReference w:id="25"/>
      </w:r>
      <w:r>
        <w:rPr>
          <w:lang w:val="fr-FR"/>
        </w:rPr>
        <w:t>.</w:t>
      </w:r>
    </w:p>
    <w:p w14:paraId="1458341C" w14:textId="0BD0B7C0"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Volume total des émissions de CO</w:t>
      </w:r>
      <w:r w:rsidR="002B1D76">
        <w:rPr>
          <w:vertAlign w:val="subscript"/>
          <w:lang w:val="fr-FR"/>
        </w:rPr>
        <w:t>2</w:t>
      </w:r>
      <w:r w:rsidR="002B1D76">
        <w:rPr>
          <w:lang w:val="fr-FR"/>
        </w:rPr>
        <w:t xml:space="preserve"> du secteur des transports (2022) : 2 560</w:t>
      </w:r>
      <w:r w:rsidR="002B1D76">
        <w:rPr>
          <w:lang w:val="fr-FR"/>
        </w:rPr>
        <w:t> </w:t>
      </w:r>
      <w:r w:rsidR="002B1D76">
        <w:rPr>
          <w:lang w:val="fr-FR"/>
        </w:rPr>
        <w:t>millions de tonnes</w:t>
      </w:r>
    </w:p>
    <w:p w14:paraId="16D3D989" w14:textId="1A10A683"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Part du total mondial des émissions de CO</w:t>
      </w:r>
      <w:r w:rsidR="002B1D76">
        <w:rPr>
          <w:vertAlign w:val="subscript"/>
          <w:lang w:val="fr-FR"/>
        </w:rPr>
        <w:t>2</w:t>
      </w:r>
      <w:r w:rsidR="002B1D76">
        <w:rPr>
          <w:lang w:val="fr-FR"/>
        </w:rPr>
        <w:t xml:space="preserve"> du secteur des transports (2022) : 38 %</w:t>
      </w:r>
    </w:p>
    <w:p w14:paraId="584D1B8F" w14:textId="0BB0D60F"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par habitant du secteur des transports (2022) : 0,55</w:t>
      </w:r>
      <w:r w:rsidR="002B1D76">
        <w:rPr>
          <w:lang w:val="fr-FR"/>
        </w:rPr>
        <w:t> </w:t>
      </w:r>
      <w:r w:rsidR="002B1D76">
        <w:rPr>
          <w:lang w:val="fr-FR"/>
        </w:rPr>
        <w:t>tonne</w:t>
      </w:r>
    </w:p>
    <w:p w14:paraId="21271F08" w14:textId="40189FA2"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du secteur des transports pour 10 000</w:t>
      </w:r>
      <w:r w:rsidR="002B1D76">
        <w:rPr>
          <w:lang w:val="fr-FR"/>
        </w:rPr>
        <w:t> </w:t>
      </w:r>
      <w:r w:rsidR="002B1D76">
        <w:rPr>
          <w:lang w:val="fr-FR"/>
        </w:rPr>
        <w:t>dollars de PIB (2022) : 0,75</w:t>
      </w:r>
      <w:r w:rsidR="002B1D76">
        <w:rPr>
          <w:lang w:val="fr-FR"/>
        </w:rPr>
        <w:t> </w:t>
      </w:r>
      <w:r w:rsidR="002B1D76">
        <w:rPr>
          <w:lang w:val="fr-FR"/>
        </w:rPr>
        <w:t>tonne</w:t>
      </w:r>
    </w:p>
    <w:p w14:paraId="74DE46D3" w14:textId="77777777" w:rsidR="002B1D76" w:rsidRPr="00501EF4" w:rsidRDefault="002B1D76" w:rsidP="00E3250A">
      <w:pPr>
        <w:pStyle w:val="SingleTxtG"/>
        <w:rPr>
          <w:lang w:val="fr-FR"/>
        </w:rPr>
      </w:pPr>
      <w:r>
        <w:rPr>
          <w:lang w:val="fr-FR"/>
        </w:rPr>
        <w:t>19.</w:t>
      </w:r>
      <w:r>
        <w:rPr>
          <w:lang w:val="fr-FR"/>
        </w:rPr>
        <w:tab/>
        <w:t>L’Asie a connu une progression fulgurante de son taux de motorisation (hausse de plus de 200 % dans certains pays sur la période 2010-2019), ainsi qu’une forte croissance du parc de véhicules à deux et trois roues.</w:t>
      </w:r>
    </w:p>
    <w:p w14:paraId="0E501374" w14:textId="5B4A21F5" w:rsidR="002B1D76" w:rsidRPr="00501EF4" w:rsidRDefault="002B1D76" w:rsidP="00E3250A">
      <w:pPr>
        <w:pStyle w:val="SingleTxtG"/>
        <w:rPr>
          <w:lang w:val="fr-FR"/>
        </w:rPr>
      </w:pPr>
      <w:r>
        <w:rPr>
          <w:lang w:val="fr-FR"/>
        </w:rPr>
        <w:t>20.</w:t>
      </w:r>
      <w:r>
        <w:rPr>
          <w:lang w:val="fr-FR"/>
        </w:rPr>
        <w:tab/>
        <w:t>La pollution de l’air a causé 6,5</w:t>
      </w:r>
      <w:r>
        <w:rPr>
          <w:lang w:val="fr-FR"/>
        </w:rPr>
        <w:t> </w:t>
      </w:r>
      <w:r>
        <w:rPr>
          <w:lang w:val="fr-FR"/>
        </w:rPr>
        <w:t>millions de décès dans le monde en 2019, dont 70 % sont survenus dans la région Asie-Pacifique</w:t>
      </w:r>
      <w:r w:rsidRPr="002B1D76">
        <w:rPr>
          <w:rStyle w:val="Appelnotedebasdep"/>
        </w:rPr>
        <w:footnoteReference w:id="26"/>
      </w:r>
      <w:r>
        <w:rPr>
          <w:lang w:val="fr-FR"/>
        </w:rPr>
        <w:t>.</w:t>
      </w:r>
    </w:p>
    <w:p w14:paraId="3106F3ED" w14:textId="77777777" w:rsidR="002B1D76" w:rsidRPr="00501EF4" w:rsidRDefault="002B1D76" w:rsidP="002B1D76">
      <w:pPr>
        <w:pStyle w:val="H23G"/>
        <w:rPr>
          <w:lang w:val="fr-FR"/>
        </w:rPr>
      </w:pPr>
      <w:r>
        <w:rPr>
          <w:lang w:val="fr-FR"/>
        </w:rPr>
        <w:tab/>
        <w:t>3.</w:t>
      </w:r>
      <w:r>
        <w:rPr>
          <w:lang w:val="fr-FR"/>
        </w:rPr>
        <w:tab/>
        <w:t>Tendances régionales : Europe</w:t>
      </w:r>
    </w:p>
    <w:p w14:paraId="72C89A12" w14:textId="225765A8" w:rsidR="002B1D76" w:rsidRPr="00501EF4" w:rsidRDefault="002B1D76" w:rsidP="00E3250A">
      <w:pPr>
        <w:pStyle w:val="SingleTxtG"/>
        <w:rPr>
          <w:lang w:val="fr-FR"/>
        </w:rPr>
      </w:pPr>
      <w:r>
        <w:rPr>
          <w:lang w:val="fr-FR"/>
        </w:rPr>
        <w:t>21.</w:t>
      </w:r>
      <w:r>
        <w:rPr>
          <w:lang w:val="fr-FR"/>
        </w:rPr>
        <w:tab/>
        <w:t>En 2022, le secteur des transports a représenté 22 % des émissions de CO</w:t>
      </w:r>
      <w:r>
        <w:rPr>
          <w:vertAlign w:val="subscript"/>
          <w:lang w:val="fr-FR"/>
        </w:rPr>
        <w:t>2</w:t>
      </w:r>
      <w:r>
        <w:rPr>
          <w:lang w:val="fr-FR"/>
        </w:rPr>
        <w:t xml:space="preserve"> de l’ensemble de l’économie européenne. La même année, l’Europe a compté pour 17,6 % des émissions mondiales de CO</w:t>
      </w:r>
      <w:r>
        <w:rPr>
          <w:vertAlign w:val="subscript"/>
          <w:lang w:val="fr-FR"/>
        </w:rPr>
        <w:t>2</w:t>
      </w:r>
      <w:r>
        <w:rPr>
          <w:lang w:val="fr-FR"/>
        </w:rPr>
        <w:t xml:space="preserve"> du secteur des transports (à l’exclusion du transport aérien international et du transport maritime), soit la troisième plus grande part après celles de l’Asie et de l’Amérique du Nord</w:t>
      </w:r>
      <w:r w:rsidRPr="002B1D76">
        <w:rPr>
          <w:rStyle w:val="Appelnotedebasdep"/>
        </w:rPr>
        <w:footnoteReference w:id="27"/>
      </w:r>
      <w:r>
        <w:rPr>
          <w:lang w:val="fr-FR"/>
        </w:rPr>
        <w:t>.</w:t>
      </w:r>
    </w:p>
    <w:p w14:paraId="14CB8F9D" w14:textId="3F79D622"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Volume total des émissions de CO</w:t>
      </w:r>
      <w:r w:rsidR="002B1D76" w:rsidRPr="00E3250A">
        <w:rPr>
          <w:vertAlign w:val="subscript"/>
          <w:lang w:val="fr-FR"/>
        </w:rPr>
        <w:t>2</w:t>
      </w:r>
      <w:r w:rsidR="002B1D76">
        <w:rPr>
          <w:lang w:val="fr-FR"/>
        </w:rPr>
        <w:t xml:space="preserve"> du secteur des transports (2022) : 1 197</w:t>
      </w:r>
      <w:r w:rsidR="002B1D76">
        <w:rPr>
          <w:lang w:val="fr-FR"/>
        </w:rPr>
        <w:t> </w:t>
      </w:r>
      <w:r w:rsidR="002B1D76">
        <w:rPr>
          <w:lang w:val="fr-FR"/>
        </w:rPr>
        <w:t>millions de tonnes</w:t>
      </w:r>
    </w:p>
    <w:p w14:paraId="6051433D" w14:textId="1EABCA3A"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Part du total mondial des émissions de CO</w:t>
      </w:r>
      <w:r w:rsidR="002B1D76">
        <w:rPr>
          <w:vertAlign w:val="subscript"/>
          <w:lang w:val="fr-FR"/>
        </w:rPr>
        <w:t>2</w:t>
      </w:r>
      <w:r w:rsidR="002B1D76">
        <w:rPr>
          <w:lang w:val="fr-FR"/>
        </w:rPr>
        <w:t xml:space="preserve"> du secteur des transports (2022) : 17,6 %</w:t>
      </w:r>
    </w:p>
    <w:p w14:paraId="288D66C2" w14:textId="43B1FFB6"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par habitant du secteur des transports (2022) : 1,60</w:t>
      </w:r>
      <w:r w:rsidR="002B1D76">
        <w:rPr>
          <w:lang w:val="fr-FR"/>
        </w:rPr>
        <w:t> </w:t>
      </w:r>
      <w:r w:rsidR="002B1D76">
        <w:rPr>
          <w:lang w:val="fr-FR"/>
        </w:rPr>
        <w:t>tonne</w:t>
      </w:r>
    </w:p>
    <w:p w14:paraId="53ABF405" w14:textId="597DA1B8" w:rsidR="002B1D76" w:rsidRPr="00501EF4" w:rsidRDefault="007A0F95" w:rsidP="007A0F95">
      <w:pPr>
        <w:pStyle w:val="Bullet1G"/>
        <w:numPr>
          <w:ilvl w:val="0"/>
          <w:numId w:val="0"/>
        </w:numPr>
        <w:tabs>
          <w:tab w:val="left" w:pos="1701"/>
        </w:tabs>
        <w:ind w:left="1701" w:hanging="170"/>
        <w:rPr>
          <w:rFonts w:eastAsia="Arial"/>
          <w:lang w:val="fr-FR"/>
        </w:rPr>
      </w:pPr>
      <w:r w:rsidRPr="00501EF4">
        <w:rPr>
          <w:rFonts w:eastAsia="Arial"/>
          <w:lang w:val="fr-FR"/>
        </w:rPr>
        <w:t>•</w:t>
      </w:r>
      <w:r w:rsidRPr="00501EF4">
        <w:rPr>
          <w:rFonts w:eastAsia="Arial"/>
          <w:lang w:val="fr-FR"/>
        </w:rPr>
        <w:tab/>
      </w:r>
      <w:r w:rsidR="002B1D76">
        <w:rPr>
          <w:lang w:val="fr-FR"/>
        </w:rPr>
        <w:t>Émissions de CO</w:t>
      </w:r>
      <w:r w:rsidR="002B1D76">
        <w:rPr>
          <w:vertAlign w:val="subscript"/>
          <w:lang w:val="fr-FR"/>
        </w:rPr>
        <w:t>2</w:t>
      </w:r>
      <w:r w:rsidR="002B1D76">
        <w:rPr>
          <w:lang w:val="fr-FR"/>
        </w:rPr>
        <w:t xml:space="preserve"> du secteur des transports pour 10 000</w:t>
      </w:r>
      <w:r w:rsidR="002B1D76">
        <w:rPr>
          <w:lang w:val="fr-FR"/>
        </w:rPr>
        <w:t> </w:t>
      </w:r>
      <w:r w:rsidR="002B1D76">
        <w:rPr>
          <w:lang w:val="fr-FR"/>
        </w:rPr>
        <w:t>dollars de PIB (2022) : 0,56</w:t>
      </w:r>
      <w:r w:rsidR="002B1D76">
        <w:rPr>
          <w:lang w:val="fr-FR"/>
        </w:rPr>
        <w:t> </w:t>
      </w:r>
      <w:r w:rsidR="002B1D76">
        <w:rPr>
          <w:lang w:val="fr-FR"/>
        </w:rPr>
        <w:t>tonne</w:t>
      </w:r>
    </w:p>
    <w:p w14:paraId="06BD51F7" w14:textId="72D982A7" w:rsidR="002B1D76" w:rsidRPr="00501EF4" w:rsidRDefault="002B1D76" w:rsidP="00E3250A">
      <w:pPr>
        <w:pStyle w:val="SingleTxtG"/>
        <w:rPr>
          <w:lang w:val="fr-FR"/>
        </w:rPr>
      </w:pPr>
      <w:r>
        <w:rPr>
          <w:lang w:val="fr-FR"/>
        </w:rPr>
        <w:t>22.</w:t>
      </w:r>
      <w:r>
        <w:rPr>
          <w:lang w:val="fr-FR"/>
        </w:rPr>
        <w:tab/>
        <w:t>En 2021, les voitures particulières ont représenté 85 % des déplacements dans l’Union européenne (UE)</w:t>
      </w:r>
      <w:r w:rsidRPr="002B1D76">
        <w:rPr>
          <w:rStyle w:val="Appelnotedebasdep"/>
        </w:rPr>
        <w:footnoteReference w:id="28"/>
      </w:r>
      <w:r>
        <w:rPr>
          <w:lang w:val="fr-FR"/>
        </w:rPr>
        <w:t>. Le taux de motorisation moyen de la région était de 554</w:t>
      </w:r>
      <w:r>
        <w:rPr>
          <w:lang w:val="fr-FR"/>
        </w:rPr>
        <w:t> </w:t>
      </w:r>
      <w:r>
        <w:rPr>
          <w:lang w:val="fr-FR"/>
        </w:rPr>
        <w:t>véhicules pour 1</w:t>
      </w:r>
      <w:r w:rsidR="00E3250A">
        <w:rPr>
          <w:lang w:val="fr-FR"/>
        </w:rPr>
        <w:t> </w:t>
      </w:r>
      <w:r>
        <w:rPr>
          <w:lang w:val="fr-FR"/>
        </w:rPr>
        <w:t>000</w:t>
      </w:r>
      <w:r>
        <w:rPr>
          <w:lang w:val="fr-FR"/>
        </w:rPr>
        <w:t> </w:t>
      </w:r>
      <w:r>
        <w:rPr>
          <w:lang w:val="fr-FR"/>
        </w:rPr>
        <w:t>habitants, proportion largement supérieure à la moyenne mondiale de 196</w:t>
      </w:r>
      <w:r>
        <w:rPr>
          <w:lang w:val="fr-FR"/>
        </w:rPr>
        <w:t> </w:t>
      </w:r>
      <w:r>
        <w:rPr>
          <w:lang w:val="fr-FR"/>
        </w:rPr>
        <w:t>véhicules pour 1</w:t>
      </w:r>
      <w:r w:rsidR="00E3250A">
        <w:rPr>
          <w:lang w:val="fr-FR"/>
        </w:rPr>
        <w:t> </w:t>
      </w:r>
      <w:r>
        <w:rPr>
          <w:lang w:val="fr-FR"/>
        </w:rPr>
        <w:t>000</w:t>
      </w:r>
      <w:r>
        <w:rPr>
          <w:lang w:val="fr-FR"/>
        </w:rPr>
        <w:t> </w:t>
      </w:r>
      <w:r>
        <w:rPr>
          <w:lang w:val="fr-FR"/>
        </w:rPr>
        <w:t>habitants</w:t>
      </w:r>
      <w:r w:rsidRPr="002B1D76">
        <w:rPr>
          <w:rStyle w:val="Appelnotedebasdep"/>
        </w:rPr>
        <w:footnoteReference w:id="29"/>
      </w:r>
      <w:r>
        <w:rPr>
          <w:lang w:val="fr-FR"/>
        </w:rPr>
        <w:t>.</w:t>
      </w:r>
    </w:p>
    <w:p w14:paraId="27FE24A8" w14:textId="77777777" w:rsidR="002B1D76" w:rsidRPr="00501EF4" w:rsidRDefault="002B1D76" w:rsidP="002B1D76">
      <w:pPr>
        <w:pStyle w:val="H23G"/>
        <w:rPr>
          <w:lang w:val="fr-FR"/>
        </w:rPr>
      </w:pPr>
      <w:r>
        <w:rPr>
          <w:lang w:val="fr-FR"/>
        </w:rPr>
        <w:tab/>
        <w:t>4.</w:t>
      </w:r>
      <w:r>
        <w:rPr>
          <w:lang w:val="fr-FR"/>
        </w:rPr>
        <w:tab/>
        <w:t>Tendances régionales : Amérique latine et Caraïbes</w:t>
      </w:r>
    </w:p>
    <w:p w14:paraId="5BD11626" w14:textId="1D76485E" w:rsidR="002B1D76" w:rsidRPr="00501EF4" w:rsidRDefault="002B1D76" w:rsidP="00E3250A">
      <w:pPr>
        <w:pStyle w:val="SingleTxtG"/>
        <w:rPr>
          <w:lang w:val="fr-FR"/>
        </w:rPr>
      </w:pPr>
      <w:r>
        <w:rPr>
          <w:lang w:val="fr-FR"/>
        </w:rPr>
        <w:t>23.</w:t>
      </w:r>
      <w:r>
        <w:rPr>
          <w:lang w:val="fr-FR"/>
        </w:rPr>
        <w:tab/>
        <w:t>En 2022, les émissions de CO</w:t>
      </w:r>
      <w:r>
        <w:rPr>
          <w:vertAlign w:val="subscript"/>
          <w:lang w:val="fr-FR"/>
        </w:rPr>
        <w:t>2</w:t>
      </w:r>
      <w:r>
        <w:rPr>
          <w:lang w:val="fr-FR"/>
        </w:rPr>
        <w:t xml:space="preserve"> du secteur des transports de la région de l’Amérique latine et des Caraïbes ont représenté environ 33 % du volume total des émissions de CO</w:t>
      </w:r>
      <w:r>
        <w:rPr>
          <w:vertAlign w:val="subscript"/>
          <w:lang w:val="fr-FR"/>
        </w:rPr>
        <w:t>2</w:t>
      </w:r>
      <w:r>
        <w:rPr>
          <w:lang w:val="fr-FR"/>
        </w:rPr>
        <w:t xml:space="preserve"> de la région et 9,2 % des émissions mondiales du secteur des transports (à l’exclusion du transport aérien international et du transport maritime). La même année, les émissions moyennes de CO</w:t>
      </w:r>
      <w:r>
        <w:rPr>
          <w:vertAlign w:val="subscript"/>
          <w:lang w:val="fr-FR"/>
        </w:rPr>
        <w:t>2</w:t>
      </w:r>
      <w:r>
        <w:rPr>
          <w:lang w:val="fr-FR"/>
        </w:rPr>
        <w:t xml:space="preserve"> </w:t>
      </w:r>
      <w:r>
        <w:rPr>
          <w:lang w:val="fr-FR"/>
        </w:rPr>
        <w:lastRenderedPageBreak/>
        <w:t>par habitant du secteur des transports se sont élevées à 0,95</w:t>
      </w:r>
      <w:r>
        <w:rPr>
          <w:lang w:val="fr-FR"/>
        </w:rPr>
        <w:t> </w:t>
      </w:r>
      <w:r>
        <w:rPr>
          <w:lang w:val="fr-FR"/>
        </w:rPr>
        <w:t>tonne, une valeur proche de la moyenne mondiale de 0,86</w:t>
      </w:r>
      <w:r>
        <w:rPr>
          <w:lang w:val="fr-FR"/>
        </w:rPr>
        <w:t> </w:t>
      </w:r>
      <w:r>
        <w:rPr>
          <w:lang w:val="fr-FR"/>
        </w:rPr>
        <w:t>tonne.</w:t>
      </w:r>
    </w:p>
    <w:p w14:paraId="7F4B96D4" w14:textId="1943CF8A"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Volume total des émissions de CO</w:t>
      </w:r>
      <w:r w:rsidR="002B1D76">
        <w:rPr>
          <w:vertAlign w:val="subscript"/>
          <w:lang w:val="fr-FR"/>
        </w:rPr>
        <w:t>2</w:t>
      </w:r>
      <w:r w:rsidR="002B1D76">
        <w:rPr>
          <w:lang w:val="fr-FR"/>
        </w:rPr>
        <w:t xml:space="preserve"> du secteur des transports (2022) : 623,7</w:t>
      </w:r>
      <w:r w:rsidR="002B1D76">
        <w:rPr>
          <w:lang w:val="fr-FR"/>
        </w:rPr>
        <w:t> </w:t>
      </w:r>
      <w:r w:rsidR="002B1D76">
        <w:rPr>
          <w:lang w:val="fr-FR"/>
        </w:rPr>
        <w:t>millions de tonnes</w:t>
      </w:r>
    </w:p>
    <w:p w14:paraId="11E639DB" w14:textId="66AD1677"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Part du total mondial des émissions de CO</w:t>
      </w:r>
      <w:r w:rsidR="002B1D76">
        <w:rPr>
          <w:vertAlign w:val="subscript"/>
          <w:lang w:val="fr-FR"/>
        </w:rPr>
        <w:t>2</w:t>
      </w:r>
      <w:r w:rsidR="002B1D76">
        <w:rPr>
          <w:lang w:val="fr-FR"/>
        </w:rPr>
        <w:t xml:space="preserve"> du secteur des transports (2022) : 9,2 %</w:t>
      </w:r>
    </w:p>
    <w:p w14:paraId="48463D55" w14:textId="0588A84C"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par habitant du secteur des transports (2022) : 0,95</w:t>
      </w:r>
      <w:r w:rsidR="002B1D76">
        <w:rPr>
          <w:lang w:val="fr-FR"/>
        </w:rPr>
        <w:t> </w:t>
      </w:r>
      <w:r w:rsidR="002B1D76">
        <w:rPr>
          <w:lang w:val="fr-FR"/>
        </w:rPr>
        <w:t>tonne</w:t>
      </w:r>
    </w:p>
    <w:p w14:paraId="49ABB740" w14:textId="06AF136B"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du secteur des transports pour 10 000</w:t>
      </w:r>
      <w:r w:rsidR="002B1D76">
        <w:rPr>
          <w:lang w:val="fr-FR"/>
        </w:rPr>
        <w:t> </w:t>
      </w:r>
      <w:r w:rsidR="002B1D76">
        <w:rPr>
          <w:lang w:val="fr-FR"/>
        </w:rPr>
        <w:t>dollars de PIB (2022) : 1,17</w:t>
      </w:r>
      <w:r w:rsidR="002B1D76">
        <w:rPr>
          <w:lang w:val="fr-FR"/>
        </w:rPr>
        <w:t> </w:t>
      </w:r>
      <w:r w:rsidR="002B1D76">
        <w:rPr>
          <w:lang w:val="fr-FR"/>
        </w:rPr>
        <w:t>tonne</w:t>
      </w:r>
    </w:p>
    <w:p w14:paraId="5BA1F621" w14:textId="77777777" w:rsidR="002B1D76" w:rsidRPr="00501EF4" w:rsidRDefault="002B1D76" w:rsidP="00E3250A">
      <w:pPr>
        <w:pStyle w:val="SingleTxtG"/>
        <w:rPr>
          <w:lang w:val="fr-FR"/>
        </w:rPr>
      </w:pPr>
      <w:r>
        <w:rPr>
          <w:lang w:val="fr-FR"/>
        </w:rPr>
        <w:t>24.</w:t>
      </w:r>
      <w:r>
        <w:rPr>
          <w:lang w:val="fr-FR"/>
        </w:rPr>
        <w:tab/>
        <w:t>Le transport routier est de loin le premier mode de transport de marchandises dans la région. Il est ressorti d’une étude conduite en 2021 que, en Amérique du Sud, les camions comptaient pour environ 85 % de l’activité de transport de marchandises et de logistique au niveau national et pour 30 % de cette activité au niveau régional, et que, en Amérique centrale, le transport routier représentait pratiquement 100 % du transport de marchandises</w:t>
      </w:r>
      <w:r w:rsidRPr="002B1D76">
        <w:rPr>
          <w:rStyle w:val="Appelnotedebasdep"/>
        </w:rPr>
        <w:footnoteReference w:id="30"/>
      </w:r>
      <w:r>
        <w:rPr>
          <w:lang w:val="fr-FR"/>
        </w:rPr>
        <w:t>.</w:t>
      </w:r>
    </w:p>
    <w:p w14:paraId="6F6C2EB2" w14:textId="20F9859E" w:rsidR="002B1D76" w:rsidRPr="00501EF4" w:rsidRDefault="002B1D76" w:rsidP="00E3250A">
      <w:pPr>
        <w:pStyle w:val="SingleTxtG"/>
        <w:rPr>
          <w:lang w:val="fr-FR"/>
        </w:rPr>
      </w:pPr>
      <w:r>
        <w:rPr>
          <w:lang w:val="fr-FR"/>
        </w:rPr>
        <w:t>25.</w:t>
      </w:r>
      <w:r>
        <w:rPr>
          <w:lang w:val="fr-FR"/>
        </w:rPr>
        <w:tab/>
        <w:t>Entre 2016 et 2020, le taux de motorisation moyen en Amérique latine et dans les Caraïbes était de 267</w:t>
      </w:r>
      <w:r>
        <w:rPr>
          <w:lang w:val="fr-FR"/>
        </w:rPr>
        <w:t> </w:t>
      </w:r>
      <w:r>
        <w:rPr>
          <w:lang w:val="fr-FR"/>
        </w:rPr>
        <w:t>véhicules pour 1 000</w:t>
      </w:r>
      <w:r>
        <w:rPr>
          <w:lang w:val="fr-FR"/>
        </w:rPr>
        <w:t> </w:t>
      </w:r>
      <w:r>
        <w:rPr>
          <w:lang w:val="fr-FR"/>
        </w:rPr>
        <w:t>habitants, soit 1,35</w:t>
      </w:r>
      <w:r>
        <w:rPr>
          <w:lang w:val="fr-FR"/>
        </w:rPr>
        <w:t> </w:t>
      </w:r>
      <w:r>
        <w:rPr>
          <w:lang w:val="fr-FR"/>
        </w:rPr>
        <w:t>fois la moyenne mondiale de 197</w:t>
      </w:r>
      <w:r>
        <w:rPr>
          <w:lang w:val="fr-FR"/>
        </w:rPr>
        <w:t> </w:t>
      </w:r>
      <w:r>
        <w:rPr>
          <w:lang w:val="fr-FR"/>
        </w:rPr>
        <w:t>véhicules pour 1 000</w:t>
      </w:r>
      <w:r>
        <w:rPr>
          <w:lang w:val="fr-FR"/>
        </w:rPr>
        <w:t> </w:t>
      </w:r>
      <w:r>
        <w:rPr>
          <w:lang w:val="fr-FR"/>
        </w:rPr>
        <w:t>habitants. Près de la moitié des pays de la région affichaient des taux de motorisation supérieurs à la moyenne mondiale sur cette période</w:t>
      </w:r>
      <w:r w:rsidRPr="002B1D76">
        <w:rPr>
          <w:rStyle w:val="Appelnotedebasdep"/>
        </w:rPr>
        <w:footnoteReference w:id="31"/>
      </w:r>
      <w:r>
        <w:rPr>
          <w:lang w:val="fr-FR"/>
        </w:rPr>
        <w:t>.</w:t>
      </w:r>
    </w:p>
    <w:p w14:paraId="24485349" w14:textId="65D3A361" w:rsidR="002B1D76" w:rsidRPr="00501EF4" w:rsidRDefault="002B1D76" w:rsidP="002B1D76">
      <w:pPr>
        <w:pStyle w:val="H23G"/>
        <w:rPr>
          <w:lang w:val="fr-FR"/>
        </w:rPr>
      </w:pPr>
      <w:r>
        <w:rPr>
          <w:lang w:val="fr-FR"/>
        </w:rPr>
        <w:tab/>
        <w:t>5.</w:t>
      </w:r>
      <w:r>
        <w:rPr>
          <w:lang w:val="fr-FR"/>
        </w:rPr>
        <w:tab/>
        <w:t>Tendances régionales</w:t>
      </w:r>
      <w:r>
        <w:rPr>
          <w:lang w:val="fr-FR"/>
        </w:rPr>
        <w:t> </w:t>
      </w:r>
      <w:r>
        <w:rPr>
          <w:lang w:val="fr-FR"/>
        </w:rPr>
        <w:t>: Amérique du Nord</w:t>
      </w:r>
    </w:p>
    <w:p w14:paraId="05AFCB4D" w14:textId="5464C0DE" w:rsidR="002B1D76" w:rsidRPr="00501EF4" w:rsidRDefault="002B1D76" w:rsidP="00E3250A">
      <w:pPr>
        <w:pStyle w:val="SingleTxtG"/>
        <w:rPr>
          <w:lang w:val="fr-FR"/>
        </w:rPr>
      </w:pPr>
      <w:r>
        <w:rPr>
          <w:lang w:val="fr-FR"/>
        </w:rPr>
        <w:t>26.</w:t>
      </w:r>
      <w:r>
        <w:rPr>
          <w:lang w:val="fr-FR"/>
        </w:rPr>
        <w:tab/>
        <w:t>En 2022, l’Amérique du Nord a compté pour 28 % du total mondial des émissions de CO</w:t>
      </w:r>
      <w:r>
        <w:rPr>
          <w:vertAlign w:val="subscript"/>
          <w:lang w:val="fr-FR"/>
        </w:rPr>
        <w:t>2</w:t>
      </w:r>
      <w:r>
        <w:rPr>
          <w:lang w:val="fr-FR"/>
        </w:rPr>
        <w:t xml:space="preserve"> du secteur des transports (à l’exclusion du transport aérien international et du transport maritime), arrivant au deuxième rang derrière l’Asie. Le taux de croissance des émissions de la région n’a en revanche été que de 2 % entre 2010 et 2022. Quant aux émissions de CO</w:t>
      </w:r>
      <w:r>
        <w:rPr>
          <w:vertAlign w:val="subscript"/>
          <w:lang w:val="fr-FR"/>
        </w:rPr>
        <w:t>2</w:t>
      </w:r>
      <w:r>
        <w:rPr>
          <w:lang w:val="fr-FR"/>
        </w:rPr>
        <w:t xml:space="preserve"> par habitant, elles dépassaient les 5</w:t>
      </w:r>
      <w:r>
        <w:rPr>
          <w:lang w:val="fr-FR"/>
        </w:rPr>
        <w:t> </w:t>
      </w:r>
      <w:r>
        <w:rPr>
          <w:lang w:val="fr-FR"/>
        </w:rPr>
        <w:t>tonnes en 2022</w:t>
      </w:r>
      <w:r w:rsidRPr="002B1D76">
        <w:rPr>
          <w:rStyle w:val="Appelnotedebasdep"/>
        </w:rPr>
        <w:footnoteReference w:id="32"/>
      </w:r>
      <w:r>
        <w:rPr>
          <w:lang w:val="fr-FR"/>
        </w:rPr>
        <w:t>.</w:t>
      </w:r>
    </w:p>
    <w:p w14:paraId="4416E9CB" w14:textId="5AD3B40C"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Volume total des émissions de CO</w:t>
      </w:r>
      <w:r w:rsidR="002B1D76">
        <w:rPr>
          <w:vertAlign w:val="subscript"/>
          <w:lang w:val="fr-FR"/>
        </w:rPr>
        <w:t>2</w:t>
      </w:r>
      <w:r w:rsidR="002B1D76">
        <w:rPr>
          <w:lang w:val="fr-FR"/>
        </w:rPr>
        <w:t xml:space="preserve"> du secteur des transports (2022)</w:t>
      </w:r>
      <w:r w:rsidR="002B1D76">
        <w:rPr>
          <w:lang w:val="fr-FR"/>
        </w:rPr>
        <w:t> </w:t>
      </w:r>
      <w:r w:rsidR="002B1D76">
        <w:rPr>
          <w:lang w:val="fr-FR"/>
        </w:rPr>
        <w:t>: 1 899</w:t>
      </w:r>
      <w:r w:rsidR="002B1D76">
        <w:rPr>
          <w:lang w:val="fr-FR"/>
        </w:rPr>
        <w:t> </w:t>
      </w:r>
      <w:r w:rsidR="002B1D76">
        <w:rPr>
          <w:lang w:val="fr-FR"/>
        </w:rPr>
        <w:t>millions de tonnes</w:t>
      </w:r>
    </w:p>
    <w:p w14:paraId="3E13D9A7" w14:textId="0945EE4D"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Part du total mondial des émissions de CO</w:t>
      </w:r>
      <w:r w:rsidR="002B1D76">
        <w:rPr>
          <w:vertAlign w:val="subscript"/>
          <w:lang w:val="fr-FR"/>
        </w:rPr>
        <w:t>2</w:t>
      </w:r>
      <w:r w:rsidR="002B1D76">
        <w:rPr>
          <w:lang w:val="fr-FR"/>
        </w:rPr>
        <w:t xml:space="preserve"> du secteur des transports (2022)</w:t>
      </w:r>
      <w:r w:rsidR="002B1D76">
        <w:rPr>
          <w:lang w:val="fr-FR"/>
        </w:rPr>
        <w:t> </w:t>
      </w:r>
      <w:r w:rsidR="002B1D76">
        <w:rPr>
          <w:lang w:val="fr-FR"/>
        </w:rPr>
        <w:t>: 28 %</w:t>
      </w:r>
    </w:p>
    <w:p w14:paraId="1A91AB65" w14:textId="3F49B232"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par habitant du secteur des transports (2022)</w:t>
      </w:r>
      <w:r w:rsidR="002B1D76">
        <w:rPr>
          <w:lang w:val="fr-FR"/>
        </w:rPr>
        <w:t> </w:t>
      </w:r>
      <w:r w:rsidR="002B1D76">
        <w:rPr>
          <w:lang w:val="fr-FR"/>
        </w:rPr>
        <w:t>: 5,05</w:t>
      </w:r>
      <w:r w:rsidR="002B1D76">
        <w:rPr>
          <w:lang w:val="fr-FR"/>
        </w:rPr>
        <w:t> </w:t>
      </w:r>
      <w:r w:rsidR="002B1D76">
        <w:rPr>
          <w:lang w:val="fr-FR"/>
        </w:rPr>
        <w:t>tonnes</w:t>
      </w:r>
    </w:p>
    <w:p w14:paraId="6168FF5B" w14:textId="36C1AE55"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du secteur des transports pour 10 000</w:t>
      </w:r>
      <w:r w:rsidR="002B1D76">
        <w:rPr>
          <w:lang w:val="fr-FR"/>
        </w:rPr>
        <w:t> </w:t>
      </w:r>
      <w:r w:rsidR="002B1D76">
        <w:rPr>
          <w:lang w:val="fr-FR"/>
        </w:rPr>
        <w:t>dollars de PIB (2022)</w:t>
      </w:r>
      <w:r w:rsidR="002B1D76">
        <w:rPr>
          <w:lang w:val="fr-FR"/>
        </w:rPr>
        <w:t> </w:t>
      </w:r>
      <w:r w:rsidR="002B1D76">
        <w:rPr>
          <w:lang w:val="fr-FR"/>
        </w:rPr>
        <w:t>: 0,83</w:t>
      </w:r>
      <w:r w:rsidR="002B1D76">
        <w:rPr>
          <w:lang w:val="fr-FR"/>
        </w:rPr>
        <w:t> </w:t>
      </w:r>
      <w:r w:rsidR="002B1D76">
        <w:rPr>
          <w:lang w:val="fr-FR"/>
        </w:rPr>
        <w:t>tonne</w:t>
      </w:r>
    </w:p>
    <w:p w14:paraId="141932B5" w14:textId="77777777" w:rsidR="002B1D76" w:rsidRPr="00501EF4" w:rsidRDefault="002B1D76" w:rsidP="00E3250A">
      <w:pPr>
        <w:pStyle w:val="SingleTxtG"/>
        <w:rPr>
          <w:lang w:val="fr-FR"/>
        </w:rPr>
      </w:pPr>
      <w:r>
        <w:rPr>
          <w:lang w:val="fr-FR"/>
        </w:rPr>
        <w:t>27.</w:t>
      </w:r>
      <w:r>
        <w:rPr>
          <w:lang w:val="fr-FR"/>
        </w:rPr>
        <w:tab/>
        <w:t>La pandémie de COVID-19 explique la faiblesse du taux de croissance des émissions imputables aux transports, puisqu’elle a modifié la trajectoire de ces émissions, qui, après avoir augmenté de 5 % entre 2010 et 2019, ont reculé de 7 % entre 2019 et 2021. Le transport routier était le principal responsable de la progression des émissions au Canada jusqu’en 2019, mais il a été le mode de transport dont le volume des émissions a chuté le plus fortement en 2020.</w:t>
      </w:r>
    </w:p>
    <w:p w14:paraId="25BB0BC5" w14:textId="181AF308" w:rsidR="002B1D76" w:rsidRPr="00501EF4" w:rsidRDefault="002B1D76" w:rsidP="00E3250A">
      <w:pPr>
        <w:pStyle w:val="SingleTxtG"/>
        <w:rPr>
          <w:lang w:val="fr-FR"/>
        </w:rPr>
      </w:pPr>
      <w:r>
        <w:rPr>
          <w:lang w:val="fr-FR"/>
        </w:rPr>
        <w:t>28.</w:t>
      </w:r>
      <w:r>
        <w:rPr>
          <w:lang w:val="fr-FR"/>
        </w:rPr>
        <w:tab/>
        <w:t>Le taux de motorisation de la région est resté à un niveau record. Il est 4</w:t>
      </w:r>
      <w:r>
        <w:rPr>
          <w:lang w:val="fr-FR"/>
        </w:rPr>
        <w:t> </w:t>
      </w:r>
      <w:r>
        <w:rPr>
          <w:lang w:val="fr-FR"/>
        </w:rPr>
        <w:t>fois supérieur à la moyenne mondiale et 18</w:t>
      </w:r>
      <w:r>
        <w:rPr>
          <w:lang w:val="fr-FR"/>
        </w:rPr>
        <w:t> </w:t>
      </w:r>
      <w:r>
        <w:rPr>
          <w:lang w:val="fr-FR"/>
        </w:rPr>
        <w:t>fois supérieur à la moyenne africaine. Au Canada, ce taux s’établissait à 656</w:t>
      </w:r>
      <w:r>
        <w:rPr>
          <w:lang w:val="fr-FR"/>
        </w:rPr>
        <w:t> </w:t>
      </w:r>
      <w:r>
        <w:rPr>
          <w:lang w:val="fr-FR"/>
        </w:rPr>
        <w:t>véhicules pour 1 000</w:t>
      </w:r>
      <w:r>
        <w:rPr>
          <w:lang w:val="fr-FR"/>
        </w:rPr>
        <w:t> </w:t>
      </w:r>
      <w:r>
        <w:rPr>
          <w:lang w:val="fr-FR"/>
        </w:rPr>
        <w:t>habitants en 2019, et aux États-Unis, il était plus élevé encore</w:t>
      </w:r>
      <w:r>
        <w:rPr>
          <w:lang w:val="fr-FR"/>
        </w:rPr>
        <w:t> </w:t>
      </w:r>
      <w:r>
        <w:rPr>
          <w:lang w:val="fr-FR"/>
        </w:rPr>
        <w:t>: 807 véhicules pour 1 000</w:t>
      </w:r>
      <w:r>
        <w:rPr>
          <w:lang w:val="fr-FR"/>
        </w:rPr>
        <w:t> </w:t>
      </w:r>
      <w:r>
        <w:rPr>
          <w:lang w:val="fr-FR"/>
        </w:rPr>
        <w:t>habitants en 2020</w:t>
      </w:r>
      <w:r w:rsidRPr="002B1D76">
        <w:rPr>
          <w:rStyle w:val="Appelnotedebasdep"/>
        </w:rPr>
        <w:footnoteReference w:id="33"/>
      </w:r>
      <w:r>
        <w:rPr>
          <w:lang w:val="fr-FR"/>
        </w:rPr>
        <w:t>.</w:t>
      </w:r>
    </w:p>
    <w:p w14:paraId="13BF3905" w14:textId="77777777" w:rsidR="002B1D76" w:rsidRPr="00501EF4" w:rsidRDefault="002B1D76" w:rsidP="00E3250A">
      <w:pPr>
        <w:pStyle w:val="SingleTxtG"/>
        <w:rPr>
          <w:lang w:val="fr-FR"/>
        </w:rPr>
      </w:pPr>
      <w:r>
        <w:rPr>
          <w:lang w:val="fr-FR"/>
        </w:rPr>
        <w:t>29.</w:t>
      </w:r>
      <w:r>
        <w:rPr>
          <w:lang w:val="fr-FR"/>
        </w:rPr>
        <w:tab/>
        <w:t>La part du transport de voyageurs dans le total des émissions de CO</w:t>
      </w:r>
      <w:r>
        <w:rPr>
          <w:vertAlign w:val="subscript"/>
          <w:lang w:val="fr-FR"/>
        </w:rPr>
        <w:t>2</w:t>
      </w:r>
      <w:r>
        <w:rPr>
          <w:lang w:val="fr-FR"/>
        </w:rPr>
        <w:t xml:space="preserve"> du secteur des transports a baissé, tandis que celle du transport de marchandises a augmenté. En effet, aux États-Unis, la part des voitures particulières et utilitaires légers a reculé de 60 % à 57 % entre </w:t>
      </w:r>
      <w:r>
        <w:rPr>
          <w:lang w:val="fr-FR"/>
        </w:rPr>
        <w:lastRenderedPageBreak/>
        <w:t xml:space="preserve">2015 et 2020, alors que celle des véhicules utilitaires moyens et lourds a progressé de 23 % à 26 %. </w:t>
      </w:r>
    </w:p>
    <w:p w14:paraId="29FB2DFD" w14:textId="2090C69E" w:rsidR="002B1D76" w:rsidRPr="00501EF4" w:rsidRDefault="002B1D76" w:rsidP="002B1D76">
      <w:pPr>
        <w:pStyle w:val="H23G"/>
        <w:rPr>
          <w:lang w:val="fr-FR"/>
        </w:rPr>
      </w:pPr>
      <w:r>
        <w:rPr>
          <w:lang w:val="fr-FR"/>
        </w:rPr>
        <w:tab/>
        <w:t>6.</w:t>
      </w:r>
      <w:r>
        <w:rPr>
          <w:lang w:val="fr-FR"/>
        </w:rPr>
        <w:tab/>
        <w:t>Tendances régionales</w:t>
      </w:r>
      <w:r>
        <w:rPr>
          <w:lang w:val="fr-FR"/>
        </w:rPr>
        <w:t> </w:t>
      </w:r>
      <w:r>
        <w:rPr>
          <w:lang w:val="fr-FR"/>
        </w:rPr>
        <w:t>: Océanie</w:t>
      </w:r>
    </w:p>
    <w:p w14:paraId="24200D17" w14:textId="77777777" w:rsidR="002B1D76" w:rsidRPr="00501EF4" w:rsidRDefault="002B1D76" w:rsidP="00E3250A">
      <w:pPr>
        <w:pStyle w:val="SingleTxtG"/>
        <w:rPr>
          <w:lang w:val="fr-FR"/>
        </w:rPr>
      </w:pPr>
      <w:r>
        <w:rPr>
          <w:lang w:val="fr-FR"/>
        </w:rPr>
        <w:t>30.</w:t>
      </w:r>
      <w:r>
        <w:rPr>
          <w:lang w:val="fr-FR"/>
        </w:rPr>
        <w:tab/>
        <w:t>En 2022, l’Océanie était toujours la région dont le volume des émissions de CO</w:t>
      </w:r>
      <w:r>
        <w:rPr>
          <w:vertAlign w:val="subscript"/>
          <w:lang w:val="fr-FR"/>
        </w:rPr>
        <w:t>2</w:t>
      </w:r>
      <w:r>
        <w:rPr>
          <w:lang w:val="fr-FR"/>
        </w:rPr>
        <w:t xml:space="preserve"> dues aux transports (à l’exclusion du transport aérien international et du transport maritime) était le plus faible (2 % du total mondial). En revanche, elle affichait les émissions par habitant les plus élevées après l’Amérique du Nord. Les émissions de la région ont augmenté de manière assez régulière entre 2010 et 2019, avec une croissance globale de 14 %, puis ont baissé de 9 % en 2020 en raison du déclin de l’activité de transport, conséquence de la pandémie de COVID-19, avant de rebondir de 1,4 % en 2021 et de 8 % en 2022 pour revenir aux niveaux de 2019.</w:t>
      </w:r>
    </w:p>
    <w:p w14:paraId="7CA2FE73" w14:textId="71F09CF1"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Volume total des émissions de CO</w:t>
      </w:r>
      <w:r w:rsidR="002B1D76">
        <w:rPr>
          <w:vertAlign w:val="subscript"/>
          <w:lang w:val="fr-FR"/>
        </w:rPr>
        <w:t>2</w:t>
      </w:r>
      <w:r w:rsidR="002B1D76">
        <w:rPr>
          <w:lang w:val="fr-FR"/>
        </w:rPr>
        <w:t xml:space="preserve"> du secteur des transports (2022)</w:t>
      </w:r>
      <w:r w:rsidR="002B1D76">
        <w:rPr>
          <w:lang w:val="fr-FR"/>
        </w:rPr>
        <w:t> </w:t>
      </w:r>
      <w:r w:rsidR="002B1D76">
        <w:rPr>
          <w:lang w:val="fr-FR"/>
        </w:rPr>
        <w:t>: 120</w:t>
      </w:r>
      <w:r w:rsidR="002B1D76">
        <w:rPr>
          <w:lang w:val="fr-FR"/>
        </w:rPr>
        <w:t> </w:t>
      </w:r>
      <w:r w:rsidR="002B1D76">
        <w:rPr>
          <w:lang w:val="fr-FR"/>
        </w:rPr>
        <w:t xml:space="preserve">millions de tonnes </w:t>
      </w:r>
    </w:p>
    <w:p w14:paraId="14086C7A" w14:textId="360827EE" w:rsidR="002B1D76" w:rsidRPr="00501EF4" w:rsidRDefault="007A0F95" w:rsidP="007A0F95">
      <w:pPr>
        <w:pStyle w:val="Bullet1G"/>
        <w:numPr>
          <w:ilvl w:val="0"/>
          <w:numId w:val="0"/>
        </w:numPr>
        <w:tabs>
          <w:tab w:val="left" w:pos="1701"/>
        </w:tabs>
        <w:ind w:left="1701" w:hanging="170"/>
        <w:rPr>
          <w:rFonts w:ascii="Arial" w:eastAsia="Arial" w:hAnsi="Arial" w:cs="Arial"/>
          <w:color w:val="000000"/>
          <w:lang w:val="fr-FR"/>
        </w:rPr>
      </w:pPr>
      <w:r w:rsidRPr="00501EF4">
        <w:rPr>
          <w:rFonts w:eastAsia="Arial"/>
          <w:color w:val="000000"/>
          <w:lang w:val="fr-FR"/>
        </w:rPr>
        <w:t>•</w:t>
      </w:r>
      <w:r w:rsidRPr="00501EF4">
        <w:rPr>
          <w:rFonts w:eastAsia="Arial"/>
          <w:color w:val="000000"/>
          <w:lang w:val="fr-FR"/>
        </w:rPr>
        <w:tab/>
      </w:r>
      <w:r w:rsidR="002B1D76">
        <w:rPr>
          <w:lang w:val="fr-FR"/>
        </w:rPr>
        <w:t>Part du total mondial des émissions de CO</w:t>
      </w:r>
      <w:r w:rsidR="002B1D76" w:rsidRPr="00E3250A">
        <w:rPr>
          <w:vertAlign w:val="subscript"/>
          <w:lang w:val="fr-FR"/>
        </w:rPr>
        <w:t>2</w:t>
      </w:r>
      <w:r w:rsidR="002B1D76">
        <w:rPr>
          <w:lang w:val="fr-FR"/>
        </w:rPr>
        <w:t xml:space="preserve"> du secteur des transports (2022)</w:t>
      </w:r>
      <w:r w:rsidR="002B1D76">
        <w:rPr>
          <w:lang w:val="fr-FR"/>
        </w:rPr>
        <w:t> </w:t>
      </w:r>
      <w:r w:rsidR="002B1D76">
        <w:rPr>
          <w:lang w:val="fr-FR"/>
        </w:rPr>
        <w:t>: 1,8 %</w:t>
      </w:r>
    </w:p>
    <w:p w14:paraId="223650F9" w14:textId="2DDA980E"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par habitant du secteur des transports (2022)</w:t>
      </w:r>
      <w:r w:rsidR="002B1D76">
        <w:rPr>
          <w:lang w:val="fr-FR"/>
        </w:rPr>
        <w:t> </w:t>
      </w:r>
      <w:r w:rsidR="002B1D76">
        <w:rPr>
          <w:lang w:val="fr-FR"/>
        </w:rPr>
        <w:t>: 2,74</w:t>
      </w:r>
      <w:r w:rsidR="002B1D76">
        <w:rPr>
          <w:lang w:val="fr-FR"/>
        </w:rPr>
        <w:t> </w:t>
      </w:r>
      <w:r w:rsidR="002B1D76">
        <w:rPr>
          <w:lang w:val="fr-FR"/>
        </w:rPr>
        <w:t>tonnes</w:t>
      </w:r>
    </w:p>
    <w:p w14:paraId="18CD3355" w14:textId="7697851D"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Émissions de CO</w:t>
      </w:r>
      <w:r w:rsidR="002B1D76">
        <w:rPr>
          <w:vertAlign w:val="subscript"/>
          <w:lang w:val="fr-FR"/>
        </w:rPr>
        <w:t>2</w:t>
      </w:r>
      <w:r w:rsidR="002B1D76">
        <w:rPr>
          <w:lang w:val="fr-FR"/>
        </w:rPr>
        <w:t xml:space="preserve"> du secteur des transports pour 10 000</w:t>
      </w:r>
      <w:r w:rsidR="002B1D76">
        <w:rPr>
          <w:lang w:val="fr-FR"/>
        </w:rPr>
        <w:t> </w:t>
      </w:r>
      <w:r w:rsidR="002B1D76">
        <w:rPr>
          <w:lang w:val="fr-FR"/>
        </w:rPr>
        <w:t>dollars de PIB (2022)</w:t>
      </w:r>
      <w:r w:rsidR="002B1D76">
        <w:rPr>
          <w:lang w:val="fr-FR"/>
        </w:rPr>
        <w:t> </w:t>
      </w:r>
      <w:r w:rsidR="002B1D76">
        <w:rPr>
          <w:lang w:val="fr-FR"/>
        </w:rPr>
        <w:t>: 0,65</w:t>
      </w:r>
      <w:r w:rsidR="002B1D76">
        <w:rPr>
          <w:lang w:val="fr-FR"/>
        </w:rPr>
        <w:t> </w:t>
      </w:r>
      <w:r w:rsidR="002B1D76">
        <w:rPr>
          <w:lang w:val="fr-FR"/>
        </w:rPr>
        <w:t>tonne</w:t>
      </w:r>
    </w:p>
    <w:p w14:paraId="1336F350" w14:textId="6ADB03B7" w:rsidR="002B1D76" w:rsidRPr="00501EF4" w:rsidRDefault="002B1D76" w:rsidP="00E3250A">
      <w:pPr>
        <w:pStyle w:val="SingleTxtG"/>
        <w:rPr>
          <w:lang w:val="fr-FR"/>
        </w:rPr>
      </w:pPr>
      <w:r>
        <w:rPr>
          <w:lang w:val="fr-FR"/>
        </w:rPr>
        <w:t>31.</w:t>
      </w:r>
      <w:r>
        <w:rPr>
          <w:lang w:val="fr-FR"/>
        </w:rPr>
        <w:tab/>
        <w:t>Les véhicules privés continuent de représenter l’essentiel des déplacements malgré l’offre abondante de transports publics. En 2021, en Australie, 87 % des trajets domicile</w:t>
      </w:r>
      <w:r w:rsidR="00E3250A">
        <w:rPr>
          <w:lang w:val="fr-FR"/>
        </w:rPr>
        <w:noBreakHyphen/>
      </w:r>
      <w:r>
        <w:rPr>
          <w:lang w:val="fr-FR"/>
        </w:rPr>
        <w:t xml:space="preserve">travail ont été effectués par des conducteurs ou des passagers de voitures, de motocycles ou de camions, l’Australie et la Nouvelle-Zélande continuant d’enregistrer les taux de motorisation les plus élevés de la région (4 fois la moyenne mondiale). Seuls 5 % de ces trajets ont été faits à pied ou à vélo, et 7 % l’ont été au moyen de transports publics. </w:t>
      </w:r>
    </w:p>
    <w:p w14:paraId="3E20F6B7" w14:textId="77CD79AD" w:rsidR="002B1D76" w:rsidRPr="00501EF4" w:rsidRDefault="002B1D76" w:rsidP="002B1D76">
      <w:pPr>
        <w:pStyle w:val="HChG"/>
        <w:rPr>
          <w:lang w:val="fr-FR"/>
        </w:rPr>
      </w:pPr>
      <w:r>
        <w:rPr>
          <w:lang w:val="fr-FR"/>
        </w:rPr>
        <w:tab/>
        <w:t>II.</w:t>
      </w:r>
      <w:r>
        <w:rPr>
          <w:lang w:val="fr-FR"/>
        </w:rPr>
        <w:tab/>
      </w:r>
      <w:r>
        <w:rPr>
          <w:lang w:val="fr-FR"/>
        </w:rPr>
        <w:tab/>
        <w:t>Émissions de gaz à effet de serre du secteur des transports</w:t>
      </w:r>
      <w:r w:rsidR="001C6F26">
        <w:rPr>
          <w:lang w:val="fr-FR"/>
        </w:rPr>
        <w:t> </w:t>
      </w:r>
      <w:r>
        <w:rPr>
          <w:lang w:val="fr-FR"/>
        </w:rPr>
        <w:t>: projections et tendances</w:t>
      </w:r>
    </w:p>
    <w:p w14:paraId="11A59C3B" w14:textId="7AAA26D0" w:rsidR="002B1D76" w:rsidRPr="00501EF4" w:rsidRDefault="002B1D76" w:rsidP="002B1D76">
      <w:pPr>
        <w:pStyle w:val="H1G"/>
        <w:rPr>
          <w:lang w:val="fr-FR"/>
        </w:rPr>
      </w:pPr>
      <w:bookmarkStart w:id="4" w:name="_4d34og8" w:colFirst="0" w:colLast="0"/>
      <w:bookmarkEnd w:id="4"/>
      <w:r>
        <w:rPr>
          <w:lang w:val="fr-FR"/>
        </w:rPr>
        <w:tab/>
        <w:t>A.</w:t>
      </w:r>
      <w:r>
        <w:rPr>
          <w:lang w:val="fr-FR"/>
        </w:rPr>
        <w:tab/>
      </w:r>
      <w:r>
        <w:rPr>
          <w:lang w:val="fr-FR"/>
        </w:rPr>
        <w:tab/>
        <w:t>Projections selon le scénario d’un maintien des politiques actuelles</w:t>
      </w:r>
    </w:p>
    <w:p w14:paraId="19673D6E" w14:textId="5846CD13" w:rsidR="002B1D76" w:rsidRPr="00501EF4" w:rsidRDefault="002B1D76" w:rsidP="00E3250A">
      <w:pPr>
        <w:pStyle w:val="SingleTxtG"/>
        <w:rPr>
          <w:lang w:val="fr-FR"/>
        </w:rPr>
      </w:pPr>
      <w:r>
        <w:rPr>
          <w:lang w:val="fr-FR"/>
        </w:rPr>
        <w:t>32.</w:t>
      </w:r>
      <w:r>
        <w:rPr>
          <w:lang w:val="fr-FR"/>
        </w:rPr>
        <w:tab/>
        <w:t>Selon le scénario d’un maintien des politiques actuelles, les émissions de CO</w:t>
      </w:r>
      <w:r>
        <w:rPr>
          <w:vertAlign w:val="subscript"/>
          <w:lang w:val="fr-FR"/>
        </w:rPr>
        <w:t>2</w:t>
      </w:r>
      <w:r>
        <w:rPr>
          <w:lang w:val="fr-FR"/>
        </w:rPr>
        <w:t xml:space="preserve"> du secteur des transports pourraient croître de 16 à 50 % d’ici à 2050</w:t>
      </w:r>
      <w:r w:rsidRPr="002B1D76">
        <w:rPr>
          <w:rStyle w:val="Appelnotedebasdep"/>
        </w:rPr>
        <w:footnoteReference w:id="34"/>
      </w:r>
      <w:r>
        <w:rPr>
          <w:lang w:val="fr-FR"/>
        </w:rPr>
        <w:t>. La comparaison de ce scénario avec celui d’un réchauffement planétaire limité à 1,5</w:t>
      </w:r>
      <w:r>
        <w:rPr>
          <w:lang w:val="fr-FR"/>
        </w:rPr>
        <w:t> </w:t>
      </w:r>
      <w:r>
        <w:rPr>
          <w:lang w:val="fr-FR"/>
        </w:rPr>
        <w:t>°C, tel qu’établi par le GIEC, fait apparaître un écart d’émissions de 5,8</w:t>
      </w:r>
      <w:r>
        <w:rPr>
          <w:lang w:val="fr-FR"/>
        </w:rPr>
        <w:t> </w:t>
      </w:r>
      <w:r>
        <w:rPr>
          <w:lang w:val="fr-FR"/>
        </w:rPr>
        <w:t>gigatonnes à l’horizon 2050 (voir la figure V). L’activité mondiale de transport de marchandises devrait doubler entre 2019 et 2050, de sorte que les émissions de CO</w:t>
      </w:r>
      <w:r>
        <w:rPr>
          <w:vertAlign w:val="subscript"/>
          <w:lang w:val="fr-FR"/>
        </w:rPr>
        <w:t>2</w:t>
      </w:r>
      <w:r>
        <w:rPr>
          <w:lang w:val="fr-FR"/>
        </w:rPr>
        <w:t xml:space="preserve"> dues à cette activité pourraient être 22 % plus élevées en 2050 qu’en 2015 en raison de la croissance de la demande de services de transport et de livraison de marchandises, de l’allongement des chaînes d’approvisionnement et d’un manque de réglementations en faveur d’une plus grande efficacité des opérations</w:t>
      </w:r>
      <w:r w:rsidRPr="002B1D76">
        <w:rPr>
          <w:rStyle w:val="Appelnotedebasdep"/>
        </w:rPr>
        <w:footnoteReference w:id="35"/>
      </w:r>
      <w:r>
        <w:rPr>
          <w:lang w:val="fr-FR"/>
        </w:rPr>
        <w:t>. Le transport de marchandises pourrait représenter 61 % des émissions de CO</w:t>
      </w:r>
      <w:r>
        <w:rPr>
          <w:vertAlign w:val="subscript"/>
          <w:lang w:val="fr-FR"/>
        </w:rPr>
        <w:t>2</w:t>
      </w:r>
      <w:r>
        <w:rPr>
          <w:lang w:val="fr-FR"/>
        </w:rPr>
        <w:t xml:space="preserve"> du secteur des transports en 2050</w:t>
      </w:r>
      <w:r w:rsidRPr="002B1D76">
        <w:rPr>
          <w:rStyle w:val="Appelnotedebasdep"/>
        </w:rPr>
        <w:footnoteReference w:id="36"/>
      </w:r>
      <w:r>
        <w:rPr>
          <w:lang w:val="fr-FR"/>
        </w:rPr>
        <w:t>. La flotte mondiale de voitures particulières devrait atteindre entre 1,4</w:t>
      </w:r>
      <w:r>
        <w:rPr>
          <w:lang w:val="fr-FR"/>
        </w:rPr>
        <w:t> </w:t>
      </w:r>
      <w:r>
        <w:rPr>
          <w:lang w:val="fr-FR"/>
        </w:rPr>
        <w:t>milliard et 1,55</w:t>
      </w:r>
      <w:r>
        <w:rPr>
          <w:lang w:val="fr-FR"/>
        </w:rPr>
        <w:t> </w:t>
      </w:r>
      <w:r>
        <w:rPr>
          <w:lang w:val="fr-FR"/>
        </w:rPr>
        <w:t>milliard de véhicules d’ici à 2050, contre un peu moins de 1,2</w:t>
      </w:r>
      <w:r>
        <w:rPr>
          <w:lang w:val="fr-FR"/>
        </w:rPr>
        <w:t> </w:t>
      </w:r>
      <w:r>
        <w:rPr>
          <w:lang w:val="fr-FR"/>
        </w:rPr>
        <w:t>milliard en 2020, et cette croissance sera essentiellement portée par les pays en développement</w:t>
      </w:r>
      <w:r w:rsidRPr="002B1D76">
        <w:rPr>
          <w:rStyle w:val="Appelnotedebasdep"/>
        </w:rPr>
        <w:footnoteReference w:id="37"/>
      </w:r>
      <w:r>
        <w:rPr>
          <w:lang w:val="fr-FR"/>
        </w:rPr>
        <w:t>.</w:t>
      </w:r>
    </w:p>
    <w:p w14:paraId="7A2DAB4D" w14:textId="276053B6" w:rsidR="002B1D76" w:rsidRDefault="002B1D76" w:rsidP="001C6F26">
      <w:pPr>
        <w:pStyle w:val="Titre1"/>
        <w:spacing w:after="120"/>
        <w:ind w:right="1134"/>
        <w:rPr>
          <w:b/>
          <w:bCs/>
          <w:lang w:val="fr-FR"/>
        </w:rPr>
      </w:pPr>
      <w:r>
        <w:rPr>
          <w:lang w:val="fr-FR"/>
        </w:rPr>
        <w:lastRenderedPageBreak/>
        <w:t>Figure V</w:t>
      </w:r>
      <w:r>
        <w:rPr>
          <w:lang w:val="fr-FR"/>
        </w:rPr>
        <w:br/>
      </w:r>
      <w:r>
        <w:rPr>
          <w:b/>
          <w:bCs/>
          <w:lang w:val="fr-FR"/>
        </w:rPr>
        <w:t>Évolution future des émissions de CO</w:t>
      </w:r>
      <w:r>
        <w:rPr>
          <w:b/>
          <w:bCs/>
          <w:vertAlign w:val="subscript"/>
          <w:lang w:val="fr-FR"/>
        </w:rPr>
        <w:t>2</w:t>
      </w:r>
      <w:r>
        <w:rPr>
          <w:b/>
          <w:bCs/>
          <w:lang w:val="fr-FR"/>
        </w:rPr>
        <w:t xml:space="preserve"> du secteur des transports</w:t>
      </w:r>
      <w:r w:rsidR="001C6F26">
        <w:rPr>
          <w:b/>
          <w:bCs/>
          <w:lang w:val="fr-FR"/>
        </w:rPr>
        <w:t> </w:t>
      </w:r>
      <w:r>
        <w:rPr>
          <w:b/>
          <w:bCs/>
          <w:lang w:val="fr-FR"/>
        </w:rPr>
        <w:t xml:space="preserve">: scénario du maintien des politiques actuelles et scénario d’un réchauffement planétaire </w:t>
      </w:r>
      <w:r w:rsidR="001C6F26">
        <w:rPr>
          <w:b/>
          <w:bCs/>
          <w:lang w:val="fr-FR"/>
        </w:rPr>
        <w:br/>
      </w:r>
      <w:r>
        <w:rPr>
          <w:b/>
          <w:bCs/>
          <w:lang w:val="fr-FR"/>
        </w:rPr>
        <w:t>de 1,5</w:t>
      </w:r>
      <w:r>
        <w:rPr>
          <w:b/>
          <w:bCs/>
          <w:lang w:val="fr-FR"/>
        </w:rPr>
        <w:t> </w:t>
      </w:r>
      <w:r>
        <w:rPr>
          <w:b/>
          <w:bCs/>
          <w:lang w:val="fr-FR"/>
        </w:rPr>
        <w:t>°C (GIEC)</w:t>
      </w:r>
      <w:r w:rsidRPr="002B1D76">
        <w:rPr>
          <w:rStyle w:val="Appelnotedebasdep"/>
        </w:rPr>
        <w:footnoteReference w:id="38"/>
      </w:r>
    </w:p>
    <w:p w14:paraId="1B99E64E" w14:textId="6048E274" w:rsidR="001C6F26" w:rsidRPr="001C6F26" w:rsidRDefault="001C6F26" w:rsidP="001C6F26">
      <w:pPr>
        <w:pStyle w:val="SingleTxtG"/>
        <w:spacing w:after="240"/>
        <w:rPr>
          <w:lang w:val="fr-FR"/>
        </w:rPr>
      </w:pPr>
      <w:r>
        <w:rPr>
          <w:noProof/>
        </w:rPr>
        <w:drawing>
          <wp:inline distT="0" distB="0" distL="0" distR="0" wp14:anchorId="67245DC5" wp14:editId="3DEEF6D3">
            <wp:extent cx="4680000" cy="2641058"/>
            <wp:effectExtent l="0" t="0" r="635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641058"/>
                    </a:xfrm>
                    <a:prstGeom prst="rect">
                      <a:avLst/>
                    </a:prstGeom>
                  </pic:spPr>
                </pic:pic>
              </a:graphicData>
            </a:graphic>
          </wp:inline>
        </w:drawing>
      </w:r>
    </w:p>
    <w:p w14:paraId="4EF91319" w14:textId="1F87493D" w:rsidR="002B1D76" w:rsidRPr="00501EF4" w:rsidRDefault="002B1D76" w:rsidP="001C6F26">
      <w:pPr>
        <w:pStyle w:val="SingleTxtG"/>
        <w:rPr>
          <w:lang w:val="fr-FR"/>
        </w:rPr>
      </w:pPr>
      <w:r>
        <w:rPr>
          <w:lang w:val="fr-FR"/>
        </w:rPr>
        <w:t>33.</w:t>
      </w:r>
      <w:r>
        <w:rPr>
          <w:lang w:val="fr-FR"/>
        </w:rPr>
        <w:tab/>
        <w:t>Le volume de l’activité des transports intérieurs de marchandises pourrait passer de 41 200</w:t>
      </w:r>
      <w:r>
        <w:rPr>
          <w:lang w:val="fr-FR"/>
        </w:rPr>
        <w:t> </w:t>
      </w:r>
      <w:r>
        <w:rPr>
          <w:lang w:val="fr-FR"/>
        </w:rPr>
        <w:t>milliards de tonnes-kilomètres à 93 600</w:t>
      </w:r>
      <w:r>
        <w:rPr>
          <w:lang w:val="fr-FR"/>
        </w:rPr>
        <w:t> </w:t>
      </w:r>
      <w:r>
        <w:rPr>
          <w:lang w:val="fr-FR"/>
        </w:rPr>
        <w:t>milliards de tonnes-kilomètres d’ici à 2050, auquel cas les émissions de CO</w:t>
      </w:r>
      <w:r>
        <w:rPr>
          <w:vertAlign w:val="subscript"/>
          <w:lang w:val="fr-FR"/>
        </w:rPr>
        <w:t>2</w:t>
      </w:r>
      <w:r>
        <w:rPr>
          <w:lang w:val="fr-FR"/>
        </w:rPr>
        <w:t xml:space="preserve"> imputables à cette activité augmenteraient de 10 %. Cette hausse des émissions dues aux transports intérieurs sera presque entièrement attribuable au transport routier de marchandises en milieu non urbain</w:t>
      </w:r>
      <w:r w:rsidRPr="002B1D76">
        <w:rPr>
          <w:rStyle w:val="Appelnotedebasdep"/>
        </w:rPr>
        <w:footnoteReference w:id="39"/>
      </w:r>
      <w:r>
        <w:rPr>
          <w:lang w:val="fr-FR"/>
        </w:rPr>
        <w:t>.</w:t>
      </w:r>
    </w:p>
    <w:p w14:paraId="445E8371" w14:textId="77777777" w:rsidR="002B1D76" w:rsidRPr="00501EF4" w:rsidRDefault="002B1D76" w:rsidP="001C6F26">
      <w:pPr>
        <w:pStyle w:val="SingleTxtG"/>
        <w:rPr>
          <w:vertAlign w:val="superscript"/>
          <w:lang w:val="fr-FR"/>
        </w:rPr>
      </w:pPr>
      <w:r>
        <w:rPr>
          <w:lang w:val="fr-FR"/>
        </w:rPr>
        <w:t>34.</w:t>
      </w:r>
      <w:r>
        <w:rPr>
          <w:lang w:val="fr-FR"/>
        </w:rPr>
        <w:tab/>
        <w:t>En Asie, première région émettrice en 2019, on estime que les émissions de CO</w:t>
      </w:r>
      <w:r>
        <w:rPr>
          <w:vertAlign w:val="subscript"/>
          <w:lang w:val="fr-FR"/>
        </w:rPr>
        <w:t>2</w:t>
      </w:r>
      <w:r>
        <w:rPr>
          <w:lang w:val="fr-FR"/>
        </w:rPr>
        <w:t xml:space="preserve"> du secteur des transports pourraient croître de 1,5 % par an jusqu’en 2030, et que la part des émissions attribuable au transport de marchandises pourrait passer de 48 % en 2000 à 57 % en 2030</w:t>
      </w:r>
      <w:r w:rsidRPr="002B1D76">
        <w:rPr>
          <w:rStyle w:val="Appelnotedebasdep"/>
        </w:rPr>
        <w:footnoteReference w:id="40"/>
      </w:r>
      <w:r>
        <w:rPr>
          <w:lang w:val="fr-FR"/>
        </w:rPr>
        <w:t>.</w:t>
      </w:r>
    </w:p>
    <w:p w14:paraId="78E56C53" w14:textId="5E5D5DDA" w:rsidR="002B1D76" w:rsidRPr="00501EF4" w:rsidRDefault="002B1D76" w:rsidP="001C6F26">
      <w:pPr>
        <w:pStyle w:val="SingleTxtG"/>
        <w:rPr>
          <w:lang w:val="fr-FR"/>
        </w:rPr>
      </w:pPr>
      <w:bookmarkStart w:id="5" w:name="_2s8eyo1" w:colFirst="0" w:colLast="0"/>
      <w:bookmarkEnd w:id="5"/>
      <w:r>
        <w:rPr>
          <w:lang w:val="fr-FR"/>
        </w:rPr>
        <w:t>35.</w:t>
      </w:r>
      <w:r>
        <w:rPr>
          <w:lang w:val="fr-FR"/>
        </w:rPr>
        <w:tab/>
        <w:t>Si les politiques actuelles étaient maintenues, les émissions des transports urbains diminueraient légèrement (-5 %)</w:t>
      </w:r>
      <w:r w:rsidRPr="002B1D76">
        <w:rPr>
          <w:rStyle w:val="Appelnotedebasdep"/>
        </w:rPr>
        <w:footnoteReference w:id="41"/>
      </w:r>
      <w:r>
        <w:rPr>
          <w:lang w:val="fr-FR"/>
        </w:rPr>
        <w:t>, mais les politiques nationales annoncées ou mises en œuvre par les États conduiraient malgré tout à une élévation moyenne des températures mondiales de 2,8</w:t>
      </w:r>
      <w:r>
        <w:rPr>
          <w:lang w:val="fr-FR"/>
        </w:rPr>
        <w:t> </w:t>
      </w:r>
      <w:r>
        <w:rPr>
          <w:lang w:val="fr-FR"/>
        </w:rPr>
        <w:t>°C à l’horizon 2100. Ce réchauffement serait ramené à 2,6</w:t>
      </w:r>
      <w:r>
        <w:rPr>
          <w:lang w:val="fr-FR"/>
        </w:rPr>
        <w:t> </w:t>
      </w:r>
      <w:r>
        <w:rPr>
          <w:lang w:val="fr-FR"/>
        </w:rPr>
        <w:t>°C si les pays atteignaient les objectifs inconditionnels qu’ils ont fixés dans leurs contributions déterminées au niveau national, et à 2,4</w:t>
      </w:r>
      <w:r>
        <w:rPr>
          <w:lang w:val="fr-FR"/>
        </w:rPr>
        <w:t> </w:t>
      </w:r>
      <w:r>
        <w:rPr>
          <w:lang w:val="fr-FR"/>
        </w:rPr>
        <w:t>°C si les objectifs assortis de conditions étaient également atteints</w:t>
      </w:r>
      <w:r w:rsidRPr="002B1D76">
        <w:rPr>
          <w:rStyle w:val="Appelnotedebasdep"/>
        </w:rPr>
        <w:footnoteReference w:id="42"/>
      </w:r>
      <w:r>
        <w:rPr>
          <w:lang w:val="fr-FR"/>
        </w:rPr>
        <w:t>.</w:t>
      </w:r>
    </w:p>
    <w:p w14:paraId="1479AA09" w14:textId="059ACE6F" w:rsidR="002B1D76" w:rsidRPr="00501EF4" w:rsidRDefault="002B1D76" w:rsidP="002B1D76">
      <w:pPr>
        <w:pStyle w:val="H1G"/>
        <w:rPr>
          <w:lang w:val="fr-FR"/>
        </w:rPr>
      </w:pPr>
      <w:r>
        <w:rPr>
          <w:lang w:val="fr-FR"/>
        </w:rPr>
        <w:tab/>
        <w:t>B.</w:t>
      </w:r>
      <w:r>
        <w:rPr>
          <w:lang w:val="fr-FR"/>
        </w:rPr>
        <w:tab/>
        <w:t>Scénarios de décarbonation du secteur des transports</w:t>
      </w:r>
    </w:p>
    <w:p w14:paraId="1A7CD4BE" w14:textId="43FD1126" w:rsidR="002B1D76" w:rsidRPr="00501EF4" w:rsidRDefault="002B1D76" w:rsidP="001C6F26">
      <w:pPr>
        <w:pStyle w:val="SingleTxtG"/>
        <w:rPr>
          <w:lang w:val="fr-FR"/>
        </w:rPr>
      </w:pPr>
      <w:r>
        <w:rPr>
          <w:lang w:val="fr-FR"/>
        </w:rPr>
        <w:t>36.</w:t>
      </w:r>
      <w:r>
        <w:rPr>
          <w:lang w:val="fr-FR"/>
        </w:rPr>
        <w:tab/>
        <w:t>Pour que le réchauffement planétaire soit limité à 1,5</w:t>
      </w:r>
      <w:r>
        <w:rPr>
          <w:lang w:val="fr-FR"/>
        </w:rPr>
        <w:t> </w:t>
      </w:r>
      <w:r>
        <w:rPr>
          <w:lang w:val="fr-FR"/>
        </w:rPr>
        <w:t>°C (sans dépassement ou avec un faible dépassement), les émissions de gaz à effet de serre de l’économie mondiale doivent culminer avant 2025, et la neutralité carbone doit être atteinte à l’horizon 2050. Pour que le réchauffement soit limité à 2</w:t>
      </w:r>
      <w:r>
        <w:rPr>
          <w:lang w:val="fr-FR"/>
        </w:rPr>
        <w:t> </w:t>
      </w:r>
      <w:r>
        <w:rPr>
          <w:lang w:val="fr-FR"/>
        </w:rPr>
        <w:t>°C, la neutralité carbone doit être atteinte au début des années 2070.</w:t>
      </w:r>
    </w:p>
    <w:p w14:paraId="41FA3CB6" w14:textId="3FF72014" w:rsidR="002B1D76" w:rsidRPr="00501EF4" w:rsidRDefault="002B1D76" w:rsidP="001C6F26">
      <w:pPr>
        <w:pStyle w:val="SingleTxtG"/>
        <w:rPr>
          <w:sz w:val="14"/>
          <w:szCs w:val="14"/>
          <w:lang w:val="fr-FR"/>
        </w:rPr>
      </w:pPr>
      <w:r>
        <w:rPr>
          <w:lang w:val="fr-FR"/>
        </w:rPr>
        <w:lastRenderedPageBreak/>
        <w:t>37.</w:t>
      </w:r>
      <w:r>
        <w:rPr>
          <w:lang w:val="fr-FR"/>
        </w:rPr>
        <w:tab/>
        <w:t>D’après diverses projections récentes, les émissions de CO</w:t>
      </w:r>
      <w:r>
        <w:rPr>
          <w:vertAlign w:val="subscript"/>
          <w:lang w:val="fr-FR"/>
        </w:rPr>
        <w:t>2</w:t>
      </w:r>
      <w:r>
        <w:rPr>
          <w:lang w:val="fr-FR"/>
        </w:rPr>
        <w:t xml:space="preserve"> du secteur des transports doivent diminuer de 0,4 à 2,9</w:t>
      </w:r>
      <w:r>
        <w:rPr>
          <w:lang w:val="fr-FR"/>
        </w:rPr>
        <w:t> </w:t>
      </w:r>
      <w:r>
        <w:rPr>
          <w:lang w:val="fr-FR"/>
        </w:rPr>
        <w:t>gigatonnes d’ici à 2050</w:t>
      </w:r>
      <w:r>
        <w:rPr>
          <w:lang w:val="fr-FR"/>
        </w:rPr>
        <w:t> </w:t>
      </w:r>
      <w:r>
        <w:rPr>
          <w:lang w:val="fr-FR"/>
        </w:rPr>
        <w:t>:</w:t>
      </w:r>
    </w:p>
    <w:p w14:paraId="37F7FB18" w14:textId="6E2AAF64"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Scénario le plus ambitieux du Forum international des transports (FIT) (publication « ITF Transport Outlook »)</w:t>
      </w:r>
      <w:r w:rsidR="002B1D76">
        <w:rPr>
          <w:lang w:val="fr-FR"/>
        </w:rPr>
        <w:t> </w:t>
      </w:r>
      <w:r w:rsidR="002B1D76">
        <w:rPr>
          <w:lang w:val="fr-FR"/>
        </w:rPr>
        <w:t>: 1,6</w:t>
      </w:r>
      <w:r w:rsidR="002B1D76">
        <w:rPr>
          <w:lang w:val="fr-FR"/>
        </w:rPr>
        <w:t> </w:t>
      </w:r>
      <w:r w:rsidR="002B1D76">
        <w:rPr>
          <w:lang w:val="fr-FR"/>
        </w:rPr>
        <w:t>gigatonne</w:t>
      </w:r>
      <w:r w:rsidR="002B1D76" w:rsidRPr="002B1D76">
        <w:rPr>
          <w:rStyle w:val="Appelnotedebasdep"/>
        </w:rPr>
        <w:footnoteReference w:id="43"/>
      </w:r>
      <w:r w:rsidR="002B1D76">
        <w:rPr>
          <w:lang w:val="fr-FR"/>
        </w:rPr>
        <w:t> </w:t>
      </w:r>
      <w:r w:rsidR="002B1D76">
        <w:rPr>
          <w:lang w:val="fr-FR"/>
        </w:rPr>
        <w:t>;</w:t>
      </w:r>
    </w:p>
    <w:p w14:paraId="3F688D8D" w14:textId="69CCBAE4"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 xml:space="preserve">Scénario « zéro net » de l’Agence internationale de l’énergie (AIE) (version actualisée en 2023 de la publication « Net </w:t>
      </w:r>
      <w:proofErr w:type="spellStart"/>
      <w:r w:rsidR="002B1D76">
        <w:rPr>
          <w:lang w:val="fr-FR"/>
        </w:rPr>
        <w:t>Zero</w:t>
      </w:r>
      <w:proofErr w:type="spellEnd"/>
      <w:r w:rsidR="002B1D76">
        <w:rPr>
          <w:lang w:val="fr-FR"/>
        </w:rPr>
        <w:t xml:space="preserve"> by 2050 »)</w:t>
      </w:r>
      <w:r w:rsidR="002B1D76">
        <w:rPr>
          <w:lang w:val="fr-FR"/>
        </w:rPr>
        <w:t> </w:t>
      </w:r>
      <w:r w:rsidR="002B1D76">
        <w:rPr>
          <w:lang w:val="fr-FR"/>
        </w:rPr>
        <w:t>: 0,58</w:t>
      </w:r>
      <w:r w:rsidR="002B1D76">
        <w:rPr>
          <w:lang w:val="fr-FR"/>
        </w:rPr>
        <w:t> </w:t>
      </w:r>
      <w:r w:rsidR="002B1D76">
        <w:rPr>
          <w:lang w:val="fr-FR"/>
        </w:rPr>
        <w:t>gigatonne</w:t>
      </w:r>
      <w:r w:rsidR="002B1D76" w:rsidRPr="002B1D76">
        <w:rPr>
          <w:rStyle w:val="Appelnotedebasdep"/>
        </w:rPr>
        <w:footnoteReference w:id="44"/>
      </w:r>
      <w:r w:rsidR="002B1D76">
        <w:rPr>
          <w:lang w:val="fr-FR"/>
        </w:rPr>
        <w:t> </w:t>
      </w:r>
      <w:r w:rsidR="002B1D76">
        <w:rPr>
          <w:lang w:val="fr-FR"/>
        </w:rPr>
        <w:t>;</w:t>
      </w:r>
    </w:p>
    <w:p w14:paraId="290B3F27" w14:textId="5343C440"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Scénario du Groupe d’experts intergouvernemental sur l’évolution du climat (GIEC) pour un réchauffement planétaire limité à 1,5</w:t>
      </w:r>
      <w:r w:rsidR="002B1D76">
        <w:rPr>
          <w:lang w:val="fr-FR"/>
        </w:rPr>
        <w:t> </w:t>
      </w:r>
      <w:r w:rsidR="002B1D76">
        <w:rPr>
          <w:lang w:val="fr-FR"/>
        </w:rPr>
        <w:t>°C (sixième rapport d’évaluation)</w:t>
      </w:r>
      <w:r w:rsidR="002B1D76">
        <w:rPr>
          <w:lang w:val="fr-FR"/>
        </w:rPr>
        <w:t> </w:t>
      </w:r>
      <w:r w:rsidR="002B1D76">
        <w:rPr>
          <w:lang w:val="fr-FR"/>
        </w:rPr>
        <w:t>: entre 0,7 et 2,9</w:t>
      </w:r>
      <w:r w:rsidR="002B1D76">
        <w:rPr>
          <w:lang w:val="fr-FR"/>
        </w:rPr>
        <w:t> </w:t>
      </w:r>
      <w:r w:rsidR="002B1D76">
        <w:rPr>
          <w:lang w:val="fr-FR"/>
        </w:rPr>
        <w:t>gigatonnes</w:t>
      </w:r>
      <w:r w:rsidR="002B1D76" w:rsidRPr="002B1D76">
        <w:rPr>
          <w:rStyle w:val="Appelnotedebasdep"/>
        </w:rPr>
        <w:footnoteReference w:id="45"/>
      </w:r>
      <w:r w:rsidR="002B1D76">
        <w:rPr>
          <w:lang w:val="fr-FR"/>
        </w:rPr>
        <w:t> </w:t>
      </w:r>
      <w:r w:rsidR="002B1D76">
        <w:rPr>
          <w:lang w:val="fr-FR"/>
        </w:rPr>
        <w:t>;</w:t>
      </w:r>
    </w:p>
    <w:p w14:paraId="2F828858" w14:textId="37BC70E5"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Scénario de l’Agence internationale pour les énergies renouvelables (IRENA)</w:t>
      </w:r>
      <w:r w:rsidR="002B1D76" w:rsidRPr="002B1D76">
        <w:rPr>
          <w:rStyle w:val="Appelnotedebasdep"/>
        </w:rPr>
        <w:footnoteReference w:id="46"/>
      </w:r>
      <w:r w:rsidR="002B1D76">
        <w:rPr>
          <w:lang w:val="fr-FR"/>
        </w:rPr>
        <w:t> </w:t>
      </w:r>
      <w:r w:rsidR="002B1D76">
        <w:rPr>
          <w:lang w:val="fr-FR"/>
        </w:rPr>
        <w:t>: 0,4</w:t>
      </w:r>
      <w:r w:rsidR="002B1D76">
        <w:rPr>
          <w:lang w:val="fr-FR"/>
        </w:rPr>
        <w:t> </w:t>
      </w:r>
      <w:r w:rsidR="002B1D76">
        <w:rPr>
          <w:lang w:val="fr-FR"/>
        </w:rPr>
        <w:t>gigatonne.</w:t>
      </w:r>
    </w:p>
    <w:p w14:paraId="3DB57541" w14:textId="5E3EEB8F" w:rsidR="002B1D76" w:rsidRPr="00501EF4" w:rsidRDefault="002B1D76" w:rsidP="001C6F26">
      <w:pPr>
        <w:pStyle w:val="SingleTxtG"/>
        <w:rPr>
          <w:lang w:val="fr-FR"/>
        </w:rPr>
      </w:pPr>
      <w:r>
        <w:rPr>
          <w:lang w:val="fr-FR"/>
        </w:rPr>
        <w:t>38.</w:t>
      </w:r>
      <w:r>
        <w:rPr>
          <w:lang w:val="fr-FR"/>
        </w:rPr>
        <w:tab/>
        <w:t>La principale différence entre ces projections de décarbonation des transports est qu’elles reposent sur des hypothèses différentes, de sorte que les transports contribuent différemment à la décarbonation de l’économie dans son ensemble. Ainsi qu’il l’indique dans son sixième rapport d’évaluation, le GIEC s’attend par exemple à ce que d’autres secteurs contribuent beaucoup plus sensiblement à la réduction des émissions que les transports. Les projections relatives au captage du carbone varient aussi d’un scénario à l’autre. Pour ne pas dépasser le budget carbone qui correspond au scénario d’un réchauffement limité à 1,5</w:t>
      </w:r>
      <w:r>
        <w:rPr>
          <w:lang w:val="fr-FR"/>
        </w:rPr>
        <w:t> </w:t>
      </w:r>
      <w:r>
        <w:rPr>
          <w:lang w:val="fr-FR"/>
        </w:rPr>
        <w:t xml:space="preserve">°C, il faut réduire immédiatement et de manière drastique les émissions de gaz à effet de serre. </w:t>
      </w:r>
    </w:p>
    <w:p w14:paraId="75601DEB" w14:textId="55450299" w:rsidR="002B1D76" w:rsidRPr="00501EF4" w:rsidRDefault="002B1D76" w:rsidP="00D35EA3">
      <w:pPr>
        <w:pStyle w:val="SingleTxtG"/>
        <w:rPr>
          <w:lang w:val="fr-FR"/>
        </w:rPr>
      </w:pPr>
      <w:r>
        <w:rPr>
          <w:lang w:val="fr-FR"/>
        </w:rPr>
        <w:t>39.</w:t>
      </w:r>
      <w:r>
        <w:rPr>
          <w:lang w:val="fr-FR"/>
        </w:rPr>
        <w:tab/>
        <w:t>Selon le sixième rapport d’évaluation du GIEC, il faudra réduire les émissions de CO</w:t>
      </w:r>
      <w:r>
        <w:rPr>
          <w:vertAlign w:val="subscript"/>
          <w:lang w:val="fr-FR"/>
        </w:rPr>
        <w:t>2</w:t>
      </w:r>
      <w:r>
        <w:rPr>
          <w:lang w:val="fr-FR"/>
        </w:rPr>
        <w:t xml:space="preserve"> du secteur des transports d’au moins 59 % d’ici à 2050 par rapport aux niveaux de 2020 pour limiter le réchauffement planétaire à 1,5</w:t>
      </w:r>
      <w:r>
        <w:rPr>
          <w:lang w:val="fr-FR"/>
        </w:rPr>
        <w:t> </w:t>
      </w:r>
      <w:r>
        <w:rPr>
          <w:lang w:val="fr-FR"/>
        </w:rPr>
        <w:t>°C (sans dépassement ou avec un faible dépassement)</w:t>
      </w:r>
      <w:r w:rsidRPr="002B1D76">
        <w:rPr>
          <w:rStyle w:val="Appelnotedebasdep"/>
        </w:rPr>
        <w:footnoteReference w:id="47"/>
      </w:r>
      <w:r>
        <w:rPr>
          <w:lang w:val="fr-FR"/>
        </w:rPr>
        <w:t>.</w:t>
      </w:r>
    </w:p>
    <w:p w14:paraId="0368C260" w14:textId="5E184191" w:rsidR="002B1D76" w:rsidRPr="00501EF4" w:rsidRDefault="002B1D76" w:rsidP="00D35EA3">
      <w:pPr>
        <w:pStyle w:val="SingleTxtG"/>
        <w:rPr>
          <w:lang w:val="fr-FR"/>
        </w:rPr>
      </w:pPr>
      <w:r>
        <w:rPr>
          <w:lang w:val="fr-FR"/>
        </w:rPr>
        <w:t>40.</w:t>
      </w:r>
      <w:r>
        <w:rPr>
          <w:lang w:val="fr-FR"/>
        </w:rPr>
        <w:tab/>
        <w:t>Selon le scénario « zéro net » de l’AIE, les émissions de CO</w:t>
      </w:r>
      <w:r>
        <w:rPr>
          <w:vertAlign w:val="subscript"/>
          <w:lang w:val="fr-FR"/>
        </w:rPr>
        <w:t>2</w:t>
      </w:r>
      <w:r>
        <w:rPr>
          <w:lang w:val="fr-FR"/>
        </w:rPr>
        <w:t xml:space="preserve"> du secteur des transports doivent diminuer de 90 % d’ici à 2050 par rapport aux niveaux de 2020. Plus précisément, celles des poids lourds et des trains doivent baisser de plus de 88 %, celles des véhicules à deux et trois roues et des autres véhicules routiers de 93 %, et celles des voitures particulières et utilitaires légers de 97 % (voir la figure VI)</w:t>
      </w:r>
      <w:r w:rsidRPr="002B1D76">
        <w:rPr>
          <w:rStyle w:val="Appelnotedebasdep"/>
        </w:rPr>
        <w:footnoteReference w:id="48"/>
      </w:r>
      <w:r>
        <w:rPr>
          <w:lang w:val="fr-FR"/>
        </w:rPr>
        <w:t>.</w:t>
      </w:r>
    </w:p>
    <w:p w14:paraId="3C8A148A" w14:textId="66F67231" w:rsidR="002B1D76" w:rsidRDefault="002B1D76" w:rsidP="00D35EA3">
      <w:pPr>
        <w:pStyle w:val="Titre1"/>
        <w:spacing w:after="120"/>
        <w:rPr>
          <w:b/>
          <w:bCs/>
          <w:lang w:val="fr-FR"/>
        </w:rPr>
      </w:pPr>
      <w:r>
        <w:rPr>
          <w:lang w:val="fr-FR"/>
        </w:rPr>
        <w:lastRenderedPageBreak/>
        <w:t>Figure VI</w:t>
      </w:r>
      <w:r>
        <w:rPr>
          <w:lang w:val="fr-FR"/>
        </w:rPr>
        <w:br/>
      </w:r>
      <w:r>
        <w:rPr>
          <w:b/>
          <w:bCs/>
          <w:lang w:val="fr-FR"/>
        </w:rPr>
        <w:t>Trajectoires des émissions mondiales de CO</w:t>
      </w:r>
      <w:r>
        <w:rPr>
          <w:b/>
          <w:bCs/>
          <w:vertAlign w:val="subscript"/>
          <w:lang w:val="fr-FR"/>
        </w:rPr>
        <w:t>2</w:t>
      </w:r>
      <w:r>
        <w:rPr>
          <w:b/>
          <w:bCs/>
          <w:lang w:val="fr-FR"/>
        </w:rPr>
        <w:t xml:space="preserve"> des différents modes de transport, 2020-2050</w:t>
      </w:r>
      <w:r w:rsidRPr="002B1D76">
        <w:rPr>
          <w:rStyle w:val="Appelnotedebasdep"/>
        </w:rPr>
        <w:footnoteReference w:id="49"/>
      </w:r>
    </w:p>
    <w:p w14:paraId="1842C53B" w14:textId="6EEAF7D1" w:rsidR="002B1D76" w:rsidRDefault="00401A98" w:rsidP="00401A98">
      <w:pPr>
        <w:pStyle w:val="SingleTxtG"/>
        <w:spacing w:after="240"/>
      </w:pPr>
      <w:r>
        <w:rPr>
          <w:noProof/>
        </w:rPr>
        <w:drawing>
          <wp:inline distT="0" distB="0" distL="0" distR="0" wp14:anchorId="4E80F13E" wp14:editId="0CB3F5D7">
            <wp:extent cx="5400000" cy="298151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2981517"/>
                    </a:xfrm>
                    <a:prstGeom prst="rect">
                      <a:avLst/>
                    </a:prstGeom>
                  </pic:spPr>
                </pic:pic>
              </a:graphicData>
            </a:graphic>
          </wp:inline>
        </w:drawing>
      </w:r>
    </w:p>
    <w:p w14:paraId="54952CC4" w14:textId="14E46433" w:rsidR="002B1D76" w:rsidRPr="00501EF4" w:rsidRDefault="002B1D76" w:rsidP="00401A98">
      <w:pPr>
        <w:pStyle w:val="SingleTxtG"/>
        <w:rPr>
          <w:lang w:val="fr-FR"/>
        </w:rPr>
      </w:pPr>
      <w:r>
        <w:rPr>
          <w:lang w:val="fr-FR"/>
        </w:rPr>
        <w:t>41.</w:t>
      </w:r>
      <w:r>
        <w:rPr>
          <w:lang w:val="fr-FR"/>
        </w:rPr>
        <w:tab/>
        <w:t xml:space="preserve">Dans son rapport intitulé « Net </w:t>
      </w:r>
      <w:proofErr w:type="spellStart"/>
      <w:r>
        <w:rPr>
          <w:lang w:val="fr-FR"/>
        </w:rPr>
        <w:t>Zero</w:t>
      </w:r>
      <w:proofErr w:type="spellEnd"/>
      <w:r>
        <w:rPr>
          <w:lang w:val="fr-FR"/>
        </w:rPr>
        <w:t xml:space="preserve"> by 2050 », l’AIE définit de grands objectifs à atteindre d’ici à 2030, 2035 et 2050. La réalisation de ces objectifs est fortement tributaire de l’électrification des transports et de l’utilisation des </w:t>
      </w:r>
      <w:proofErr w:type="spellStart"/>
      <w:r>
        <w:rPr>
          <w:lang w:val="fr-FR"/>
        </w:rPr>
        <w:t>biocarburants</w:t>
      </w:r>
      <w:proofErr w:type="spellEnd"/>
      <w:r>
        <w:rPr>
          <w:lang w:val="fr-FR"/>
        </w:rPr>
        <w:t>, l’électricité devant représenter les trois quarts de la consommation d’énergie du secteur du transport routier à l’horizon 2050 (voir le tableau 1).</w:t>
      </w:r>
    </w:p>
    <w:p w14:paraId="203C8D37" w14:textId="53F6CD8C" w:rsidR="002B1D76" w:rsidRDefault="002B1D76" w:rsidP="00401A98">
      <w:pPr>
        <w:pStyle w:val="Titre1"/>
        <w:spacing w:after="120"/>
        <w:rPr>
          <w:b/>
          <w:bCs/>
          <w:lang w:val="fr-FR"/>
        </w:rPr>
      </w:pPr>
      <w:r>
        <w:rPr>
          <w:lang w:val="fr-FR"/>
        </w:rPr>
        <w:t>Tableau 1</w:t>
      </w:r>
      <w:r>
        <w:rPr>
          <w:lang w:val="fr-FR"/>
        </w:rPr>
        <w:br/>
      </w:r>
      <w:r>
        <w:rPr>
          <w:b/>
          <w:bCs/>
          <w:lang w:val="fr-FR"/>
        </w:rPr>
        <w:t>Neutralité carbone des transports intérieurs</w:t>
      </w:r>
      <w:r>
        <w:rPr>
          <w:b/>
          <w:bCs/>
          <w:lang w:val="fr-FR"/>
        </w:rPr>
        <w:t> </w:t>
      </w:r>
      <w:r>
        <w:rPr>
          <w:b/>
          <w:bCs/>
          <w:lang w:val="fr-FR"/>
        </w:rPr>
        <w:t xml:space="preserve">: grandes étapes d’après le scénario « zéro net » </w:t>
      </w:r>
      <w:r w:rsidR="00401A98">
        <w:rPr>
          <w:b/>
          <w:bCs/>
          <w:lang w:val="fr-FR"/>
        </w:rPr>
        <w:br/>
      </w:r>
      <w:r>
        <w:rPr>
          <w:b/>
          <w:bCs/>
          <w:lang w:val="fr-FR"/>
        </w:rPr>
        <w:t>de l’AIE (compilation de données issues du rapport de 2021 et de la version actualisée de 2023)</w:t>
      </w:r>
      <w:r w:rsidRPr="002B1D76">
        <w:rPr>
          <w:rStyle w:val="Appelnotedebasdep"/>
        </w:rPr>
        <w:footnoteReference w:id="50"/>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2835"/>
        <w:gridCol w:w="2836"/>
      </w:tblGrid>
      <w:tr w:rsidR="00401A98" w:rsidRPr="00401A98" w14:paraId="5BA2B879" w14:textId="77777777" w:rsidTr="00401A98">
        <w:trPr>
          <w:tblHeader/>
        </w:trPr>
        <w:tc>
          <w:tcPr>
            <w:tcW w:w="3209" w:type="dxa"/>
            <w:tcBorders>
              <w:top w:val="single" w:sz="4" w:space="0" w:color="auto"/>
              <w:bottom w:val="single" w:sz="12" w:space="0" w:color="auto"/>
            </w:tcBorders>
            <w:shd w:val="clear" w:color="auto" w:fill="auto"/>
            <w:vAlign w:val="bottom"/>
          </w:tcPr>
          <w:p w14:paraId="58F18F38" w14:textId="78580E60" w:rsidR="00401A98" w:rsidRPr="00401A98" w:rsidRDefault="00401A98" w:rsidP="00401A98">
            <w:pPr>
              <w:spacing w:before="80" w:after="80" w:line="200" w:lineRule="exact"/>
              <w:ind w:right="113"/>
              <w:rPr>
                <w:i/>
                <w:sz w:val="16"/>
              </w:rPr>
            </w:pPr>
            <w:r w:rsidRPr="002B1D76">
              <w:rPr>
                <w:i/>
                <w:sz w:val="16"/>
                <w:lang w:val="fr-FR"/>
              </w:rPr>
              <w:t>2030</w:t>
            </w:r>
          </w:p>
        </w:tc>
        <w:tc>
          <w:tcPr>
            <w:tcW w:w="3209" w:type="dxa"/>
            <w:tcBorders>
              <w:top w:val="single" w:sz="4" w:space="0" w:color="auto"/>
              <w:bottom w:val="single" w:sz="12" w:space="0" w:color="auto"/>
            </w:tcBorders>
            <w:shd w:val="clear" w:color="auto" w:fill="auto"/>
            <w:vAlign w:val="bottom"/>
          </w:tcPr>
          <w:p w14:paraId="46104543" w14:textId="24329B8C" w:rsidR="00401A98" w:rsidRPr="00401A98" w:rsidRDefault="00401A98" w:rsidP="00401A98">
            <w:pPr>
              <w:spacing w:before="80" w:after="80" w:line="200" w:lineRule="exact"/>
              <w:ind w:right="113"/>
              <w:rPr>
                <w:i/>
                <w:sz w:val="16"/>
              </w:rPr>
            </w:pPr>
            <w:r w:rsidRPr="002B1D76">
              <w:rPr>
                <w:i/>
                <w:sz w:val="16"/>
                <w:lang w:val="fr-FR"/>
              </w:rPr>
              <w:t>2035</w:t>
            </w:r>
          </w:p>
        </w:tc>
        <w:tc>
          <w:tcPr>
            <w:tcW w:w="3210" w:type="dxa"/>
            <w:tcBorders>
              <w:top w:val="single" w:sz="4" w:space="0" w:color="auto"/>
              <w:bottom w:val="single" w:sz="12" w:space="0" w:color="auto"/>
            </w:tcBorders>
            <w:shd w:val="clear" w:color="auto" w:fill="auto"/>
            <w:vAlign w:val="bottom"/>
          </w:tcPr>
          <w:p w14:paraId="793E0715" w14:textId="630A8051" w:rsidR="00401A98" w:rsidRPr="00401A98" w:rsidRDefault="00401A98" w:rsidP="00401A98">
            <w:pPr>
              <w:spacing w:before="80" w:after="80" w:line="200" w:lineRule="exact"/>
              <w:ind w:right="113"/>
              <w:rPr>
                <w:i/>
                <w:sz w:val="16"/>
              </w:rPr>
            </w:pPr>
            <w:r w:rsidRPr="002B1D76">
              <w:rPr>
                <w:i/>
                <w:sz w:val="16"/>
                <w:lang w:val="fr-FR"/>
              </w:rPr>
              <w:t>2050</w:t>
            </w:r>
          </w:p>
        </w:tc>
      </w:tr>
      <w:tr w:rsidR="00401A98" w:rsidRPr="00401A98" w14:paraId="6C6F099C" w14:textId="77777777" w:rsidTr="00401A98">
        <w:trPr>
          <w:trHeight w:hRule="exact" w:val="113"/>
          <w:tblHeader/>
        </w:trPr>
        <w:tc>
          <w:tcPr>
            <w:tcW w:w="3209" w:type="dxa"/>
            <w:tcBorders>
              <w:top w:val="single" w:sz="12" w:space="0" w:color="auto"/>
            </w:tcBorders>
            <w:shd w:val="clear" w:color="auto" w:fill="auto"/>
            <w:vAlign w:val="bottom"/>
          </w:tcPr>
          <w:p w14:paraId="2050C60E" w14:textId="77777777" w:rsidR="00401A98" w:rsidRPr="00401A98" w:rsidRDefault="00401A98" w:rsidP="00401A98">
            <w:pPr>
              <w:spacing w:before="80" w:after="80" w:line="200" w:lineRule="exact"/>
              <w:ind w:right="113"/>
              <w:rPr>
                <w:i/>
                <w:sz w:val="16"/>
              </w:rPr>
            </w:pPr>
          </w:p>
        </w:tc>
        <w:tc>
          <w:tcPr>
            <w:tcW w:w="3209" w:type="dxa"/>
            <w:tcBorders>
              <w:top w:val="single" w:sz="12" w:space="0" w:color="auto"/>
            </w:tcBorders>
            <w:shd w:val="clear" w:color="auto" w:fill="auto"/>
            <w:vAlign w:val="bottom"/>
          </w:tcPr>
          <w:p w14:paraId="55CAC5E0" w14:textId="77777777" w:rsidR="00401A98" w:rsidRPr="00401A98" w:rsidRDefault="00401A98" w:rsidP="00401A98">
            <w:pPr>
              <w:spacing w:before="80" w:after="80" w:line="200" w:lineRule="exact"/>
              <w:ind w:right="113"/>
              <w:rPr>
                <w:i/>
                <w:sz w:val="16"/>
              </w:rPr>
            </w:pPr>
          </w:p>
        </w:tc>
        <w:tc>
          <w:tcPr>
            <w:tcW w:w="3210" w:type="dxa"/>
            <w:tcBorders>
              <w:top w:val="single" w:sz="12" w:space="0" w:color="auto"/>
            </w:tcBorders>
            <w:shd w:val="clear" w:color="auto" w:fill="auto"/>
            <w:vAlign w:val="bottom"/>
          </w:tcPr>
          <w:p w14:paraId="5F160FF5" w14:textId="77777777" w:rsidR="00401A98" w:rsidRPr="00401A98" w:rsidRDefault="00401A98" w:rsidP="00401A98">
            <w:pPr>
              <w:spacing w:before="80" w:after="80" w:line="200" w:lineRule="exact"/>
              <w:ind w:right="113"/>
              <w:rPr>
                <w:i/>
                <w:sz w:val="16"/>
              </w:rPr>
            </w:pPr>
          </w:p>
        </w:tc>
      </w:tr>
      <w:tr w:rsidR="00401A98" w:rsidRPr="00401A98" w14:paraId="09CE7F83" w14:textId="77777777" w:rsidTr="00401A98">
        <w:tc>
          <w:tcPr>
            <w:tcW w:w="3209" w:type="dxa"/>
            <w:shd w:val="clear" w:color="auto" w:fill="auto"/>
          </w:tcPr>
          <w:p w14:paraId="25065496" w14:textId="0DCE205E" w:rsidR="00401A98" w:rsidRPr="00401A98" w:rsidRDefault="007A0F95" w:rsidP="007A0F95">
            <w:pPr>
              <w:spacing w:before="40" w:after="120" w:line="220" w:lineRule="atLeast"/>
              <w:ind w:left="357" w:right="113" w:hanging="357"/>
            </w:pPr>
            <w:r w:rsidRPr="00401A98">
              <w:t>-</w:t>
            </w:r>
            <w:r w:rsidRPr="00401A98">
              <w:tab/>
            </w:r>
            <w:r w:rsidR="00401A98" w:rsidRPr="00401A98">
              <w:rPr>
                <w:lang w:val="fr-FR"/>
              </w:rPr>
              <w:t>65 % de l’énergie consommée par le secteur ferroviaire est de l’électricité</w:t>
            </w:r>
          </w:p>
          <w:p w14:paraId="1FBCB94B" w14:textId="66600C8B" w:rsidR="00401A98" w:rsidRPr="00401A98" w:rsidRDefault="007A0F95" w:rsidP="007A0F95">
            <w:pPr>
              <w:spacing w:before="40" w:after="120" w:line="220" w:lineRule="atLeast"/>
              <w:ind w:left="357" w:right="113" w:hanging="357"/>
            </w:pPr>
            <w:r w:rsidRPr="00401A98">
              <w:t>-</w:t>
            </w:r>
            <w:r w:rsidRPr="00401A98">
              <w:tab/>
            </w:r>
            <w:r w:rsidR="00401A98" w:rsidRPr="00401A98">
              <w:rPr>
                <w:lang w:val="fr-FR"/>
              </w:rPr>
              <w:t>78 % des voitures vendues dans le monde sont des véhicules électriques à batterie, des véhicules hybrides rechargeables ou des véhicules à pile à combustible</w:t>
            </w:r>
          </w:p>
          <w:p w14:paraId="0C8BDFF0" w14:textId="67D4B63C"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56 % des autobus vendus sont des véhicules électriques à batterie, des véhicules hybrides rechargeables ou des véhicules à pile à combustible</w:t>
            </w:r>
          </w:p>
        </w:tc>
        <w:tc>
          <w:tcPr>
            <w:tcW w:w="3209" w:type="dxa"/>
            <w:shd w:val="clear" w:color="auto" w:fill="auto"/>
          </w:tcPr>
          <w:p w14:paraId="1BA56C17" w14:textId="19D6FDD6"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65 % des poids lourds vendus sont des véhicules électriques à batterie, des véhicules hybrides rechargeables ou des véhicules à pile à combustible</w:t>
            </w:r>
          </w:p>
          <w:p w14:paraId="12977BB8" w14:textId="002801BA"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Plus aucune voiture, aucune camionnette et aucun véhicule à deux ou trois roues à moteur à combustion interne n’est vendu sur le marché du neuf après 2035</w:t>
            </w:r>
          </w:p>
          <w:p w14:paraId="6D1AB5D4" w14:textId="470E06CF"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22 % de l’énergie consommée par le secteur du transport routier est de l’électricité</w:t>
            </w:r>
          </w:p>
        </w:tc>
        <w:tc>
          <w:tcPr>
            <w:tcW w:w="3210" w:type="dxa"/>
            <w:shd w:val="clear" w:color="auto" w:fill="auto"/>
          </w:tcPr>
          <w:p w14:paraId="4EAEAF13" w14:textId="4A089A23"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La part du transport ferroviaire de voyageurs dans l’activité totale de transport double pratiquement pour atteindre 20 %</w:t>
            </w:r>
          </w:p>
          <w:p w14:paraId="7DF430AD" w14:textId="0D672BD1"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Tous les poids lourds et autobus vendus sont des véhicules électriques à batterie, des véhicules hybrides rechargeables ou des véhicules à pile à combustible</w:t>
            </w:r>
          </w:p>
          <w:p w14:paraId="34BE7656" w14:textId="57770E29" w:rsidR="00401A98" w:rsidRPr="00401A98" w:rsidRDefault="007A0F95" w:rsidP="007A0F95">
            <w:pPr>
              <w:spacing w:before="40" w:after="120" w:line="220" w:lineRule="atLeast"/>
              <w:ind w:left="357" w:right="113" w:hanging="357"/>
            </w:pPr>
            <w:r w:rsidRPr="00401A98">
              <w:t>-</w:t>
            </w:r>
            <w:r w:rsidRPr="00401A98">
              <w:tab/>
            </w:r>
            <w:r w:rsidR="00401A98" w:rsidRPr="002B1D76">
              <w:rPr>
                <w:lang w:val="fr-FR"/>
              </w:rPr>
              <w:t>75 % de l’énergie consommée par le secteur du transport routier est de l’électricité</w:t>
            </w:r>
          </w:p>
        </w:tc>
      </w:tr>
      <w:tr w:rsidR="00401A98" w:rsidRPr="00401A98" w14:paraId="283B1D8E" w14:textId="77777777" w:rsidTr="00401A98">
        <w:tc>
          <w:tcPr>
            <w:tcW w:w="3209" w:type="dxa"/>
            <w:tcBorders>
              <w:bottom w:val="single" w:sz="12" w:space="0" w:color="auto"/>
            </w:tcBorders>
            <w:shd w:val="clear" w:color="auto" w:fill="auto"/>
          </w:tcPr>
          <w:p w14:paraId="3521AB90" w14:textId="5A3251C0" w:rsidR="00401A98" w:rsidRPr="00401A98" w:rsidRDefault="007A0F95" w:rsidP="007A0F95">
            <w:pPr>
              <w:spacing w:before="40" w:after="120" w:line="220" w:lineRule="atLeast"/>
              <w:ind w:left="357" w:right="113" w:hanging="357"/>
              <w:rPr>
                <w:lang w:val="fr-FR"/>
              </w:rPr>
            </w:pPr>
            <w:r w:rsidRPr="00401A98">
              <w:rPr>
                <w:lang w:val="fr-FR"/>
              </w:rPr>
              <w:t>-</w:t>
            </w:r>
            <w:r w:rsidRPr="00401A98">
              <w:rPr>
                <w:lang w:val="fr-FR"/>
              </w:rPr>
              <w:tab/>
            </w:r>
            <w:r w:rsidR="00401A98" w:rsidRPr="002B1D76">
              <w:rPr>
                <w:lang w:val="fr-FR"/>
              </w:rPr>
              <w:t>20 % de l’énergie consommée par le secteur du transport routier provient de carburants de substitution (</w:t>
            </w:r>
            <w:proofErr w:type="spellStart"/>
            <w:r w:rsidR="00401A98" w:rsidRPr="002B1D76">
              <w:rPr>
                <w:lang w:val="fr-FR"/>
              </w:rPr>
              <w:t>biocarburants</w:t>
            </w:r>
            <w:proofErr w:type="spellEnd"/>
            <w:r w:rsidR="00401A98" w:rsidRPr="002B1D76">
              <w:rPr>
                <w:lang w:val="fr-FR"/>
              </w:rPr>
              <w:t>, électricité et hydrogène)</w:t>
            </w:r>
          </w:p>
        </w:tc>
        <w:tc>
          <w:tcPr>
            <w:tcW w:w="3209" w:type="dxa"/>
            <w:tcBorders>
              <w:bottom w:val="single" w:sz="12" w:space="0" w:color="auto"/>
            </w:tcBorders>
            <w:shd w:val="clear" w:color="auto" w:fill="auto"/>
          </w:tcPr>
          <w:p w14:paraId="67BF8642" w14:textId="77777777" w:rsidR="00401A98" w:rsidRPr="002B1D76" w:rsidRDefault="00401A98" w:rsidP="007B20DF">
            <w:pPr>
              <w:spacing w:before="40" w:after="120" w:line="220" w:lineRule="atLeast"/>
              <w:ind w:left="357" w:right="113"/>
              <w:rPr>
                <w:lang w:val="fr-FR"/>
              </w:rPr>
            </w:pPr>
          </w:p>
        </w:tc>
        <w:tc>
          <w:tcPr>
            <w:tcW w:w="3210" w:type="dxa"/>
            <w:tcBorders>
              <w:bottom w:val="single" w:sz="12" w:space="0" w:color="auto"/>
            </w:tcBorders>
            <w:shd w:val="clear" w:color="auto" w:fill="auto"/>
          </w:tcPr>
          <w:p w14:paraId="398E6EBD" w14:textId="77777777" w:rsidR="00401A98" w:rsidRPr="002B1D76" w:rsidRDefault="00401A98" w:rsidP="007B20DF">
            <w:pPr>
              <w:spacing w:before="40" w:after="120" w:line="220" w:lineRule="atLeast"/>
              <w:ind w:left="357" w:right="113"/>
              <w:rPr>
                <w:lang w:val="fr-FR"/>
              </w:rPr>
            </w:pPr>
          </w:p>
        </w:tc>
      </w:tr>
    </w:tbl>
    <w:p w14:paraId="75CE52BE" w14:textId="77777777" w:rsidR="002B1D76" w:rsidRPr="007B20DF" w:rsidRDefault="002B1D76" w:rsidP="007B20DF">
      <w:pPr>
        <w:pStyle w:val="SingleTxtG"/>
        <w:spacing w:before="240" w:after="100"/>
        <w:rPr>
          <w:spacing w:val="-4"/>
          <w:lang w:val="fr-FR"/>
        </w:rPr>
      </w:pPr>
      <w:r w:rsidRPr="007B20DF">
        <w:rPr>
          <w:spacing w:val="-4"/>
          <w:lang w:val="fr-FR"/>
        </w:rPr>
        <w:t>42.</w:t>
      </w:r>
      <w:r w:rsidRPr="007B20DF">
        <w:rPr>
          <w:spacing w:val="-4"/>
          <w:lang w:val="fr-FR"/>
        </w:rPr>
        <w:tab/>
        <w:t>Les émissions imputables au transport de marchandises pourraient être réduites de 76 % d’ici à 2050 par rapport aux niveaux de 2020 si les États adoptaient des politiques de nature à promouvoir le renforcement de l’efficacité des opérations, l’optimisation des itinéraires, la mise en commun des actifs, le groupage du fret, le resserrement de la collaboration au sein des chaînes d’approvisionnement, la transition vers le transport ferroviaire et fluvial, la normalisation et la mise au point de solutions à faible émission de carbone</w:t>
      </w:r>
      <w:r w:rsidRPr="007B20DF">
        <w:rPr>
          <w:rStyle w:val="Appelnotedebasdep"/>
          <w:spacing w:val="-4"/>
        </w:rPr>
        <w:footnoteReference w:id="51"/>
      </w:r>
      <w:r w:rsidRPr="007B20DF">
        <w:rPr>
          <w:spacing w:val="-4"/>
          <w:lang w:val="fr-FR"/>
        </w:rPr>
        <w:t>. En prenant des mesures ambitieuses de promotion des transports publics urbains, les États pourraient faire baisser les émissions de plus de 80 % à l’horizon 2050 par rapport aux niveaux de 2019</w:t>
      </w:r>
      <w:r w:rsidRPr="007B20DF">
        <w:rPr>
          <w:rStyle w:val="Appelnotedebasdep"/>
          <w:spacing w:val="-4"/>
        </w:rPr>
        <w:footnoteReference w:id="52"/>
      </w:r>
      <w:r w:rsidRPr="007B20DF">
        <w:rPr>
          <w:spacing w:val="-4"/>
          <w:lang w:val="fr-FR"/>
        </w:rPr>
        <w:t>.</w:t>
      </w:r>
    </w:p>
    <w:p w14:paraId="07493225" w14:textId="77777777" w:rsidR="002B1D76" w:rsidRPr="00501EF4" w:rsidRDefault="002B1D76" w:rsidP="002B1D76">
      <w:pPr>
        <w:pStyle w:val="H1G"/>
        <w:rPr>
          <w:lang w:val="fr-FR"/>
        </w:rPr>
      </w:pPr>
      <w:bookmarkStart w:id="6" w:name="_17dp8vu" w:colFirst="0" w:colLast="0"/>
      <w:bookmarkEnd w:id="6"/>
      <w:r>
        <w:rPr>
          <w:lang w:val="fr-FR"/>
        </w:rPr>
        <w:tab/>
        <w:t>C.</w:t>
      </w:r>
      <w:r>
        <w:rPr>
          <w:lang w:val="fr-FR"/>
        </w:rPr>
        <w:tab/>
        <w:t>Scénarios de décarbonation régionaux</w:t>
      </w:r>
    </w:p>
    <w:p w14:paraId="1E15774E" w14:textId="76A46105" w:rsidR="002B1D76" w:rsidRPr="00501EF4" w:rsidRDefault="002B1D76" w:rsidP="007B20DF">
      <w:pPr>
        <w:pStyle w:val="SingleTxtG"/>
        <w:spacing w:after="100"/>
        <w:rPr>
          <w:lang w:val="fr-FR"/>
        </w:rPr>
      </w:pPr>
      <w:r>
        <w:rPr>
          <w:lang w:val="fr-FR"/>
        </w:rPr>
        <w:t>43.</w:t>
      </w:r>
      <w:r>
        <w:rPr>
          <w:lang w:val="fr-FR"/>
        </w:rPr>
        <w:tab/>
        <w:t>En Asie, les dernières projections montrent que la trajectoire des émissions du secteur des transports a dévié de celle des projections établies avant 2015, qui prévoyaient que les émissions doubleraient quasiment entre 2021 et 2050 si les politiques en place étaient maintenues. En effet, les émissions ont été moins élevées que prévu sur la période 2015-2020 grâce à l’amélioration du rendement des carburants, aux progrès de l’électrification des transports et à diverses politiques. Quoi qu’il en soit, au rythme auquel elles ont progressé en 2021, elles n’atteindraient pas leur niveau maximum avant 2050 dans la région. Or elles devraient culminer au plus tard en 2025 pour que l’objectif de la neutralité carbone ou celui d’un réchauffement planétaire limité à 1,5</w:t>
      </w:r>
      <w:r>
        <w:rPr>
          <w:lang w:val="fr-FR"/>
        </w:rPr>
        <w:t> </w:t>
      </w:r>
      <w:r>
        <w:rPr>
          <w:lang w:val="fr-FR"/>
        </w:rPr>
        <w:t>°C puisse être atteint</w:t>
      </w:r>
      <w:r w:rsidRPr="002B1D76">
        <w:rPr>
          <w:rStyle w:val="Appelnotedebasdep"/>
        </w:rPr>
        <w:footnoteReference w:id="53"/>
      </w:r>
      <w:r>
        <w:rPr>
          <w:lang w:val="fr-FR"/>
        </w:rPr>
        <w:t>.</w:t>
      </w:r>
    </w:p>
    <w:p w14:paraId="388EB837" w14:textId="77777777" w:rsidR="002B1D76" w:rsidRPr="00501EF4" w:rsidRDefault="002B1D76" w:rsidP="007B20DF">
      <w:pPr>
        <w:pStyle w:val="SingleTxtG"/>
        <w:spacing w:after="100"/>
        <w:rPr>
          <w:lang w:val="fr-FR"/>
        </w:rPr>
      </w:pPr>
      <w:r>
        <w:rPr>
          <w:lang w:val="fr-FR"/>
        </w:rPr>
        <w:t>44.</w:t>
      </w:r>
      <w:r>
        <w:rPr>
          <w:lang w:val="fr-FR"/>
        </w:rPr>
        <w:tab/>
        <w:t>Sur la base des mesures prévues ou déjà en place en octobre 2022, il a été calculé que les émissions totales du secteur des transports de l’Union européenne retomberaient en dessous des niveaux de 1990 d’ici à 2029. Dans ce scénario, seules les émissions dues au transport routier, qui représentent 77 % du total, baisseraient jusqu’en 2030. Les émissions imputables aux autres modes de transport resteraient stables ou augmenteraient, en particulier celles du secteur du transport aérien</w:t>
      </w:r>
      <w:r w:rsidRPr="002B1D76">
        <w:rPr>
          <w:rStyle w:val="Appelnotedebasdep"/>
        </w:rPr>
        <w:footnoteReference w:id="54"/>
      </w:r>
      <w:r>
        <w:rPr>
          <w:lang w:val="fr-FR"/>
        </w:rPr>
        <w:t>.</w:t>
      </w:r>
    </w:p>
    <w:p w14:paraId="563DD764" w14:textId="07EB0785" w:rsidR="002B1D76" w:rsidRPr="00501EF4" w:rsidRDefault="002B1D76" w:rsidP="007B20DF">
      <w:pPr>
        <w:pStyle w:val="SingleTxtG"/>
        <w:spacing w:after="100"/>
        <w:rPr>
          <w:lang w:val="fr-FR"/>
        </w:rPr>
      </w:pPr>
      <w:r>
        <w:rPr>
          <w:lang w:val="fr-FR"/>
        </w:rPr>
        <w:lastRenderedPageBreak/>
        <w:t>45.</w:t>
      </w:r>
      <w:r>
        <w:rPr>
          <w:lang w:val="fr-FR"/>
        </w:rPr>
        <w:tab/>
        <w:t>Selon la synthèse des modèles du GIEC, les régions ne contribueraient pas toutes dans la même mesure à la décarbonation des transports. Les pays à revenu élevé d’Europe et d’Amérique du Nord sont censés réduire davantage leurs émissions de CO</w:t>
      </w:r>
      <w:r>
        <w:rPr>
          <w:vertAlign w:val="subscript"/>
          <w:lang w:val="fr-FR"/>
        </w:rPr>
        <w:t>2</w:t>
      </w:r>
      <w:r>
        <w:rPr>
          <w:lang w:val="fr-FR"/>
        </w:rPr>
        <w:t xml:space="preserve"> dues aux transports que les pays à faible revenu et à revenu intermédiaire</w:t>
      </w:r>
      <w:r w:rsidRPr="002B1D76">
        <w:rPr>
          <w:rStyle w:val="Appelnotedebasdep"/>
        </w:rPr>
        <w:footnoteReference w:id="55"/>
      </w:r>
      <w:r>
        <w:rPr>
          <w:lang w:val="fr-FR"/>
        </w:rPr>
        <w:t> </w:t>
      </w:r>
      <w:r>
        <w:rPr>
          <w:lang w:val="fr-FR"/>
        </w:rPr>
        <w:t>:</w:t>
      </w:r>
    </w:p>
    <w:p w14:paraId="1D7D0720" w14:textId="11754059" w:rsidR="002B1D76" w:rsidRPr="00501EF4" w:rsidRDefault="007A0F95" w:rsidP="007A0F95">
      <w:pPr>
        <w:pStyle w:val="Bullet1G"/>
        <w:numPr>
          <w:ilvl w:val="0"/>
          <w:numId w:val="0"/>
        </w:numPr>
        <w:tabs>
          <w:tab w:val="left" w:pos="1701"/>
        </w:tabs>
        <w:spacing w:after="100"/>
        <w:ind w:left="1701" w:hanging="170"/>
        <w:rPr>
          <w:lang w:val="fr-FR"/>
        </w:rPr>
      </w:pPr>
      <w:r w:rsidRPr="00501EF4">
        <w:rPr>
          <w:lang w:val="fr-FR"/>
        </w:rPr>
        <w:t>•</w:t>
      </w:r>
      <w:r w:rsidRPr="00501EF4">
        <w:rPr>
          <w:lang w:val="fr-FR"/>
        </w:rPr>
        <w:tab/>
      </w:r>
      <w:r w:rsidR="002B1D76">
        <w:rPr>
          <w:lang w:val="fr-FR"/>
        </w:rPr>
        <w:t>L’Europe occidentale et l’Amérique du Nord devraient réduire leurs émissions d’au moins 60 % d’ici à 2050 par rapport aux niveaux de 2020 pour que l’objectif des 2</w:t>
      </w:r>
      <w:r w:rsidR="002B1D76">
        <w:rPr>
          <w:lang w:val="fr-FR"/>
        </w:rPr>
        <w:t> </w:t>
      </w:r>
      <w:r w:rsidR="002B1D76">
        <w:rPr>
          <w:lang w:val="fr-FR"/>
        </w:rPr>
        <w:t>°C soit atteignable, et d’au moins 80 % pour que l’objectif des 1,5</w:t>
      </w:r>
      <w:r w:rsidR="002B1D76">
        <w:rPr>
          <w:lang w:val="fr-FR"/>
        </w:rPr>
        <w:t> </w:t>
      </w:r>
      <w:r w:rsidR="002B1D76">
        <w:rPr>
          <w:lang w:val="fr-FR"/>
        </w:rPr>
        <w:t>°C (avec un faible dépassement) soit atteignable</w:t>
      </w:r>
      <w:r w:rsidR="002B1D76">
        <w:rPr>
          <w:lang w:val="fr-FR"/>
        </w:rPr>
        <w:t> </w:t>
      </w:r>
      <w:r w:rsidR="002B1D76">
        <w:rPr>
          <w:lang w:val="fr-FR"/>
        </w:rPr>
        <w:t xml:space="preserve">; </w:t>
      </w:r>
    </w:p>
    <w:p w14:paraId="60870A66" w14:textId="6501CF29" w:rsidR="002B1D76" w:rsidRPr="00501EF4" w:rsidRDefault="007A0F95" w:rsidP="007A0F95">
      <w:pPr>
        <w:pStyle w:val="Bullet1G"/>
        <w:numPr>
          <w:ilvl w:val="0"/>
          <w:numId w:val="0"/>
        </w:numPr>
        <w:tabs>
          <w:tab w:val="left" w:pos="1701"/>
        </w:tabs>
        <w:spacing w:after="100"/>
        <w:ind w:left="1701" w:hanging="170"/>
        <w:rPr>
          <w:lang w:val="fr-FR"/>
        </w:rPr>
      </w:pPr>
      <w:r w:rsidRPr="00501EF4">
        <w:rPr>
          <w:lang w:val="fr-FR"/>
        </w:rPr>
        <w:t>•</w:t>
      </w:r>
      <w:r w:rsidRPr="00501EF4">
        <w:rPr>
          <w:lang w:val="fr-FR"/>
        </w:rPr>
        <w:tab/>
      </w:r>
      <w:r w:rsidR="002B1D76">
        <w:rPr>
          <w:lang w:val="fr-FR"/>
        </w:rPr>
        <w:t>L’Europe orientale, l’Asie de l’Ouest et l’Asie centrale devraient réduire leurs émissions de 50 % d’ici à 2050 par rapport aux niveaux de 2020 pour que l’objectif des 2</w:t>
      </w:r>
      <w:r w:rsidR="002B1D76">
        <w:rPr>
          <w:lang w:val="fr-FR"/>
        </w:rPr>
        <w:t> </w:t>
      </w:r>
      <w:r w:rsidR="002B1D76">
        <w:rPr>
          <w:lang w:val="fr-FR"/>
        </w:rPr>
        <w:t>°C soit atteignable, et de 75 % pour que l’objectif des 1,5</w:t>
      </w:r>
      <w:r w:rsidR="002B1D76">
        <w:rPr>
          <w:lang w:val="fr-FR"/>
        </w:rPr>
        <w:t> </w:t>
      </w:r>
      <w:r w:rsidR="002B1D76">
        <w:rPr>
          <w:lang w:val="fr-FR"/>
        </w:rPr>
        <w:t>°C (avec un faible dépassement) soit atteignable</w:t>
      </w:r>
      <w:r w:rsidR="002B1D76">
        <w:rPr>
          <w:lang w:val="fr-FR"/>
        </w:rPr>
        <w:t> </w:t>
      </w:r>
      <w:r w:rsidR="002B1D76">
        <w:rPr>
          <w:lang w:val="fr-FR"/>
        </w:rPr>
        <w:t>;</w:t>
      </w:r>
    </w:p>
    <w:p w14:paraId="37A6D89A" w14:textId="3416AD44" w:rsidR="002B1D76" w:rsidRPr="00501EF4" w:rsidRDefault="007A0F95" w:rsidP="007A0F95">
      <w:pPr>
        <w:pStyle w:val="Bullet1G"/>
        <w:numPr>
          <w:ilvl w:val="0"/>
          <w:numId w:val="0"/>
        </w:numPr>
        <w:tabs>
          <w:tab w:val="left" w:pos="1701"/>
        </w:tabs>
        <w:spacing w:after="100"/>
        <w:ind w:left="1701" w:hanging="170"/>
        <w:rPr>
          <w:lang w:val="fr-FR"/>
        </w:rPr>
      </w:pPr>
      <w:r w:rsidRPr="00501EF4">
        <w:rPr>
          <w:lang w:val="fr-FR"/>
        </w:rPr>
        <w:t>•</w:t>
      </w:r>
      <w:r w:rsidRPr="00501EF4">
        <w:rPr>
          <w:lang w:val="fr-FR"/>
        </w:rPr>
        <w:tab/>
      </w:r>
      <w:r w:rsidR="002B1D76">
        <w:rPr>
          <w:lang w:val="fr-FR"/>
        </w:rPr>
        <w:t>La région de l’Asie et du Pacifique devrait réduire ses émissions de 50 % d’ici à 2050 par rapport aux niveaux de 2020 pour que l’objectif des 1,5</w:t>
      </w:r>
      <w:r w:rsidR="002B1D76">
        <w:rPr>
          <w:lang w:val="fr-FR"/>
        </w:rPr>
        <w:t> </w:t>
      </w:r>
      <w:r w:rsidR="002B1D76">
        <w:rPr>
          <w:lang w:val="fr-FR"/>
        </w:rPr>
        <w:t>°C (avec un faible dépassement) soit atteignable</w:t>
      </w:r>
      <w:r w:rsidR="002B1D76">
        <w:rPr>
          <w:lang w:val="fr-FR"/>
        </w:rPr>
        <w:t> </w:t>
      </w:r>
      <w:r w:rsidR="002B1D76">
        <w:rPr>
          <w:lang w:val="fr-FR"/>
        </w:rPr>
        <w:t>;</w:t>
      </w:r>
    </w:p>
    <w:p w14:paraId="16D054DA" w14:textId="71B12649" w:rsidR="002B1D76" w:rsidRPr="007B20DF" w:rsidRDefault="007A0F95" w:rsidP="007A0F95">
      <w:pPr>
        <w:pStyle w:val="Bullet1G"/>
        <w:numPr>
          <w:ilvl w:val="0"/>
          <w:numId w:val="0"/>
        </w:numPr>
        <w:tabs>
          <w:tab w:val="left" w:pos="1701"/>
        </w:tabs>
        <w:spacing w:after="100"/>
        <w:ind w:left="1701" w:hanging="170"/>
        <w:rPr>
          <w:spacing w:val="-4"/>
          <w:lang w:val="fr-FR"/>
        </w:rPr>
      </w:pPr>
      <w:r w:rsidRPr="007B20DF">
        <w:rPr>
          <w:spacing w:val="-4"/>
          <w:lang w:val="fr-FR"/>
        </w:rPr>
        <w:t>•</w:t>
      </w:r>
      <w:r w:rsidRPr="007B20DF">
        <w:rPr>
          <w:spacing w:val="-4"/>
          <w:lang w:val="fr-FR"/>
        </w:rPr>
        <w:tab/>
      </w:r>
      <w:r w:rsidR="002B1D76" w:rsidRPr="007B20DF">
        <w:rPr>
          <w:spacing w:val="-4"/>
          <w:lang w:val="fr-FR"/>
        </w:rPr>
        <w:t>La région de l’Amérique latine et des Caraïbes devrait réduire ses émissions de 30 % d’ici à 2050 par rapport aux niveaux de 2020 pour que l’objectif des 2</w:t>
      </w:r>
      <w:r w:rsidR="002B1D76" w:rsidRPr="007B20DF">
        <w:rPr>
          <w:spacing w:val="-4"/>
          <w:lang w:val="fr-FR"/>
        </w:rPr>
        <w:t> </w:t>
      </w:r>
      <w:r w:rsidR="002B1D76" w:rsidRPr="007B20DF">
        <w:rPr>
          <w:spacing w:val="-4"/>
          <w:lang w:val="fr-FR"/>
        </w:rPr>
        <w:t>°C soit atteignable, et de 75 % pour que l’objectif des 1,5</w:t>
      </w:r>
      <w:r w:rsidR="002B1D76" w:rsidRPr="007B20DF">
        <w:rPr>
          <w:spacing w:val="-4"/>
          <w:lang w:val="fr-FR"/>
        </w:rPr>
        <w:t> </w:t>
      </w:r>
      <w:r w:rsidR="002B1D76" w:rsidRPr="007B20DF">
        <w:rPr>
          <w:spacing w:val="-4"/>
          <w:lang w:val="fr-FR"/>
        </w:rPr>
        <w:t>°C (avec un faible dépassement) soit atteignable</w:t>
      </w:r>
      <w:r w:rsidR="002B1D76" w:rsidRPr="007B20DF">
        <w:rPr>
          <w:spacing w:val="-4"/>
          <w:lang w:val="fr-FR"/>
        </w:rPr>
        <w:t> </w:t>
      </w:r>
      <w:r w:rsidR="002B1D76" w:rsidRPr="007B20DF">
        <w:rPr>
          <w:spacing w:val="-4"/>
          <w:lang w:val="fr-FR"/>
        </w:rPr>
        <w:t>;</w:t>
      </w:r>
    </w:p>
    <w:p w14:paraId="5153FEEB" w14:textId="32FEBD4E" w:rsidR="002B1D76" w:rsidRPr="00501EF4" w:rsidRDefault="007A0F95" w:rsidP="007A0F95">
      <w:pPr>
        <w:pStyle w:val="Bullet1G"/>
        <w:numPr>
          <w:ilvl w:val="0"/>
          <w:numId w:val="0"/>
        </w:numPr>
        <w:tabs>
          <w:tab w:val="left" w:pos="1701"/>
        </w:tabs>
        <w:spacing w:after="100"/>
        <w:ind w:left="1701" w:hanging="170"/>
        <w:rPr>
          <w:lang w:val="fr-FR"/>
        </w:rPr>
      </w:pPr>
      <w:r w:rsidRPr="00501EF4">
        <w:rPr>
          <w:lang w:val="fr-FR"/>
        </w:rPr>
        <w:t>•</w:t>
      </w:r>
      <w:r w:rsidRPr="00501EF4">
        <w:rPr>
          <w:lang w:val="fr-FR"/>
        </w:rPr>
        <w:tab/>
      </w:r>
      <w:r w:rsidR="002B1D76">
        <w:rPr>
          <w:lang w:val="fr-FR"/>
        </w:rPr>
        <w:t>Le Moyen-Orient devrait réduire ses émissions de 20 % d’ici à 2050 par rapport aux niveaux de 2020 pour que l’objectif des 2</w:t>
      </w:r>
      <w:r w:rsidR="002B1D76">
        <w:rPr>
          <w:lang w:val="fr-FR"/>
        </w:rPr>
        <w:t> </w:t>
      </w:r>
      <w:r w:rsidR="002B1D76">
        <w:rPr>
          <w:lang w:val="fr-FR"/>
        </w:rPr>
        <w:t>°C soit atteignable, et de 55 % pour que l’objectif des 1,5</w:t>
      </w:r>
      <w:r w:rsidR="002B1D76">
        <w:rPr>
          <w:lang w:val="fr-FR"/>
        </w:rPr>
        <w:t> </w:t>
      </w:r>
      <w:r w:rsidR="002B1D76">
        <w:rPr>
          <w:lang w:val="fr-FR"/>
        </w:rPr>
        <w:t>°C (avec un faible dépassement) soit atteignable</w:t>
      </w:r>
      <w:r w:rsidR="002B1D76">
        <w:rPr>
          <w:lang w:val="fr-FR"/>
        </w:rPr>
        <w:t> </w:t>
      </w:r>
      <w:r w:rsidR="002B1D76">
        <w:rPr>
          <w:lang w:val="fr-FR"/>
        </w:rPr>
        <w:t>;</w:t>
      </w:r>
    </w:p>
    <w:p w14:paraId="1E676167" w14:textId="15212114" w:rsidR="002B1D76" w:rsidRPr="00501EF4" w:rsidRDefault="007A0F95" w:rsidP="007A0F95">
      <w:pPr>
        <w:pStyle w:val="Bullet1G"/>
        <w:numPr>
          <w:ilvl w:val="0"/>
          <w:numId w:val="0"/>
        </w:numPr>
        <w:tabs>
          <w:tab w:val="left" w:pos="1701"/>
        </w:tabs>
        <w:spacing w:after="100"/>
        <w:ind w:left="1701" w:hanging="170"/>
        <w:rPr>
          <w:lang w:val="fr-FR"/>
        </w:rPr>
      </w:pPr>
      <w:r w:rsidRPr="00501EF4">
        <w:rPr>
          <w:lang w:val="fr-FR"/>
        </w:rPr>
        <w:t>•</w:t>
      </w:r>
      <w:r w:rsidRPr="00501EF4">
        <w:rPr>
          <w:lang w:val="fr-FR"/>
        </w:rPr>
        <w:tab/>
      </w:r>
      <w:r w:rsidR="002B1D76">
        <w:rPr>
          <w:lang w:val="fr-FR"/>
        </w:rPr>
        <w:t>Les pays d’Afrique pourraient augmenter leurs émissions de CO</w:t>
      </w:r>
      <w:r w:rsidR="002B1D76">
        <w:rPr>
          <w:vertAlign w:val="subscript"/>
          <w:lang w:val="fr-FR"/>
        </w:rPr>
        <w:t>2</w:t>
      </w:r>
      <w:r w:rsidR="002B1D76">
        <w:rPr>
          <w:lang w:val="fr-FR"/>
        </w:rPr>
        <w:t xml:space="preserve"> dues aux transports de 20 % jusqu’en 2030, puis devraient les réduire d’au moins 10 % d’ici à 2050 par rapport aux niveaux de 2020.</w:t>
      </w:r>
    </w:p>
    <w:p w14:paraId="350D2567" w14:textId="6A615F17" w:rsidR="002B1D76" w:rsidRDefault="002B1D76" w:rsidP="007B20DF">
      <w:pPr>
        <w:pStyle w:val="Titre1"/>
        <w:spacing w:after="120"/>
        <w:ind w:right="1134"/>
        <w:rPr>
          <w:b/>
          <w:bCs/>
          <w:lang w:val="fr-FR"/>
        </w:rPr>
      </w:pPr>
      <w:r>
        <w:rPr>
          <w:lang w:val="fr-FR"/>
        </w:rPr>
        <w:lastRenderedPageBreak/>
        <w:t xml:space="preserve">Figure VII </w:t>
      </w:r>
      <w:r>
        <w:rPr>
          <w:lang w:val="fr-FR"/>
        </w:rPr>
        <w:br/>
      </w:r>
      <w:r>
        <w:rPr>
          <w:b/>
          <w:bCs/>
          <w:lang w:val="fr-FR"/>
        </w:rPr>
        <w:t xml:space="preserve">Scénarios régionaux de décarbonation du secteur des transports aux horizons 2030 </w:t>
      </w:r>
      <w:r w:rsidR="007B20DF">
        <w:rPr>
          <w:b/>
          <w:bCs/>
          <w:lang w:val="fr-FR"/>
        </w:rPr>
        <w:br/>
      </w:r>
      <w:r>
        <w:rPr>
          <w:b/>
          <w:bCs/>
          <w:lang w:val="fr-FR"/>
        </w:rPr>
        <w:t>et 2050</w:t>
      </w:r>
      <w:r w:rsidRPr="002B1D76">
        <w:rPr>
          <w:rStyle w:val="Appelnotedebasdep"/>
        </w:rPr>
        <w:footnoteReference w:id="56"/>
      </w:r>
    </w:p>
    <w:p w14:paraId="3A7CCB2A" w14:textId="2A3DF87C" w:rsidR="007B20DF" w:rsidRPr="007B20DF" w:rsidRDefault="007B20DF" w:rsidP="007B20DF">
      <w:pPr>
        <w:pStyle w:val="SingleTxtG"/>
        <w:rPr>
          <w:lang w:val="fr-FR"/>
        </w:rPr>
      </w:pPr>
      <w:r>
        <w:rPr>
          <w:noProof/>
        </w:rPr>
        <w:drawing>
          <wp:inline distT="0" distB="0" distL="0" distR="0" wp14:anchorId="2672689E" wp14:editId="10ED9154">
            <wp:extent cx="3959462" cy="5003089"/>
            <wp:effectExtent l="0" t="0" r="3175"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61" b="1071"/>
                    <a:stretch/>
                  </pic:blipFill>
                  <pic:spPr bwMode="auto">
                    <a:xfrm>
                      <a:off x="0" y="0"/>
                      <a:ext cx="3960000" cy="5003769"/>
                    </a:xfrm>
                    <a:prstGeom prst="rect">
                      <a:avLst/>
                    </a:prstGeom>
                    <a:ln>
                      <a:noFill/>
                    </a:ln>
                    <a:extLst>
                      <a:ext uri="{53640926-AAD7-44D8-BBD7-CCE9431645EC}">
                        <a14:shadowObscured xmlns:a14="http://schemas.microsoft.com/office/drawing/2010/main"/>
                      </a:ext>
                    </a:extLst>
                  </pic:spPr>
                </pic:pic>
              </a:graphicData>
            </a:graphic>
          </wp:inline>
        </w:drawing>
      </w:r>
    </w:p>
    <w:p w14:paraId="1DFE85D7" w14:textId="77777777" w:rsidR="002B1D76" w:rsidRPr="00501EF4" w:rsidRDefault="002B1D76" w:rsidP="002B1D76">
      <w:pPr>
        <w:pStyle w:val="HChG"/>
        <w:rPr>
          <w:lang w:val="fr-FR"/>
        </w:rPr>
      </w:pPr>
      <w:r>
        <w:rPr>
          <w:lang w:val="fr-FR"/>
        </w:rPr>
        <w:tab/>
        <w:t>III.</w:t>
      </w:r>
      <w:r>
        <w:rPr>
          <w:lang w:val="fr-FR"/>
        </w:rPr>
        <w:tab/>
      </w:r>
      <w:r>
        <w:rPr>
          <w:lang w:val="fr-FR"/>
        </w:rPr>
        <w:tab/>
        <w:t>Mesures, initiatives et engagements internationaux en faveur de la décarbonation des transports intérieurs</w:t>
      </w:r>
    </w:p>
    <w:p w14:paraId="48614F2A" w14:textId="25AB2028" w:rsidR="002B1D76" w:rsidRPr="00501EF4" w:rsidRDefault="002B1D76" w:rsidP="002B1D76">
      <w:pPr>
        <w:pStyle w:val="H1G"/>
        <w:rPr>
          <w:lang w:val="fr-FR"/>
        </w:rPr>
      </w:pPr>
      <w:bookmarkStart w:id="7" w:name="_3j2qqm3" w:colFirst="0" w:colLast="0"/>
      <w:bookmarkStart w:id="8" w:name="_1y810tw" w:colFirst="0" w:colLast="0"/>
      <w:bookmarkEnd w:id="7"/>
      <w:bookmarkEnd w:id="8"/>
      <w:r>
        <w:rPr>
          <w:lang w:val="fr-FR"/>
        </w:rPr>
        <w:tab/>
        <w:t>A.</w:t>
      </w:r>
      <w:r>
        <w:rPr>
          <w:lang w:val="fr-FR"/>
        </w:rPr>
        <w:tab/>
        <w:t xml:space="preserve">Point sur les initiatives internationales et rôle potentiel </w:t>
      </w:r>
      <w:r w:rsidR="007B20DF">
        <w:rPr>
          <w:lang w:val="fr-FR"/>
        </w:rPr>
        <w:br/>
      </w:r>
      <w:r>
        <w:rPr>
          <w:lang w:val="fr-FR"/>
        </w:rPr>
        <w:t xml:space="preserve">de l’Organisation des Nations Unies </w:t>
      </w:r>
    </w:p>
    <w:p w14:paraId="5826D1BA" w14:textId="77777777" w:rsidR="002B1D76" w:rsidRPr="00501EF4" w:rsidRDefault="002B1D76" w:rsidP="007C6376">
      <w:pPr>
        <w:pStyle w:val="SingleTxtG"/>
        <w:rPr>
          <w:lang w:val="fr-FR"/>
        </w:rPr>
      </w:pPr>
      <w:r>
        <w:rPr>
          <w:lang w:val="fr-FR"/>
        </w:rPr>
        <w:t>46.</w:t>
      </w:r>
      <w:r>
        <w:rPr>
          <w:lang w:val="fr-FR"/>
        </w:rPr>
        <w:tab/>
        <w:t>À l’occasion de la Conférence des Nations Unies sur les changements climatiques de 2021 (COP 26), qui s’est tenue à Glasgow (Royaume-Uni), les parties prenantes ont adopté un nombre sans précédent d’engagements et d’initiatives en faveur de transports durables à faible émission de carbone, qui concernaient les véhicules de transport de voyageurs et de marchandises à émission zéro, le transport maritime et le transport aérien, et plusieurs ont déjà vu leur champ d’application s’élargir ou le nombre de leurs signataires augmenter. Le Pacte de Glasgow pour le climat, adopté à la COP 26, appelle clairement tous les pays à supprimer graduellement les subventions inefficaces aux combustibles fossiles et à promouvoir une transition juste vers des systèmes énergétiques à faible émission</w:t>
      </w:r>
      <w:r w:rsidRPr="002B1D76">
        <w:rPr>
          <w:rStyle w:val="Appelnotedebasdep"/>
        </w:rPr>
        <w:footnoteReference w:id="57"/>
      </w:r>
      <w:r>
        <w:rPr>
          <w:lang w:val="fr-FR"/>
        </w:rPr>
        <w:t>.</w:t>
      </w:r>
    </w:p>
    <w:p w14:paraId="6448B3BF" w14:textId="77777777" w:rsidR="002B1D76" w:rsidRPr="00501EF4" w:rsidRDefault="002B1D76" w:rsidP="007C6376">
      <w:pPr>
        <w:pStyle w:val="SingleTxtG"/>
        <w:rPr>
          <w:lang w:val="fr-FR"/>
        </w:rPr>
      </w:pPr>
      <w:r>
        <w:rPr>
          <w:lang w:val="fr-FR"/>
        </w:rPr>
        <w:lastRenderedPageBreak/>
        <w:t>47.</w:t>
      </w:r>
      <w:r>
        <w:rPr>
          <w:lang w:val="fr-FR"/>
        </w:rPr>
        <w:tab/>
        <w:t xml:space="preserve">À l’occasion de la Conférence des Nations Unies sur les changements climatiques de 2022 (COP 27), qui s’est tenue à </w:t>
      </w:r>
      <w:proofErr w:type="spellStart"/>
      <w:r>
        <w:rPr>
          <w:lang w:val="fr-FR"/>
        </w:rPr>
        <w:t>Charm</w:t>
      </w:r>
      <w:proofErr w:type="spellEnd"/>
      <w:r>
        <w:rPr>
          <w:lang w:val="fr-FR"/>
        </w:rPr>
        <w:t xml:space="preserve"> el-Cheikh (Égypte), la présidence (Égypte) a lancé l’initiative « Low Carbon Transport for Urban </w:t>
      </w:r>
      <w:proofErr w:type="spellStart"/>
      <w:r>
        <w:rPr>
          <w:lang w:val="fr-FR"/>
        </w:rPr>
        <w:t>Sustainability</w:t>
      </w:r>
      <w:proofErr w:type="spellEnd"/>
      <w:r>
        <w:rPr>
          <w:lang w:val="fr-FR"/>
        </w:rPr>
        <w:t> » ou « LOTUS » (Des transports à faible émission de carbone pour des villes durables), qui vise à susciter des changements systémiques afin que l’action menée soit globale et non plus centrée sur des modes de transport particuliers et sur des stratégies de type « améliorer ».</w:t>
      </w:r>
    </w:p>
    <w:p w14:paraId="542484CC" w14:textId="77777777" w:rsidR="002B1D76" w:rsidRPr="00501EF4" w:rsidRDefault="002B1D76" w:rsidP="002B1D76">
      <w:pPr>
        <w:pStyle w:val="H23G"/>
        <w:rPr>
          <w:lang w:val="fr-FR"/>
        </w:rPr>
      </w:pPr>
      <w:r>
        <w:rPr>
          <w:lang w:val="fr-FR"/>
        </w:rPr>
        <w:tab/>
        <w:t>1.</w:t>
      </w:r>
      <w:r>
        <w:rPr>
          <w:lang w:val="fr-FR"/>
        </w:rPr>
        <w:tab/>
        <w:t>Vue d’ensemble de certaines des principales initiatives en lien avec les transports intérieurs annoncées à la COP 26 et à la COP 27</w:t>
      </w:r>
    </w:p>
    <w:p w14:paraId="6D3547BE" w14:textId="2A36F8E3" w:rsidR="002B1D76" w:rsidRDefault="002B1D76" w:rsidP="007C6376">
      <w:pPr>
        <w:pStyle w:val="Titre1"/>
        <w:spacing w:after="120"/>
        <w:rPr>
          <w:b/>
          <w:bCs/>
          <w:lang w:val="fr-FR"/>
        </w:rPr>
      </w:pPr>
      <w:r>
        <w:rPr>
          <w:lang w:val="fr-FR"/>
        </w:rPr>
        <w:t>Tableau 2</w:t>
      </w:r>
      <w:r>
        <w:rPr>
          <w:lang w:val="fr-FR"/>
        </w:rPr>
        <w:br/>
      </w:r>
      <w:r>
        <w:rPr>
          <w:b/>
          <w:bCs/>
          <w:lang w:val="fr-FR"/>
        </w:rPr>
        <w:t>Principales initiatives en lien avec les transports intérieurs annoncées à la COP 26 et à la COP 27</w:t>
      </w:r>
    </w:p>
    <w:tbl>
      <w:tblPr>
        <w:tblStyle w:val="Grilledutableau"/>
        <w:tblW w:w="85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212"/>
        <w:gridCol w:w="1389"/>
        <w:gridCol w:w="1187"/>
        <w:gridCol w:w="1017"/>
      </w:tblGrid>
      <w:tr w:rsidR="007C6376" w:rsidRPr="007C6376" w14:paraId="2535A6FC" w14:textId="77777777" w:rsidTr="00636CA8">
        <w:trPr>
          <w:tblHeader/>
        </w:trPr>
        <w:tc>
          <w:tcPr>
            <w:tcW w:w="1701" w:type="dxa"/>
            <w:tcBorders>
              <w:top w:val="single" w:sz="4" w:space="0" w:color="auto"/>
              <w:bottom w:val="single" w:sz="12" w:space="0" w:color="auto"/>
            </w:tcBorders>
            <w:shd w:val="clear" w:color="auto" w:fill="auto"/>
            <w:vAlign w:val="bottom"/>
          </w:tcPr>
          <w:p w14:paraId="71704A11" w14:textId="77777777" w:rsidR="007C6376" w:rsidRPr="007C6376" w:rsidRDefault="007C6376" w:rsidP="007C6376">
            <w:pPr>
              <w:spacing w:before="80" w:after="80" w:line="200" w:lineRule="exact"/>
              <w:ind w:right="113"/>
              <w:rPr>
                <w:i/>
                <w:sz w:val="16"/>
                <w:lang w:val="fr-FR"/>
              </w:rPr>
            </w:pPr>
          </w:p>
        </w:tc>
        <w:tc>
          <w:tcPr>
            <w:tcW w:w="3212" w:type="dxa"/>
            <w:tcBorders>
              <w:top w:val="single" w:sz="4" w:space="0" w:color="auto"/>
              <w:bottom w:val="single" w:sz="12" w:space="0" w:color="auto"/>
            </w:tcBorders>
            <w:shd w:val="clear" w:color="auto" w:fill="auto"/>
            <w:vAlign w:val="bottom"/>
          </w:tcPr>
          <w:p w14:paraId="7BD6677B" w14:textId="4A8B4887" w:rsidR="007C6376" w:rsidRPr="007C6376" w:rsidRDefault="007C6376" w:rsidP="007C6376">
            <w:pPr>
              <w:spacing w:before="80" w:after="80" w:line="200" w:lineRule="exact"/>
              <w:ind w:right="113"/>
              <w:rPr>
                <w:i/>
                <w:sz w:val="16"/>
                <w:lang w:val="fr-FR"/>
              </w:rPr>
            </w:pPr>
            <w:r w:rsidRPr="002B1D76">
              <w:rPr>
                <w:i/>
                <w:iCs/>
                <w:sz w:val="16"/>
                <w:lang w:val="fr-FR"/>
              </w:rPr>
              <w:t>Mission</w:t>
            </w:r>
          </w:p>
        </w:tc>
        <w:tc>
          <w:tcPr>
            <w:tcW w:w="1389" w:type="dxa"/>
            <w:tcBorders>
              <w:top w:val="single" w:sz="4" w:space="0" w:color="auto"/>
              <w:bottom w:val="single" w:sz="12" w:space="0" w:color="auto"/>
            </w:tcBorders>
            <w:shd w:val="clear" w:color="auto" w:fill="auto"/>
            <w:vAlign w:val="bottom"/>
          </w:tcPr>
          <w:p w14:paraId="6B4CDCE1" w14:textId="08222C1A" w:rsidR="007C6376" w:rsidRPr="007C6376" w:rsidRDefault="007C6376" w:rsidP="007C6376">
            <w:pPr>
              <w:spacing w:before="80" w:after="80" w:line="200" w:lineRule="exact"/>
              <w:ind w:right="113"/>
              <w:rPr>
                <w:i/>
                <w:sz w:val="16"/>
                <w:lang w:val="fr-FR"/>
              </w:rPr>
            </w:pPr>
            <w:r w:rsidRPr="002B1D76">
              <w:rPr>
                <w:i/>
                <w:iCs/>
                <w:sz w:val="16"/>
                <w:lang w:val="fr-FR"/>
              </w:rPr>
              <w:t>Nombre total de signataires</w:t>
            </w:r>
            <w:r>
              <w:rPr>
                <w:i/>
                <w:iCs/>
                <w:sz w:val="16"/>
                <w:lang w:val="fr-FR"/>
              </w:rPr>
              <w:br/>
            </w:r>
            <w:r w:rsidRPr="002B1D76">
              <w:rPr>
                <w:i/>
                <w:iCs/>
                <w:sz w:val="16"/>
                <w:lang w:val="fr-FR"/>
              </w:rPr>
              <w:t>(octobre 2023)</w:t>
            </w:r>
          </w:p>
        </w:tc>
        <w:tc>
          <w:tcPr>
            <w:tcW w:w="1187" w:type="dxa"/>
            <w:tcBorders>
              <w:top w:val="single" w:sz="4" w:space="0" w:color="auto"/>
              <w:bottom w:val="single" w:sz="12" w:space="0" w:color="auto"/>
            </w:tcBorders>
            <w:shd w:val="clear" w:color="auto" w:fill="auto"/>
            <w:vAlign w:val="bottom"/>
          </w:tcPr>
          <w:p w14:paraId="7EC2A609" w14:textId="43A68476" w:rsidR="007C6376" w:rsidRPr="007C6376" w:rsidRDefault="007C6376" w:rsidP="007C6376">
            <w:pPr>
              <w:spacing w:before="80" w:after="80" w:line="200" w:lineRule="exact"/>
              <w:ind w:right="113"/>
              <w:rPr>
                <w:i/>
                <w:sz w:val="16"/>
                <w:lang w:val="fr-FR"/>
              </w:rPr>
            </w:pPr>
            <w:r w:rsidRPr="002B1D76">
              <w:rPr>
                <w:i/>
                <w:iCs/>
                <w:sz w:val="16"/>
                <w:lang w:val="fr-FR"/>
              </w:rPr>
              <w:t xml:space="preserve">Portée </w:t>
            </w:r>
            <w:r>
              <w:rPr>
                <w:i/>
                <w:iCs/>
                <w:sz w:val="16"/>
                <w:lang w:val="fr-FR"/>
              </w:rPr>
              <w:br/>
            </w:r>
            <w:r w:rsidRPr="002B1D76">
              <w:rPr>
                <w:i/>
                <w:iCs/>
                <w:sz w:val="16"/>
                <w:lang w:val="fr-FR"/>
              </w:rPr>
              <w:t>géographique</w:t>
            </w:r>
          </w:p>
        </w:tc>
        <w:tc>
          <w:tcPr>
            <w:tcW w:w="1017" w:type="dxa"/>
            <w:tcBorders>
              <w:top w:val="single" w:sz="4" w:space="0" w:color="auto"/>
              <w:bottom w:val="single" w:sz="12" w:space="0" w:color="auto"/>
            </w:tcBorders>
            <w:shd w:val="clear" w:color="auto" w:fill="auto"/>
            <w:vAlign w:val="bottom"/>
          </w:tcPr>
          <w:p w14:paraId="0C68A2AE" w14:textId="0A366806" w:rsidR="007C6376" w:rsidRPr="007C6376" w:rsidRDefault="007C6376" w:rsidP="00636CA8">
            <w:pPr>
              <w:spacing w:before="80" w:after="80" w:line="200" w:lineRule="exact"/>
              <w:rPr>
                <w:i/>
                <w:sz w:val="16"/>
                <w:lang w:val="fr-FR"/>
              </w:rPr>
            </w:pPr>
            <w:r w:rsidRPr="002B1D76">
              <w:rPr>
                <w:i/>
                <w:iCs/>
                <w:sz w:val="16"/>
                <w:lang w:val="fr-FR"/>
              </w:rPr>
              <w:t>Modes de transport concernés</w:t>
            </w:r>
          </w:p>
        </w:tc>
      </w:tr>
      <w:tr w:rsidR="007C6376" w:rsidRPr="007C6376" w14:paraId="743BC48C" w14:textId="77777777" w:rsidTr="00636CA8">
        <w:trPr>
          <w:trHeight w:hRule="exact" w:val="113"/>
          <w:tblHeader/>
        </w:trPr>
        <w:tc>
          <w:tcPr>
            <w:tcW w:w="1701" w:type="dxa"/>
            <w:tcBorders>
              <w:top w:val="single" w:sz="12" w:space="0" w:color="auto"/>
            </w:tcBorders>
            <w:shd w:val="clear" w:color="auto" w:fill="auto"/>
            <w:vAlign w:val="bottom"/>
          </w:tcPr>
          <w:p w14:paraId="07F9FD03" w14:textId="77777777" w:rsidR="007C6376" w:rsidRPr="007C6376" w:rsidRDefault="007C6376" w:rsidP="007C6376">
            <w:pPr>
              <w:spacing w:before="80" w:after="80" w:line="200" w:lineRule="exact"/>
              <w:ind w:right="113"/>
              <w:rPr>
                <w:i/>
                <w:sz w:val="16"/>
                <w:lang w:val="fr-FR"/>
              </w:rPr>
            </w:pPr>
          </w:p>
        </w:tc>
        <w:tc>
          <w:tcPr>
            <w:tcW w:w="3212" w:type="dxa"/>
            <w:tcBorders>
              <w:top w:val="single" w:sz="12" w:space="0" w:color="auto"/>
            </w:tcBorders>
            <w:shd w:val="clear" w:color="auto" w:fill="auto"/>
            <w:vAlign w:val="bottom"/>
          </w:tcPr>
          <w:p w14:paraId="1C6C04EE" w14:textId="77777777" w:rsidR="007C6376" w:rsidRPr="007C6376" w:rsidRDefault="007C6376" w:rsidP="007C6376">
            <w:pPr>
              <w:spacing w:before="80" w:after="80" w:line="200" w:lineRule="exact"/>
              <w:ind w:right="113"/>
              <w:rPr>
                <w:i/>
                <w:sz w:val="16"/>
                <w:lang w:val="fr-FR"/>
              </w:rPr>
            </w:pPr>
          </w:p>
        </w:tc>
        <w:tc>
          <w:tcPr>
            <w:tcW w:w="1389" w:type="dxa"/>
            <w:tcBorders>
              <w:top w:val="single" w:sz="12" w:space="0" w:color="auto"/>
            </w:tcBorders>
            <w:shd w:val="clear" w:color="auto" w:fill="auto"/>
            <w:vAlign w:val="bottom"/>
          </w:tcPr>
          <w:p w14:paraId="7705D1B5" w14:textId="77777777" w:rsidR="007C6376" w:rsidRPr="007C6376" w:rsidRDefault="007C6376" w:rsidP="007C6376">
            <w:pPr>
              <w:spacing w:before="80" w:after="80" w:line="200" w:lineRule="exact"/>
              <w:ind w:right="113"/>
              <w:rPr>
                <w:i/>
                <w:sz w:val="16"/>
                <w:lang w:val="fr-FR"/>
              </w:rPr>
            </w:pPr>
          </w:p>
        </w:tc>
        <w:tc>
          <w:tcPr>
            <w:tcW w:w="1187" w:type="dxa"/>
            <w:tcBorders>
              <w:top w:val="single" w:sz="12" w:space="0" w:color="auto"/>
            </w:tcBorders>
            <w:shd w:val="clear" w:color="auto" w:fill="auto"/>
            <w:vAlign w:val="bottom"/>
          </w:tcPr>
          <w:p w14:paraId="354B1640" w14:textId="77777777" w:rsidR="007C6376" w:rsidRPr="007C6376" w:rsidRDefault="007C6376" w:rsidP="007C6376">
            <w:pPr>
              <w:spacing w:before="80" w:after="80" w:line="200" w:lineRule="exact"/>
              <w:ind w:right="113"/>
              <w:rPr>
                <w:i/>
                <w:sz w:val="16"/>
                <w:lang w:val="fr-FR"/>
              </w:rPr>
            </w:pPr>
          </w:p>
        </w:tc>
        <w:tc>
          <w:tcPr>
            <w:tcW w:w="1017" w:type="dxa"/>
            <w:tcBorders>
              <w:top w:val="single" w:sz="12" w:space="0" w:color="auto"/>
            </w:tcBorders>
            <w:shd w:val="clear" w:color="auto" w:fill="auto"/>
            <w:vAlign w:val="bottom"/>
          </w:tcPr>
          <w:p w14:paraId="1CA154B7" w14:textId="77777777" w:rsidR="007C6376" w:rsidRPr="007C6376" w:rsidRDefault="007C6376" w:rsidP="00636CA8">
            <w:pPr>
              <w:spacing w:before="80" w:after="80" w:line="200" w:lineRule="exact"/>
              <w:rPr>
                <w:i/>
                <w:sz w:val="16"/>
                <w:lang w:val="fr-FR"/>
              </w:rPr>
            </w:pPr>
          </w:p>
        </w:tc>
      </w:tr>
      <w:tr w:rsidR="00636CA8" w:rsidRPr="007C6376" w14:paraId="7EDDC667" w14:textId="77777777" w:rsidTr="00636CA8">
        <w:tc>
          <w:tcPr>
            <w:tcW w:w="1701" w:type="dxa"/>
            <w:shd w:val="clear" w:color="auto" w:fill="auto"/>
          </w:tcPr>
          <w:p w14:paraId="1653C6C0" w14:textId="60AF4B85" w:rsidR="007C6376" w:rsidRPr="00636CA8" w:rsidRDefault="007C6376" w:rsidP="007C6376">
            <w:pPr>
              <w:spacing w:before="40" w:after="120"/>
              <w:ind w:right="113"/>
              <w:rPr>
                <w:lang w:val="en-US"/>
              </w:rPr>
            </w:pPr>
            <w:hyperlink r:id="rId16">
              <w:r w:rsidRPr="007C6376">
                <w:rPr>
                  <w:rStyle w:val="Lienhypertexte"/>
                  <w:b/>
                  <w:bCs/>
                  <w:color w:val="auto"/>
                  <w:lang w:val="en-US"/>
                </w:rPr>
                <w:t>Coalition Accelerati</w:t>
              </w:r>
              <w:r w:rsidRPr="007C6376">
                <w:rPr>
                  <w:rStyle w:val="Lienhypertexte"/>
                  <w:b/>
                  <w:bCs/>
                  <w:color w:val="auto"/>
                  <w:lang w:val="en-US"/>
                </w:rPr>
                <w:t>n</w:t>
              </w:r>
              <w:r w:rsidRPr="007C6376">
                <w:rPr>
                  <w:rStyle w:val="Lienhypertexte"/>
                  <w:b/>
                  <w:bCs/>
                  <w:color w:val="auto"/>
                  <w:lang w:val="en-US"/>
                </w:rPr>
                <w:t>g to Zero (A2Z)</w:t>
              </w:r>
            </w:hyperlink>
          </w:p>
        </w:tc>
        <w:tc>
          <w:tcPr>
            <w:tcW w:w="3212" w:type="dxa"/>
            <w:shd w:val="clear" w:color="auto" w:fill="auto"/>
          </w:tcPr>
          <w:p w14:paraId="26FC65E1" w14:textId="5CDA57C4" w:rsidR="007C6376" w:rsidRPr="007C6376" w:rsidRDefault="007C6376" w:rsidP="007C6376">
            <w:pPr>
              <w:spacing w:before="40" w:after="120"/>
              <w:ind w:right="113"/>
            </w:pPr>
            <w:r w:rsidRPr="002B1D76">
              <w:rPr>
                <w:lang w:val="fr-FR"/>
              </w:rPr>
              <w:t>Faire en sorte que toutes les nouvelles voitures et camionnettes vendues soient à émission zéro d’ici à 2035 sur les principaux marchés et d’ici à 2040 à l’échelle mondiale</w:t>
            </w:r>
          </w:p>
        </w:tc>
        <w:tc>
          <w:tcPr>
            <w:tcW w:w="1389" w:type="dxa"/>
            <w:shd w:val="clear" w:color="auto" w:fill="auto"/>
          </w:tcPr>
          <w:p w14:paraId="3BDD3012" w14:textId="775EFF34" w:rsidR="007C6376" w:rsidRPr="007C6376" w:rsidRDefault="007C6376" w:rsidP="007C6376">
            <w:pPr>
              <w:spacing w:before="40" w:after="120"/>
              <w:ind w:right="113"/>
            </w:pPr>
            <w:r w:rsidRPr="002B1D76">
              <w:rPr>
                <w:lang w:val="fr-FR"/>
              </w:rPr>
              <w:t>178 signataires</w:t>
            </w:r>
          </w:p>
        </w:tc>
        <w:tc>
          <w:tcPr>
            <w:tcW w:w="1187" w:type="dxa"/>
            <w:shd w:val="clear" w:color="auto" w:fill="auto"/>
          </w:tcPr>
          <w:p w14:paraId="2F89F962" w14:textId="7E2AECF2" w:rsidR="007C6376" w:rsidRPr="007C6376" w:rsidRDefault="007C6376" w:rsidP="007C6376">
            <w:pPr>
              <w:spacing w:before="40" w:after="120"/>
              <w:ind w:right="113"/>
            </w:pPr>
            <w:r w:rsidRPr="002B1D76">
              <w:rPr>
                <w:lang w:val="fr-FR"/>
              </w:rPr>
              <w:t>Monde</w:t>
            </w:r>
          </w:p>
        </w:tc>
        <w:tc>
          <w:tcPr>
            <w:tcW w:w="1017" w:type="dxa"/>
            <w:shd w:val="clear" w:color="auto" w:fill="auto"/>
          </w:tcPr>
          <w:p w14:paraId="5B30EC15" w14:textId="7B85C1FD" w:rsidR="007C6376" w:rsidRPr="00636CA8" w:rsidRDefault="007C6376" w:rsidP="00636CA8">
            <w:pPr>
              <w:spacing w:before="40" w:after="120"/>
              <w:rPr>
                <w:spacing w:val="-4"/>
              </w:rPr>
            </w:pPr>
            <w:r w:rsidRPr="00636CA8">
              <w:rPr>
                <w:spacing w:val="-4"/>
                <w:lang w:val="fr-FR"/>
              </w:rPr>
              <w:t>Voitures et camionnettes</w:t>
            </w:r>
          </w:p>
        </w:tc>
      </w:tr>
      <w:tr w:rsidR="00636CA8" w:rsidRPr="007C6376" w14:paraId="6EF96D83" w14:textId="77777777" w:rsidTr="00636CA8">
        <w:tc>
          <w:tcPr>
            <w:tcW w:w="1701" w:type="dxa"/>
            <w:shd w:val="clear" w:color="auto" w:fill="auto"/>
          </w:tcPr>
          <w:p w14:paraId="1D116963" w14:textId="78983C9A" w:rsidR="007C6376" w:rsidRPr="00636CA8" w:rsidRDefault="007C6376" w:rsidP="007C6376">
            <w:pPr>
              <w:spacing w:before="40" w:after="120"/>
              <w:ind w:right="113"/>
            </w:pPr>
            <w:hyperlink r:id="rId17">
              <w:r w:rsidRPr="007C6376">
                <w:rPr>
                  <w:rStyle w:val="Lienhypertexte"/>
                  <w:b/>
                  <w:bCs/>
                  <w:color w:val="auto"/>
                  <w:lang w:val="fr-FR"/>
                </w:rPr>
                <w:t>Programme de percées dans le domaine des transports</w:t>
              </w:r>
            </w:hyperlink>
          </w:p>
        </w:tc>
        <w:tc>
          <w:tcPr>
            <w:tcW w:w="3212" w:type="dxa"/>
            <w:shd w:val="clear" w:color="auto" w:fill="auto"/>
          </w:tcPr>
          <w:p w14:paraId="09A7988B" w14:textId="77777777" w:rsidR="007C6376" w:rsidRDefault="007C6376" w:rsidP="007C6376">
            <w:pPr>
              <w:spacing w:before="40" w:after="120"/>
              <w:ind w:right="113"/>
              <w:rPr>
                <w:lang w:val="fr-FR"/>
              </w:rPr>
            </w:pPr>
            <w:r w:rsidRPr="002B1D76">
              <w:rPr>
                <w:lang w:val="fr-FR"/>
              </w:rPr>
              <w:t>Faire en sorte que les véhicules électriques à batterie et à pile à combustible représentent 60 % des ventes mondiales d’autobus d’ici à 2030</w:t>
            </w:r>
          </w:p>
          <w:p w14:paraId="3D2CD635" w14:textId="77777777" w:rsidR="007C6376" w:rsidRDefault="007C6376" w:rsidP="007C6376">
            <w:pPr>
              <w:spacing w:before="40" w:after="120"/>
              <w:ind w:right="113"/>
              <w:rPr>
                <w:lang w:val="fr-FR"/>
              </w:rPr>
            </w:pPr>
            <w:r w:rsidRPr="002B1D76">
              <w:rPr>
                <w:lang w:val="fr-FR"/>
              </w:rPr>
              <w:t>Faire en sorte que les véhicules électriques à batterie et à pile à combustible représentent 35 à 40 % des ventes mondiales de poids lourds d’ici à 2030</w:t>
            </w:r>
          </w:p>
          <w:p w14:paraId="4004BA21" w14:textId="7C2294C7" w:rsidR="007C6376" w:rsidRPr="007C6376" w:rsidRDefault="007C6376" w:rsidP="007C6376">
            <w:pPr>
              <w:spacing w:before="40" w:after="120"/>
              <w:ind w:right="113"/>
            </w:pPr>
            <w:r w:rsidRPr="002B1D76">
              <w:rPr>
                <w:lang w:val="fr-FR"/>
              </w:rPr>
              <w:t>Faire en sorte que les véhicules à émission zéro représentent 100 % des ventes de véhicules de transport de personnes et de camionnettes d’ici à 2030 (sur les principaux marchés)</w:t>
            </w:r>
          </w:p>
        </w:tc>
        <w:tc>
          <w:tcPr>
            <w:tcW w:w="1389" w:type="dxa"/>
            <w:shd w:val="clear" w:color="auto" w:fill="auto"/>
          </w:tcPr>
          <w:p w14:paraId="1065628D" w14:textId="41F4B26C" w:rsidR="007C6376" w:rsidRPr="007C6376" w:rsidRDefault="007C6376" w:rsidP="007C6376">
            <w:pPr>
              <w:spacing w:before="40" w:after="120"/>
              <w:ind w:right="113"/>
            </w:pPr>
            <w:r w:rsidRPr="002B1D76">
              <w:rPr>
                <w:lang w:val="fr-FR"/>
              </w:rPr>
              <w:t>49 signataires</w:t>
            </w:r>
          </w:p>
        </w:tc>
        <w:tc>
          <w:tcPr>
            <w:tcW w:w="1187" w:type="dxa"/>
            <w:shd w:val="clear" w:color="auto" w:fill="auto"/>
          </w:tcPr>
          <w:p w14:paraId="1C82778B" w14:textId="3133563C" w:rsidR="007C6376" w:rsidRPr="007C6376" w:rsidRDefault="007C6376" w:rsidP="007C6376">
            <w:pPr>
              <w:spacing w:before="40" w:after="120"/>
              <w:ind w:right="113"/>
            </w:pPr>
            <w:r w:rsidRPr="002B1D76">
              <w:rPr>
                <w:lang w:val="fr-FR"/>
              </w:rPr>
              <w:t>Monde</w:t>
            </w:r>
          </w:p>
        </w:tc>
        <w:tc>
          <w:tcPr>
            <w:tcW w:w="1017" w:type="dxa"/>
            <w:shd w:val="clear" w:color="auto" w:fill="auto"/>
          </w:tcPr>
          <w:p w14:paraId="5430CB70" w14:textId="4B83E6A9" w:rsidR="007C6376" w:rsidRPr="007C6376" w:rsidRDefault="007C6376" w:rsidP="00636CA8">
            <w:pPr>
              <w:spacing w:before="40" w:after="120"/>
            </w:pPr>
            <w:r w:rsidRPr="002B1D76">
              <w:rPr>
                <w:lang w:val="fr-FR"/>
              </w:rPr>
              <w:t>Tous les véhicules</w:t>
            </w:r>
          </w:p>
        </w:tc>
      </w:tr>
      <w:tr w:rsidR="00636CA8" w:rsidRPr="007C6376" w14:paraId="5E145615" w14:textId="77777777" w:rsidTr="00636CA8">
        <w:tc>
          <w:tcPr>
            <w:tcW w:w="1701" w:type="dxa"/>
            <w:shd w:val="clear" w:color="auto" w:fill="auto"/>
          </w:tcPr>
          <w:p w14:paraId="71EB3505" w14:textId="1EB9BB73" w:rsidR="007C6376" w:rsidRPr="00636CA8" w:rsidRDefault="007C6376" w:rsidP="007C6376">
            <w:pPr>
              <w:spacing w:before="40" w:after="120"/>
              <w:ind w:right="113"/>
            </w:pPr>
            <w:hyperlink r:id="rId18">
              <w:r w:rsidRPr="007C6376">
                <w:rPr>
                  <w:rStyle w:val="Lienhypertexte"/>
                  <w:b/>
                  <w:bCs/>
                  <w:color w:val="auto"/>
                  <w:lang w:val="fr-FR"/>
                </w:rPr>
                <w:t>Mémorandum d’accord mondial sur les véhicules utilitaires moyens et lourds à émission zéro</w:t>
              </w:r>
            </w:hyperlink>
          </w:p>
        </w:tc>
        <w:tc>
          <w:tcPr>
            <w:tcW w:w="3212" w:type="dxa"/>
            <w:shd w:val="clear" w:color="auto" w:fill="auto"/>
          </w:tcPr>
          <w:p w14:paraId="675DF986" w14:textId="04B6E206" w:rsidR="007C6376" w:rsidRPr="007C6376" w:rsidRDefault="007C6376" w:rsidP="007C6376">
            <w:pPr>
              <w:spacing w:before="40" w:after="120"/>
              <w:ind w:right="113"/>
            </w:pPr>
            <w:r w:rsidRPr="002B1D76">
              <w:rPr>
                <w:lang w:val="fr-FR"/>
              </w:rPr>
              <w:t>Faire en sorte que les véhicules à émission zéro représentent 100 % des ventes de camions et d’autobus d’ici à 2040 (objectif intermédiaire : 30 % d’ici à 2030)</w:t>
            </w:r>
          </w:p>
        </w:tc>
        <w:tc>
          <w:tcPr>
            <w:tcW w:w="1389" w:type="dxa"/>
            <w:shd w:val="clear" w:color="auto" w:fill="auto"/>
          </w:tcPr>
          <w:p w14:paraId="1B3A7B80" w14:textId="732D01AD" w:rsidR="007C6376" w:rsidRPr="007C6376" w:rsidRDefault="007C6376" w:rsidP="007C6376">
            <w:pPr>
              <w:spacing w:before="40" w:after="120"/>
              <w:ind w:right="113"/>
            </w:pPr>
            <w:r w:rsidRPr="002B1D76">
              <w:rPr>
                <w:lang w:val="fr-FR"/>
              </w:rPr>
              <w:t>27 signataires</w:t>
            </w:r>
          </w:p>
        </w:tc>
        <w:tc>
          <w:tcPr>
            <w:tcW w:w="1187" w:type="dxa"/>
            <w:shd w:val="clear" w:color="auto" w:fill="auto"/>
          </w:tcPr>
          <w:p w14:paraId="2DA08D9B" w14:textId="3479345B" w:rsidR="007C6376" w:rsidRPr="007C6376" w:rsidRDefault="007C6376" w:rsidP="007C6376">
            <w:pPr>
              <w:spacing w:before="40" w:after="120"/>
              <w:ind w:right="113"/>
            </w:pPr>
            <w:r w:rsidRPr="002B1D76">
              <w:rPr>
                <w:lang w:val="fr-FR"/>
              </w:rPr>
              <w:t>Monde</w:t>
            </w:r>
          </w:p>
        </w:tc>
        <w:tc>
          <w:tcPr>
            <w:tcW w:w="1017" w:type="dxa"/>
            <w:shd w:val="clear" w:color="auto" w:fill="auto"/>
          </w:tcPr>
          <w:p w14:paraId="03653E51" w14:textId="2FE87615" w:rsidR="007C6376" w:rsidRPr="007C6376" w:rsidRDefault="007C6376" w:rsidP="00636CA8">
            <w:pPr>
              <w:spacing w:before="40" w:after="120"/>
            </w:pPr>
            <w:r w:rsidRPr="002B1D76">
              <w:rPr>
                <w:lang w:val="fr-FR"/>
              </w:rPr>
              <w:t>Véhicules utilitaires moyens et lourds</w:t>
            </w:r>
          </w:p>
        </w:tc>
      </w:tr>
      <w:tr w:rsidR="00636CA8" w:rsidRPr="007C6376" w14:paraId="7EEE7CD2" w14:textId="77777777" w:rsidTr="00636CA8">
        <w:tc>
          <w:tcPr>
            <w:tcW w:w="1701" w:type="dxa"/>
            <w:tcBorders>
              <w:bottom w:val="single" w:sz="12" w:space="0" w:color="auto"/>
            </w:tcBorders>
            <w:shd w:val="clear" w:color="auto" w:fill="auto"/>
          </w:tcPr>
          <w:p w14:paraId="4D37475C" w14:textId="5866DCB7" w:rsidR="007C6376" w:rsidRPr="00636CA8" w:rsidRDefault="007C6376" w:rsidP="007C6376">
            <w:pPr>
              <w:spacing w:before="40" w:after="120"/>
              <w:ind w:right="113"/>
            </w:pPr>
            <w:hyperlink r:id="rId19">
              <w:r w:rsidRPr="007C6376">
                <w:rPr>
                  <w:rStyle w:val="Lienhypertexte"/>
                  <w:b/>
                  <w:bCs/>
                  <w:color w:val="auto"/>
                  <w:lang w:val="fr-FR"/>
                </w:rPr>
                <w:t>Des transports à faible émission de carbone pour des villes durables (LOTUS)</w:t>
              </w:r>
            </w:hyperlink>
          </w:p>
        </w:tc>
        <w:tc>
          <w:tcPr>
            <w:tcW w:w="3212" w:type="dxa"/>
            <w:tcBorders>
              <w:bottom w:val="single" w:sz="12" w:space="0" w:color="auto"/>
            </w:tcBorders>
            <w:shd w:val="clear" w:color="auto" w:fill="auto"/>
          </w:tcPr>
          <w:p w14:paraId="20D09923" w14:textId="77777777" w:rsidR="007C6376" w:rsidRDefault="007C6376" w:rsidP="007C6376">
            <w:pPr>
              <w:spacing w:before="40" w:after="120"/>
              <w:ind w:right="113"/>
              <w:rPr>
                <w:lang w:val="fr-FR"/>
              </w:rPr>
            </w:pPr>
            <w:r w:rsidRPr="002B1D76">
              <w:rPr>
                <w:lang w:val="fr-FR"/>
              </w:rPr>
              <w:t>Renforcer les investissements dans l’électrification des véhicules et le développement d’infrastructures de mobilité durables</w:t>
            </w:r>
          </w:p>
          <w:p w14:paraId="29D6C3A5" w14:textId="77777777" w:rsidR="007C6376" w:rsidRDefault="007C6376" w:rsidP="007C6376">
            <w:pPr>
              <w:spacing w:before="40" w:after="120"/>
              <w:ind w:right="113"/>
              <w:rPr>
                <w:lang w:val="fr-FR"/>
              </w:rPr>
            </w:pPr>
            <w:r w:rsidRPr="002B1D76">
              <w:rPr>
                <w:lang w:val="fr-FR"/>
              </w:rPr>
              <w:t>Investir dans la décarbonation des systèmes de transport informels, promouvoir la réalisation de l’objectif de développement durable n</w:t>
            </w:r>
            <w:r w:rsidRPr="002B1D76">
              <w:rPr>
                <w:vertAlign w:val="superscript"/>
                <w:lang w:val="fr-FR"/>
              </w:rPr>
              <w:t>o</w:t>
            </w:r>
            <w:r w:rsidRPr="002B1D76">
              <w:rPr>
                <w:lang w:val="fr-FR"/>
              </w:rPr>
              <w:t> 11 et élaborer un programme mondial en faveur d’une transition et de transformations justes</w:t>
            </w:r>
          </w:p>
          <w:p w14:paraId="5CB96531" w14:textId="7121A363" w:rsidR="007C6376" w:rsidRPr="007C6376" w:rsidRDefault="007C6376" w:rsidP="007C6376">
            <w:pPr>
              <w:spacing w:before="40" w:after="120"/>
              <w:ind w:right="113"/>
            </w:pPr>
            <w:r w:rsidRPr="002B1D76">
              <w:rPr>
                <w:lang w:val="fr-FR"/>
              </w:rPr>
              <w:t>Doter les pays à faible revenu et à revenu intermédiaire des capacités nécessaires à l’établissement de cadres directifs intégrés et multimodaux</w:t>
            </w:r>
          </w:p>
        </w:tc>
        <w:tc>
          <w:tcPr>
            <w:tcW w:w="1389" w:type="dxa"/>
            <w:tcBorders>
              <w:bottom w:val="single" w:sz="12" w:space="0" w:color="auto"/>
            </w:tcBorders>
            <w:shd w:val="clear" w:color="auto" w:fill="auto"/>
          </w:tcPr>
          <w:p w14:paraId="4F6C01A9" w14:textId="451D0A58" w:rsidR="007C6376" w:rsidRPr="007C6376" w:rsidRDefault="007C6376" w:rsidP="007C6376">
            <w:pPr>
              <w:spacing w:before="40" w:after="120"/>
              <w:ind w:right="113"/>
            </w:pPr>
            <w:r w:rsidRPr="002B1D76">
              <w:rPr>
                <w:lang w:val="fr-FR"/>
              </w:rPr>
              <w:t>Information non disponible</w:t>
            </w:r>
          </w:p>
        </w:tc>
        <w:tc>
          <w:tcPr>
            <w:tcW w:w="1187" w:type="dxa"/>
            <w:tcBorders>
              <w:bottom w:val="single" w:sz="12" w:space="0" w:color="auto"/>
            </w:tcBorders>
            <w:shd w:val="clear" w:color="auto" w:fill="auto"/>
          </w:tcPr>
          <w:p w14:paraId="7D8889B5" w14:textId="3CD7444E" w:rsidR="007C6376" w:rsidRPr="007C6376" w:rsidRDefault="007C6376" w:rsidP="007C6376">
            <w:pPr>
              <w:spacing w:before="40" w:after="120"/>
              <w:ind w:right="113"/>
            </w:pPr>
            <w:r w:rsidRPr="002B1D76">
              <w:rPr>
                <w:lang w:val="fr-FR"/>
              </w:rPr>
              <w:t>Pays à revenu intermédiaire inférieur</w:t>
            </w:r>
          </w:p>
        </w:tc>
        <w:tc>
          <w:tcPr>
            <w:tcW w:w="1017" w:type="dxa"/>
            <w:tcBorders>
              <w:bottom w:val="single" w:sz="12" w:space="0" w:color="auto"/>
            </w:tcBorders>
            <w:shd w:val="clear" w:color="auto" w:fill="auto"/>
          </w:tcPr>
          <w:p w14:paraId="7A17D25F" w14:textId="67E2CBE5" w:rsidR="007C6376" w:rsidRPr="007C6376" w:rsidRDefault="007C6376" w:rsidP="00636CA8">
            <w:pPr>
              <w:spacing w:before="40" w:after="120"/>
            </w:pPr>
            <w:r w:rsidRPr="002B1D76">
              <w:rPr>
                <w:lang w:val="fr-FR"/>
              </w:rPr>
              <w:t>Transport urbain</w:t>
            </w:r>
          </w:p>
        </w:tc>
      </w:tr>
    </w:tbl>
    <w:p w14:paraId="3D617EDB" w14:textId="77777777" w:rsidR="002B1D76" w:rsidRPr="00501EF4" w:rsidRDefault="002B1D76" w:rsidP="007C6376">
      <w:pPr>
        <w:pStyle w:val="SingleTxtG"/>
        <w:spacing w:before="240"/>
        <w:rPr>
          <w:lang w:val="fr-FR"/>
        </w:rPr>
      </w:pPr>
      <w:r>
        <w:rPr>
          <w:lang w:val="fr-FR"/>
        </w:rPr>
        <w:t>48.</w:t>
      </w:r>
      <w:r>
        <w:rPr>
          <w:lang w:val="fr-FR"/>
        </w:rPr>
        <w:tab/>
        <w:t>Des engagements juridiquement non contraignants, adoptés en parallèle des négociations officielles de la COP, comme les initiatives lancées à la COP 26 et à la COP 27, peuvent encourager une action multipartite en faveur de l’application de l’Accord de Paris. De telles initiatives sont d’autant plus efficaces qu’elles font l’objet de procédures de suivi, d’examen et de vérification via des mécanismes mis en place au titre de la Convention-cadre des Nations Unies sur les changements climatiques (CCNUCC) et que les pays signataires en tiennent compte dans leurs contributions déterminées au niveau national. Fin 2022, les contributions des pays signataires ne comportaient toujours pas de références explicites aux engagements pris à la COP 26 dans le domaine des transports. Aujourd’hui encore, les contributions des pays signataires des initiatives lancées à la COP 26 et à la COP 27 ne sont guère alignées sur ces initiatives</w:t>
      </w:r>
      <w:r w:rsidRPr="002B1D76">
        <w:rPr>
          <w:rStyle w:val="Appelnotedebasdep"/>
        </w:rPr>
        <w:footnoteReference w:id="58"/>
      </w:r>
      <w:r>
        <w:rPr>
          <w:lang w:val="fr-FR"/>
        </w:rPr>
        <w:t>.</w:t>
      </w:r>
    </w:p>
    <w:p w14:paraId="604C62EF" w14:textId="77777777" w:rsidR="002B1D76" w:rsidRPr="00501EF4" w:rsidRDefault="002B1D76" w:rsidP="002B1D76">
      <w:pPr>
        <w:pStyle w:val="H23G"/>
        <w:rPr>
          <w:lang w:val="fr-FR"/>
        </w:rPr>
      </w:pPr>
      <w:r>
        <w:rPr>
          <w:lang w:val="fr-FR"/>
        </w:rPr>
        <w:tab/>
        <w:t>2.</w:t>
      </w:r>
      <w:r>
        <w:rPr>
          <w:lang w:val="fr-FR"/>
        </w:rPr>
        <w:tab/>
        <w:t>Programme de percées dans le secteur du transport routier</w:t>
      </w:r>
    </w:p>
    <w:p w14:paraId="6D7C60AF" w14:textId="1151E43C" w:rsidR="002B1D76" w:rsidRPr="00501EF4" w:rsidRDefault="002B1D76" w:rsidP="00636CA8">
      <w:pPr>
        <w:pStyle w:val="SingleTxtG"/>
        <w:rPr>
          <w:lang w:val="fr-FR"/>
        </w:rPr>
      </w:pPr>
      <w:r>
        <w:rPr>
          <w:lang w:val="fr-FR"/>
        </w:rPr>
        <w:t>49.</w:t>
      </w:r>
      <w:r>
        <w:rPr>
          <w:lang w:val="fr-FR"/>
        </w:rPr>
        <w:tab/>
        <w:t>Le Programme de percées, lancé par la présidence de la COP 26 (Royaume-Uni), est administré conjointement par l’initiative Mission Innovation et le Groupe ministériel sur l’énergie propre depuis la COP 27, avec le soutien des champions de haut niveau pour l’action climatique</w:t>
      </w:r>
      <w:r w:rsidRPr="002B1D76">
        <w:rPr>
          <w:rStyle w:val="Appelnotedebasdep"/>
        </w:rPr>
        <w:footnoteReference w:id="59"/>
      </w:r>
      <w:r>
        <w:rPr>
          <w:lang w:val="fr-FR"/>
        </w:rPr>
        <w:t>. Son objectif primordial est de faire des technologies propres et des solutions durables les options les plus abordables, accessibles et avantageuses avant 2030</w:t>
      </w:r>
      <w:r w:rsidRPr="002B1D76">
        <w:rPr>
          <w:rStyle w:val="Appelnotedebasdep"/>
        </w:rPr>
        <w:footnoteReference w:id="60"/>
      </w:r>
      <w:r>
        <w:rPr>
          <w:lang w:val="fr-FR"/>
        </w:rPr>
        <w:t xml:space="preserve">. Dans le </w:t>
      </w:r>
      <w:r>
        <w:rPr>
          <w:lang w:val="fr-FR"/>
        </w:rPr>
        <w:lastRenderedPageBreak/>
        <w:t xml:space="preserve">domaine du transport routier, les véhicules électriques à batterie et à pile à combustible devront notamment représenter une part importante des ventes, tous modes confondus. Le Programme de percées vise à définir une vision à long terme des questions relatives au financement, à l’investissement, aux chaînes d’approvisionnement, aux infrastructures et à la conjoncture commerciale. À la COP 27, les pays participant au Programme de percées dans le secteur du transport routier se sont engagés à prendre de concert des mesures coordonnées pour promouvoir la transition vers des véhicules à émission zéro et à faire le point sur les progrès accomplis à la COP 28. Ils coordonneront leur action avec les participants à d’autres initiatives mondiales et s’emploieront à créer des synergies. La coalition </w:t>
      </w:r>
      <w:proofErr w:type="spellStart"/>
      <w:r>
        <w:rPr>
          <w:lang w:val="fr-FR"/>
        </w:rPr>
        <w:t>Accelerating</w:t>
      </w:r>
      <w:proofErr w:type="spellEnd"/>
      <w:r>
        <w:rPr>
          <w:lang w:val="fr-FR"/>
        </w:rPr>
        <w:t xml:space="preserve"> to </w:t>
      </w:r>
      <w:proofErr w:type="spellStart"/>
      <w:r>
        <w:rPr>
          <w:lang w:val="fr-FR"/>
        </w:rPr>
        <w:t>Zero</w:t>
      </w:r>
      <w:proofErr w:type="spellEnd"/>
      <w:r>
        <w:rPr>
          <w:lang w:val="fr-FR"/>
        </w:rPr>
        <w:t xml:space="preserve"> (A2Z) a été chargée de coordonner l’action menée au titre de six initiatives</w:t>
      </w:r>
      <w:r>
        <w:rPr>
          <w:lang w:val="fr-FR"/>
        </w:rPr>
        <w:t> </w:t>
      </w:r>
      <w:r>
        <w:rPr>
          <w:lang w:val="fr-FR"/>
        </w:rPr>
        <w:t xml:space="preserve">: la déclaration sur les véhicules à émission zéro (ZEV </w:t>
      </w:r>
      <w:proofErr w:type="spellStart"/>
      <w:r>
        <w:rPr>
          <w:lang w:val="fr-FR"/>
        </w:rPr>
        <w:t>Declaration</w:t>
      </w:r>
      <w:proofErr w:type="spellEnd"/>
      <w:r>
        <w:rPr>
          <w:lang w:val="fr-FR"/>
        </w:rPr>
        <w:t xml:space="preserve">), l’Electric </w:t>
      </w:r>
      <w:proofErr w:type="spellStart"/>
      <w:r>
        <w:rPr>
          <w:lang w:val="fr-FR"/>
        </w:rPr>
        <w:t>Vehicles</w:t>
      </w:r>
      <w:proofErr w:type="spellEnd"/>
      <w:r>
        <w:rPr>
          <w:lang w:val="fr-FR"/>
        </w:rPr>
        <w:t xml:space="preserve"> Initiative, les initiatives EV100 et EV100+, le Mémorandum d’accord mondial sur les véhicules utilitaires moyens et lourds à émission zéro, et les engagements de la First </w:t>
      </w:r>
      <w:proofErr w:type="spellStart"/>
      <w:r>
        <w:rPr>
          <w:lang w:val="fr-FR"/>
        </w:rPr>
        <w:t>Movers</w:t>
      </w:r>
      <w:proofErr w:type="spellEnd"/>
      <w:r>
        <w:rPr>
          <w:lang w:val="fr-FR"/>
        </w:rPr>
        <w:t xml:space="preserve"> Coalition sur le camionnage</w:t>
      </w:r>
      <w:r w:rsidRPr="002B1D76">
        <w:rPr>
          <w:rStyle w:val="Appelnotedebasdep"/>
        </w:rPr>
        <w:footnoteReference w:id="61"/>
      </w:r>
      <w:r>
        <w:rPr>
          <w:lang w:val="fr-FR"/>
        </w:rPr>
        <w:t>.</w:t>
      </w:r>
    </w:p>
    <w:p w14:paraId="57960F10" w14:textId="77777777" w:rsidR="002B1D76" w:rsidRPr="00501EF4" w:rsidRDefault="002B1D76" w:rsidP="002B1D76">
      <w:pPr>
        <w:pStyle w:val="H23G"/>
        <w:rPr>
          <w:lang w:val="fr-FR"/>
        </w:rPr>
      </w:pPr>
      <w:r>
        <w:rPr>
          <w:lang w:val="fr-FR"/>
        </w:rPr>
        <w:tab/>
        <w:t>3.</w:t>
      </w:r>
      <w:r>
        <w:rPr>
          <w:lang w:val="fr-FR"/>
        </w:rPr>
        <w:tab/>
        <w:t>Activités menées par l’Organisation des Nations Unies dans le domaine des transports</w:t>
      </w:r>
    </w:p>
    <w:p w14:paraId="32CCAB76" w14:textId="55E9F413" w:rsidR="002B1D76" w:rsidRPr="00501EF4" w:rsidRDefault="002B1D76" w:rsidP="00636CA8">
      <w:pPr>
        <w:pStyle w:val="SingleTxtG"/>
        <w:rPr>
          <w:lang w:val="fr-FR"/>
        </w:rPr>
      </w:pPr>
      <w:r>
        <w:rPr>
          <w:lang w:val="fr-FR"/>
        </w:rPr>
        <w:t>50.</w:t>
      </w:r>
      <w:r>
        <w:rPr>
          <w:lang w:val="fr-FR"/>
        </w:rPr>
        <w:tab/>
        <w:t>L’ONU considère que la transition vers des transports durables est essentielle au développement durable et à la réalisation des objectifs de développement durable. Le rôle que les transports ont à jouer dans le développement durable est souligné dans les documents finaux de toutes les grandes conférences organisées sous l’égide de l’ONU, notamment dans les suivants</w:t>
      </w:r>
      <w:r>
        <w:rPr>
          <w:lang w:val="fr-FR"/>
        </w:rPr>
        <w:t> </w:t>
      </w:r>
      <w:r>
        <w:rPr>
          <w:lang w:val="fr-FR"/>
        </w:rPr>
        <w:t>:</w:t>
      </w:r>
    </w:p>
    <w:p w14:paraId="70DA8EC1" w14:textId="3C25E724"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Le plan Action 21, adopté à la Conférence des Nations Unies sur l’environnement et le développement, qui s’est tenue en 1992 à Rio de Janeiro (Brésil)</w:t>
      </w:r>
      <w:r w:rsidR="002B1D76">
        <w:rPr>
          <w:lang w:val="fr-FR"/>
        </w:rPr>
        <w:t> </w:t>
      </w:r>
      <w:r w:rsidR="002B1D76">
        <w:rPr>
          <w:lang w:val="fr-FR"/>
        </w:rPr>
        <w:t>;</w:t>
      </w:r>
    </w:p>
    <w:p w14:paraId="0BA3677F" w14:textId="38A8BB4A"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Le Plan de mise en œuvre de Johannesburg, adopté au Sommet mondial pour le développement durable, qui s’est tenu en 2002 à Johannesburg (Afrique du Sud)</w:t>
      </w:r>
      <w:r w:rsidR="002B1D76">
        <w:rPr>
          <w:lang w:val="fr-FR"/>
        </w:rPr>
        <w:t> </w:t>
      </w:r>
      <w:r w:rsidR="002B1D76">
        <w:rPr>
          <w:lang w:val="fr-FR"/>
        </w:rPr>
        <w:t>;</w:t>
      </w:r>
    </w:p>
    <w:p w14:paraId="16C61D79" w14:textId="68F5CC3A"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Le document intitulé « L’avenir que nous voulons », adopté à la Conférence des Nations Unies sur le développement durable (Rio +20), qui s’est tenue en 2012.</w:t>
      </w:r>
    </w:p>
    <w:p w14:paraId="4965767C" w14:textId="77777777" w:rsidR="002B1D76" w:rsidRPr="00501EF4" w:rsidRDefault="002B1D76" w:rsidP="00636CA8">
      <w:pPr>
        <w:pStyle w:val="SingleTxtG"/>
        <w:rPr>
          <w:lang w:val="fr-FR"/>
        </w:rPr>
      </w:pPr>
      <w:r>
        <w:rPr>
          <w:lang w:val="fr-FR"/>
        </w:rPr>
        <w:t>51.</w:t>
      </w:r>
      <w:r>
        <w:rPr>
          <w:lang w:val="fr-FR"/>
        </w:rPr>
        <w:tab/>
        <w:t>L’ONU a organisé deux conférences mondiales sur les transports durables. La première a eu lieu à Achgabat (Turkménistan) en 2016 et la seconde à Beijing (Chine) en 2021. À la deuxième conférence mondiale, le Secrétaire général de l’ONU, António Guterres, a souligné dans son discours d’ouverture l’importance de la décarbonation des transports. Il a défini trois priorités d’action</w:t>
      </w:r>
      <w:r w:rsidRPr="002B1D76">
        <w:rPr>
          <w:rStyle w:val="Appelnotedebasdep"/>
        </w:rPr>
        <w:footnoteReference w:id="62"/>
      </w:r>
      <w:r>
        <w:rPr>
          <w:lang w:val="fr-FR"/>
        </w:rPr>
        <w:t> :</w:t>
      </w:r>
    </w:p>
    <w:p w14:paraId="547F507B" w14:textId="77777777" w:rsidR="002B1D76" w:rsidRPr="00501EF4" w:rsidRDefault="002B1D76" w:rsidP="003324AA">
      <w:pPr>
        <w:pStyle w:val="SingleTxtG"/>
        <w:ind w:firstLine="567"/>
        <w:rPr>
          <w:b/>
          <w:bCs/>
          <w:lang w:val="fr-FR"/>
        </w:rPr>
      </w:pPr>
      <w:r>
        <w:rPr>
          <w:lang w:val="fr-FR"/>
        </w:rPr>
        <w:t>a)</w:t>
      </w:r>
      <w:r>
        <w:rPr>
          <w:lang w:val="fr-FR"/>
        </w:rPr>
        <w:tab/>
        <w:t>La production de véhicules à moteur à combustion interne doit être progressivement réduite, l’objectif étant d’y mettre un terme d’ici à 2035 dans les principaux pays producteurs et d’ici à 2040 dans les pays en développement ;</w:t>
      </w:r>
    </w:p>
    <w:p w14:paraId="333F6BEE" w14:textId="77777777" w:rsidR="002B1D76" w:rsidRPr="00501EF4" w:rsidRDefault="002B1D76" w:rsidP="003324AA">
      <w:pPr>
        <w:pStyle w:val="SingleTxtG"/>
        <w:ind w:firstLine="567"/>
        <w:rPr>
          <w:b/>
          <w:bCs/>
          <w:lang w:val="fr-FR"/>
        </w:rPr>
      </w:pPr>
      <w:r>
        <w:rPr>
          <w:lang w:val="fr-FR"/>
        </w:rPr>
        <w:t>b)</w:t>
      </w:r>
      <w:r>
        <w:rPr>
          <w:lang w:val="fr-FR"/>
        </w:rPr>
        <w:tab/>
        <w:t>Les navires à émission zéro doivent devenir la norme et être disponibles sur le marché d’ici à 2030 afin que le secteur du transport maritime ramène ses émissions à zéro d’ici à 2050 ;</w:t>
      </w:r>
    </w:p>
    <w:p w14:paraId="231C5CDC" w14:textId="77777777" w:rsidR="002B1D76" w:rsidRPr="00501EF4" w:rsidRDefault="002B1D76" w:rsidP="003324AA">
      <w:pPr>
        <w:pStyle w:val="SingleTxtG"/>
        <w:ind w:firstLine="567"/>
        <w:rPr>
          <w:b/>
          <w:bCs/>
          <w:lang w:val="fr-FR"/>
        </w:rPr>
      </w:pPr>
      <w:r>
        <w:rPr>
          <w:lang w:val="fr-FR"/>
        </w:rPr>
        <w:t>c)</w:t>
      </w:r>
      <w:r>
        <w:rPr>
          <w:lang w:val="fr-FR"/>
        </w:rPr>
        <w:tab/>
        <w:t>Les compagnies aériennes doivent commencer à utiliser des carburants d’aviation durables dès maintenant en vue de réduire les émissions de carbone par voyageur de 65 % d’ici à 2050.</w:t>
      </w:r>
    </w:p>
    <w:p w14:paraId="12231DC5" w14:textId="22FE8800" w:rsidR="002B1D76" w:rsidRPr="00501EF4" w:rsidRDefault="002B1D76" w:rsidP="00636CA8">
      <w:pPr>
        <w:pStyle w:val="SingleTxtG"/>
        <w:rPr>
          <w:lang w:val="fr-FR"/>
        </w:rPr>
      </w:pPr>
      <w:r>
        <w:rPr>
          <w:lang w:val="fr-FR"/>
        </w:rPr>
        <w:t>52.</w:t>
      </w:r>
      <w:r>
        <w:rPr>
          <w:lang w:val="fr-FR"/>
        </w:rPr>
        <w:tab/>
        <w:t>La deuxième conférence mondiale s’est conclue par l’adoption de la Déclaration de Beijing, un texte orienté vers l’action</w:t>
      </w:r>
      <w:r w:rsidRPr="002B1D76">
        <w:rPr>
          <w:rStyle w:val="Appelnotedebasdep"/>
        </w:rPr>
        <w:footnoteReference w:id="63"/>
      </w:r>
      <w:r>
        <w:rPr>
          <w:lang w:val="fr-FR"/>
        </w:rPr>
        <w:t>. En 2023, l’Assemblée générale des Nations Unies, par sa résolution 77/286, a proclamé le 26</w:t>
      </w:r>
      <w:r>
        <w:rPr>
          <w:lang w:val="fr-FR"/>
        </w:rPr>
        <w:t> </w:t>
      </w:r>
      <w:r>
        <w:rPr>
          <w:lang w:val="fr-FR"/>
        </w:rPr>
        <w:t>novembre Journée mondiale des transports durables.</w:t>
      </w:r>
    </w:p>
    <w:p w14:paraId="6839CABB" w14:textId="77777777" w:rsidR="002B1D76" w:rsidRPr="00501EF4" w:rsidRDefault="002B1D76" w:rsidP="00636CA8">
      <w:pPr>
        <w:pStyle w:val="SingleTxtG"/>
        <w:rPr>
          <w:lang w:val="fr-FR"/>
        </w:rPr>
      </w:pPr>
      <w:r>
        <w:rPr>
          <w:lang w:val="fr-FR"/>
        </w:rPr>
        <w:lastRenderedPageBreak/>
        <w:t>53.</w:t>
      </w:r>
      <w:r>
        <w:rPr>
          <w:lang w:val="fr-FR"/>
        </w:rPr>
        <w:tab/>
        <w:t>Ces textes témoignent de l’attention croissante que les transports ont suscitée ces dernières années au sein des forums de haut niveau des Nations Unies. La prochaine étape consistera à définir des cibles précises en matière de durabilité des transports pour montrer la voie aux pays et les aider à fixer leurs propres objectifs. Dans un projet de résolution soumis en novembre 2023 (A/C.2/78/L.27/rev.1), il est proposé de proclamer une décennie des Nations Unies pour le transport durable. Cette décennie, qui commencerait en 2026, offrirait une occasion unique d’élargir la portée d’éventuels objectifs mondiaux et d’envoyer ainsi, au niveau multilatéral, un message ambitieux et clair, qui guiderait les pays dans la définition de leurs stratégies nationales.</w:t>
      </w:r>
    </w:p>
    <w:p w14:paraId="0C2362AB" w14:textId="346FEB0E" w:rsidR="002B1D76" w:rsidRPr="00501EF4" w:rsidRDefault="002B1D76" w:rsidP="002B1D76">
      <w:pPr>
        <w:pStyle w:val="H1G"/>
        <w:rPr>
          <w:lang w:val="fr-FR"/>
        </w:rPr>
      </w:pPr>
      <w:r>
        <w:rPr>
          <w:lang w:val="fr-FR"/>
        </w:rPr>
        <w:tab/>
        <w:t>B.</w:t>
      </w:r>
      <w:r>
        <w:rPr>
          <w:lang w:val="fr-FR"/>
        </w:rPr>
        <w:tab/>
        <w:t xml:space="preserve">Contribution du secteur financier et du secteur privé </w:t>
      </w:r>
      <w:r w:rsidR="003324AA">
        <w:rPr>
          <w:lang w:val="fr-FR"/>
        </w:rPr>
        <w:br/>
      </w:r>
      <w:r>
        <w:rPr>
          <w:lang w:val="fr-FR"/>
        </w:rPr>
        <w:t>à la décarbonation des transports intérieurs</w:t>
      </w:r>
    </w:p>
    <w:p w14:paraId="448D01D4" w14:textId="4CA89C40" w:rsidR="002B1D76" w:rsidRPr="00501EF4" w:rsidRDefault="002B1D76" w:rsidP="00636CA8">
      <w:pPr>
        <w:pStyle w:val="SingleTxtG"/>
        <w:rPr>
          <w:vertAlign w:val="superscript"/>
          <w:lang w:val="fr-FR"/>
        </w:rPr>
      </w:pPr>
      <w:r>
        <w:rPr>
          <w:lang w:val="fr-FR"/>
        </w:rPr>
        <w:t>54.</w:t>
      </w:r>
      <w:r>
        <w:rPr>
          <w:lang w:val="fr-FR"/>
        </w:rPr>
        <w:tab/>
        <w:t>Pour réduire dans la mesure nécessaire les émissions de gaz à effet de serre du secteur des transports intérieurs, les pays devront prendre des mesures décisives, notamment adopter des réglementations favorables, mettre en place des mesures d’incitation fiscale et investir massivement dans le développement des infrastructures indispensables à la création de systèmes de transport à émissions faibles ou nulles. Le montant moyen des ressources allouées au financement de l’action climatique au cours de l’exercice fiscal 2019/20 était de 585</w:t>
      </w:r>
      <w:r>
        <w:rPr>
          <w:lang w:val="fr-FR"/>
        </w:rPr>
        <w:t> </w:t>
      </w:r>
      <w:r>
        <w:rPr>
          <w:lang w:val="fr-FR"/>
        </w:rPr>
        <w:t>milliards de dollars, soit moins du quart du montant estimatif des investissements requis pour atteindre les objectifs climatiques, et seule une petite partie de cette somme a été affectée à des projets de décarbonation des transports. Sur la même période, les fonds et investissements que les institutions internationales de financement du développement ont consacrés au secteur des transports se sont élevés à 169</w:t>
      </w:r>
      <w:r>
        <w:rPr>
          <w:lang w:val="fr-FR"/>
        </w:rPr>
        <w:t> </w:t>
      </w:r>
      <w:r>
        <w:rPr>
          <w:lang w:val="fr-FR"/>
        </w:rPr>
        <w:t>milliards de dollars</w:t>
      </w:r>
      <w:r w:rsidRPr="002B1D76">
        <w:rPr>
          <w:rStyle w:val="Appelnotedebasdep"/>
        </w:rPr>
        <w:footnoteReference w:id="64"/>
      </w:r>
      <w:r>
        <w:rPr>
          <w:lang w:val="fr-FR"/>
        </w:rPr>
        <w:t>. Ce montant est certes supérieur aux 136</w:t>
      </w:r>
      <w:r>
        <w:rPr>
          <w:lang w:val="fr-FR"/>
        </w:rPr>
        <w:t> </w:t>
      </w:r>
      <w:r>
        <w:rPr>
          <w:lang w:val="fr-FR"/>
        </w:rPr>
        <w:t>milliards de dollars de l’exercice 2017/18, mais il est encore loin d’être suffisant. Pour atteindre l’objectif d’un réchauffement planétaire limité à 1,5</w:t>
      </w:r>
      <w:r>
        <w:rPr>
          <w:lang w:val="fr-FR"/>
        </w:rPr>
        <w:t> </w:t>
      </w:r>
      <w:r>
        <w:rPr>
          <w:lang w:val="fr-FR"/>
        </w:rPr>
        <w:t>°C à l’horizon 2050 en améliorant l’efficience du transport routier, des investissements d’un montant de 3 000</w:t>
      </w:r>
      <w:r>
        <w:rPr>
          <w:lang w:val="fr-FR"/>
        </w:rPr>
        <w:t> </w:t>
      </w:r>
      <w:r>
        <w:rPr>
          <w:lang w:val="fr-FR"/>
        </w:rPr>
        <w:t>milliards de dollars sont nécessaires</w:t>
      </w:r>
      <w:r w:rsidRPr="002B1D76">
        <w:rPr>
          <w:rStyle w:val="Appelnotedebasdep"/>
        </w:rPr>
        <w:footnoteReference w:id="65"/>
      </w:r>
      <w:r>
        <w:rPr>
          <w:lang w:val="fr-FR"/>
        </w:rPr>
        <w:t>.</w:t>
      </w:r>
    </w:p>
    <w:p w14:paraId="708BF555" w14:textId="49B7B975" w:rsidR="002B1D76" w:rsidRPr="00501EF4" w:rsidRDefault="002B1D76" w:rsidP="00636CA8">
      <w:pPr>
        <w:pStyle w:val="SingleTxtG"/>
        <w:rPr>
          <w:lang w:val="fr-FR"/>
        </w:rPr>
      </w:pPr>
      <w:r>
        <w:rPr>
          <w:lang w:val="fr-FR"/>
        </w:rPr>
        <w:t>55.</w:t>
      </w:r>
      <w:r>
        <w:rPr>
          <w:lang w:val="fr-FR"/>
        </w:rPr>
        <w:tab/>
        <w:t>Outre que le financement de l’action climatique est insuffisant, il existe un profond déséquilibre dans la répartition des investissements. En Afrique et dans les Amériques, le transport routier a capté les trois quarts environ de l’ensemble des fonds investis dans le développement des infrastructures de transport en 2022</w:t>
      </w:r>
      <w:r w:rsidRPr="002B1D76">
        <w:rPr>
          <w:rStyle w:val="Appelnotedebasdep"/>
        </w:rPr>
        <w:footnoteReference w:id="66"/>
      </w:r>
      <w:r>
        <w:rPr>
          <w:lang w:val="fr-FR"/>
        </w:rPr>
        <w:t>. Le secteur des transports a été l’un des principaux bénéficiaires des investissements engagés au titre du relèvement post</w:t>
      </w:r>
      <w:r w:rsidR="003324AA">
        <w:rPr>
          <w:lang w:val="fr-FR"/>
        </w:rPr>
        <w:noBreakHyphen/>
      </w:r>
      <w:r>
        <w:rPr>
          <w:lang w:val="fr-FR"/>
        </w:rPr>
        <w:t>COVID-19. Dans les pays du Groupe des Vingt (G20), la plus grande part des ressources affectées au secteur des transports dans le cadre des plans de relance est allée au transport ferroviaire et au transport routier, tandis que pratiquement aucun financement n’a été alloué à la mobilité active. Une telle répartition cadre avec la logique d’investissement observée dans les pays du G20 ces dernières années</w:t>
      </w:r>
      <w:r w:rsidRPr="002B1D76">
        <w:rPr>
          <w:rStyle w:val="Appelnotedebasdep"/>
        </w:rPr>
        <w:footnoteReference w:id="67"/>
      </w:r>
      <w:r>
        <w:rPr>
          <w:lang w:val="fr-FR"/>
        </w:rPr>
        <w:t>. Les subventions aux combustibles fossiles ont continué de croître, augmentant de 27 % en 2021 pour atteindre 227</w:t>
      </w:r>
      <w:r>
        <w:rPr>
          <w:lang w:val="fr-FR"/>
        </w:rPr>
        <w:t> </w:t>
      </w:r>
      <w:r>
        <w:rPr>
          <w:lang w:val="fr-FR"/>
        </w:rPr>
        <w:t>milliards de dollars. Les pays devraient s’efforcer d’éliminer ces subventions et de réorienter les fonds vers le développement de systèmes de transport plus durables, à faible émission de carbone</w:t>
      </w:r>
      <w:r w:rsidRPr="002B1D76">
        <w:rPr>
          <w:rStyle w:val="Appelnotedebasdep"/>
        </w:rPr>
        <w:footnoteReference w:id="68"/>
      </w:r>
      <w:r>
        <w:rPr>
          <w:lang w:val="fr-FR"/>
        </w:rPr>
        <w:t>.</w:t>
      </w:r>
    </w:p>
    <w:p w14:paraId="444FBD7B" w14:textId="5237BF30" w:rsidR="002B1D76" w:rsidRPr="00501EF4" w:rsidRDefault="002B1D76" w:rsidP="00636CA8">
      <w:pPr>
        <w:pStyle w:val="SingleTxtG"/>
        <w:rPr>
          <w:lang w:val="fr-FR"/>
        </w:rPr>
      </w:pPr>
      <w:r>
        <w:rPr>
          <w:lang w:val="fr-FR"/>
        </w:rPr>
        <w:t>56.</w:t>
      </w:r>
      <w:r>
        <w:rPr>
          <w:lang w:val="fr-FR"/>
        </w:rPr>
        <w:tab/>
        <w:t>Il y a en outre de considérables besoins de renforcement des capacités puisque, d’après les estimations, il manque au moins 250 000</w:t>
      </w:r>
      <w:r>
        <w:rPr>
          <w:lang w:val="fr-FR"/>
        </w:rPr>
        <w:t> </w:t>
      </w:r>
      <w:r>
        <w:rPr>
          <w:lang w:val="fr-FR"/>
        </w:rPr>
        <w:t xml:space="preserve">spécialistes de la planification des transports urbains dans les pays à faible revenu et à revenu intermédiaire. De surcroît, cette estimation n’englobe pas les nombreux travailleurs qualifiés dont les pays ont besoin, aux niveaux </w:t>
      </w:r>
      <w:r>
        <w:rPr>
          <w:lang w:val="fr-FR"/>
        </w:rPr>
        <w:lastRenderedPageBreak/>
        <w:t>national et local, dans le domaine de la planification des transports non urbains et dans d’autres domaines connexes, comme l’urbanisation et l’aménagement du territoire</w:t>
      </w:r>
      <w:r w:rsidRPr="002B1D76">
        <w:rPr>
          <w:rStyle w:val="Appelnotedebasdep"/>
        </w:rPr>
        <w:footnoteReference w:id="69"/>
      </w:r>
      <w:r>
        <w:rPr>
          <w:lang w:val="fr-FR"/>
        </w:rPr>
        <w:t>.</w:t>
      </w:r>
    </w:p>
    <w:p w14:paraId="4224FE69" w14:textId="2852A116" w:rsidR="002B1D76" w:rsidRPr="00501EF4" w:rsidRDefault="002B1D76" w:rsidP="002B1D76">
      <w:pPr>
        <w:pStyle w:val="H23G"/>
        <w:rPr>
          <w:lang w:val="fr-FR"/>
        </w:rPr>
      </w:pPr>
      <w:r>
        <w:rPr>
          <w:lang w:val="fr-FR"/>
        </w:rPr>
        <w:tab/>
        <w:t>1.</w:t>
      </w:r>
      <w:r>
        <w:rPr>
          <w:lang w:val="fr-FR"/>
        </w:rPr>
        <w:tab/>
        <w:t xml:space="preserve">Alignement des opérations des banques multilatérales de développement </w:t>
      </w:r>
      <w:r w:rsidR="003324AA">
        <w:rPr>
          <w:lang w:val="fr-FR"/>
        </w:rPr>
        <w:br/>
      </w:r>
      <w:r>
        <w:rPr>
          <w:lang w:val="fr-FR"/>
        </w:rPr>
        <w:t>sur les objectifs de l’Accord de Paris</w:t>
      </w:r>
    </w:p>
    <w:p w14:paraId="2040DD1C" w14:textId="21ACACC3" w:rsidR="002B1D76" w:rsidRPr="00501EF4" w:rsidRDefault="002B1D76" w:rsidP="00636CA8">
      <w:pPr>
        <w:pStyle w:val="SingleTxtG"/>
        <w:rPr>
          <w:lang w:val="fr-FR"/>
        </w:rPr>
      </w:pPr>
      <w:r>
        <w:rPr>
          <w:lang w:val="fr-FR"/>
        </w:rPr>
        <w:t>57.</w:t>
      </w:r>
      <w:r>
        <w:rPr>
          <w:lang w:val="fr-FR"/>
        </w:rPr>
        <w:tab/>
        <w:t>Les banques multilatérales de développement jouent un rôle important dans le financement mondial de l’action climatique. Les plus grandes sont parvenues à mobiliser plus de 30</w:t>
      </w:r>
      <w:r>
        <w:rPr>
          <w:lang w:val="fr-FR"/>
        </w:rPr>
        <w:t> </w:t>
      </w:r>
      <w:r>
        <w:rPr>
          <w:lang w:val="fr-FR"/>
        </w:rPr>
        <w:t>fois leur capital libéré depuis leur création et elles relèvent régulièrement leurs objectifs de financement de la lutte contre les changements climatiques</w:t>
      </w:r>
      <w:r w:rsidRPr="002B1D76">
        <w:rPr>
          <w:rStyle w:val="Appelnotedebasdep"/>
        </w:rPr>
        <w:footnoteReference w:id="70"/>
      </w:r>
      <w:r>
        <w:rPr>
          <w:lang w:val="fr-FR"/>
        </w:rPr>
        <w:t>.</w:t>
      </w:r>
    </w:p>
    <w:p w14:paraId="736F4247" w14:textId="77777777" w:rsidR="002B1D76" w:rsidRPr="00501EF4" w:rsidRDefault="002B1D76" w:rsidP="00636CA8">
      <w:pPr>
        <w:pStyle w:val="SingleTxtG"/>
        <w:rPr>
          <w:lang w:val="fr-FR"/>
        </w:rPr>
      </w:pPr>
      <w:r>
        <w:rPr>
          <w:lang w:val="fr-FR"/>
        </w:rPr>
        <w:t>58.</w:t>
      </w:r>
      <w:r>
        <w:rPr>
          <w:lang w:val="fr-FR"/>
        </w:rPr>
        <w:tab/>
        <w:t>Les banques multilatérales de développement pourraient utiliser leur grande influence pour stimuler l’investissement privé et aider les pays à opérer une transition vers la sortie des combustibles fossiles en accordant davantage de dons et de prêts concessionnels</w:t>
      </w:r>
      <w:r w:rsidRPr="002B1D76">
        <w:rPr>
          <w:rStyle w:val="Appelnotedebasdep"/>
        </w:rPr>
        <w:footnoteReference w:id="71"/>
      </w:r>
      <w:r>
        <w:rPr>
          <w:lang w:val="fr-FR"/>
        </w:rPr>
        <w:t>. Elles pourraient aussi redoubler d’efforts pour aligner progressivement leurs opérations sur les objectifs de l’Accord de Paris, aider les pays clients à élaborer et à mettre en œuvre des contributions déterminées au niveau national plus ambitieuses, et soutenir plus résolument la réalisation des objectifs de développement durable</w:t>
      </w:r>
      <w:r w:rsidRPr="002B1D76">
        <w:rPr>
          <w:rStyle w:val="Appelnotedebasdep"/>
        </w:rPr>
        <w:footnoteReference w:id="72"/>
      </w:r>
      <w:r>
        <w:rPr>
          <w:lang w:val="fr-FR"/>
        </w:rPr>
        <w:t>.</w:t>
      </w:r>
    </w:p>
    <w:p w14:paraId="0E4E8619" w14:textId="77777777" w:rsidR="002B1D76" w:rsidRPr="00501EF4" w:rsidRDefault="002B1D76" w:rsidP="002B1D76">
      <w:pPr>
        <w:pStyle w:val="H23G"/>
        <w:rPr>
          <w:lang w:val="fr-FR"/>
        </w:rPr>
      </w:pPr>
      <w:bookmarkStart w:id="9" w:name="_4i7ojhp" w:colFirst="0" w:colLast="0"/>
      <w:bookmarkEnd w:id="9"/>
      <w:r>
        <w:rPr>
          <w:lang w:val="fr-FR"/>
        </w:rPr>
        <w:tab/>
        <w:t>2.</w:t>
      </w:r>
      <w:r>
        <w:rPr>
          <w:lang w:val="fr-FR"/>
        </w:rPr>
        <w:tab/>
        <w:t>Mobilisation du secteur privé</w:t>
      </w:r>
    </w:p>
    <w:p w14:paraId="757B1A90" w14:textId="7246B8F5" w:rsidR="002B1D76" w:rsidRPr="00501EF4" w:rsidRDefault="002B1D76" w:rsidP="00636CA8">
      <w:pPr>
        <w:pStyle w:val="SingleTxtG"/>
        <w:rPr>
          <w:lang w:val="fr-FR"/>
        </w:rPr>
      </w:pPr>
      <w:r>
        <w:rPr>
          <w:lang w:val="fr-FR"/>
        </w:rPr>
        <w:t>59.</w:t>
      </w:r>
      <w:r>
        <w:rPr>
          <w:lang w:val="fr-FR"/>
        </w:rPr>
        <w:tab/>
        <w:t>Diverses parties prenantes du secteur privé sont prêtes à jouer un rôle de chef de file dans la décarbonation du secteur des transports, notamment les constructeurs automobiles, les prestataires et exploitants de services de transport en commun et de transport de marchandises, ainsi que les entreprises tributaires de services de transport. Il est nécessaire, pour accélérer cette décarbonation, de faire participer davantage l’ensemble des acteurs du secteur privé, en particulier les petites et moyennes entreprises. En effet, en 2022, les ambitions du secteur privé demeuraient insuffisantes pour que l’objectif d’un réchauffement planétaire limité à 1,5</w:t>
      </w:r>
      <w:r>
        <w:rPr>
          <w:lang w:val="fr-FR"/>
        </w:rPr>
        <w:t> </w:t>
      </w:r>
      <w:r>
        <w:rPr>
          <w:lang w:val="fr-FR"/>
        </w:rPr>
        <w:t>°C soit atteignable.</w:t>
      </w:r>
    </w:p>
    <w:p w14:paraId="0EB6E9F8" w14:textId="121D537D" w:rsidR="002B1D76" w:rsidRPr="00843CE3" w:rsidRDefault="002B1D76" w:rsidP="00636CA8">
      <w:pPr>
        <w:pStyle w:val="SingleTxtG"/>
        <w:rPr>
          <w:vertAlign w:val="superscript"/>
          <w:lang w:val="fr-FR"/>
        </w:rPr>
      </w:pPr>
      <w:r>
        <w:rPr>
          <w:lang w:val="fr-FR"/>
        </w:rPr>
        <w:t>60.</w:t>
      </w:r>
      <w:r>
        <w:rPr>
          <w:lang w:val="fr-FR"/>
        </w:rPr>
        <w:tab/>
        <w:t>Dans l’ensemble, les entreprises font preuve d’un dynamisme croissant dans la lutte contre les changements climatiques. Elles sont plus nombreuses, depuis l’adoption de l’Accord de Paris, à s’être fixé des objectifs de réduction de leurs émissions, à publier des informations en lien avec le climat et à avoir établi des plans de transition. Toutefois, il est ressorti d’une enquête que jusqu’à 74 % des plans élaborés par 930</w:t>
      </w:r>
      <w:r>
        <w:rPr>
          <w:lang w:val="fr-FR"/>
        </w:rPr>
        <w:t> </w:t>
      </w:r>
      <w:r>
        <w:rPr>
          <w:lang w:val="fr-FR"/>
        </w:rPr>
        <w:t>entreprises de services de transport du monde entier manquaient de crédibilité en raison de l’absence d’éléments clefs (gouvernance, planification financière, initiatives axées sur les chaînes de valeur, suivi des objectifs et comptabilisation des émissions avec procédures de vérification, etc.)</w:t>
      </w:r>
      <w:r w:rsidRPr="002B1D76">
        <w:rPr>
          <w:rStyle w:val="Appelnotedebasdep"/>
        </w:rPr>
        <w:footnoteReference w:id="73"/>
      </w:r>
      <w:r>
        <w:rPr>
          <w:lang w:val="fr-FR"/>
        </w:rPr>
        <w:t>.</w:t>
      </w:r>
    </w:p>
    <w:p w14:paraId="1A3A990D" w14:textId="0EC1A141" w:rsidR="002B1D76" w:rsidRPr="00501EF4" w:rsidRDefault="002B1D76" w:rsidP="00636CA8">
      <w:pPr>
        <w:pStyle w:val="SingleTxtG"/>
        <w:rPr>
          <w:lang w:val="fr-FR"/>
        </w:rPr>
      </w:pPr>
      <w:r>
        <w:rPr>
          <w:lang w:val="fr-FR"/>
        </w:rPr>
        <w:t>61.</w:t>
      </w:r>
      <w:r>
        <w:rPr>
          <w:lang w:val="fr-FR"/>
        </w:rPr>
        <w:tab/>
        <w:t>Parmi les 114</w:t>
      </w:r>
      <w:r>
        <w:rPr>
          <w:lang w:val="fr-FR"/>
        </w:rPr>
        <w:t> </w:t>
      </w:r>
      <w:r>
        <w:rPr>
          <w:lang w:val="fr-FR"/>
        </w:rPr>
        <w:t xml:space="preserve">entreprises de transport qui participaient à l’initiative Science </w:t>
      </w:r>
      <w:proofErr w:type="spellStart"/>
      <w:r>
        <w:rPr>
          <w:lang w:val="fr-FR"/>
        </w:rPr>
        <w:t>Based</w:t>
      </w:r>
      <w:proofErr w:type="spellEnd"/>
      <w:r>
        <w:rPr>
          <w:lang w:val="fr-FR"/>
        </w:rPr>
        <w:t xml:space="preserve"> </w:t>
      </w:r>
      <w:proofErr w:type="spellStart"/>
      <w:r>
        <w:rPr>
          <w:lang w:val="fr-FR"/>
        </w:rPr>
        <w:t>Targets</w:t>
      </w:r>
      <w:proofErr w:type="spellEnd"/>
      <w:r>
        <w:rPr>
          <w:lang w:val="fr-FR"/>
        </w:rPr>
        <w:t xml:space="preserve"> en mars 2023, 71 (62 %) s’étaient fixé des objectifs de réduction de leurs émissions de gaz à effet de serre et 43 (38 %) avaient vu leurs objectifs approuvés. Davantage d’entreprises </w:t>
      </w:r>
      <w:r>
        <w:rPr>
          <w:lang w:val="fr-FR"/>
        </w:rPr>
        <w:lastRenderedPageBreak/>
        <w:t>leur embo</w:t>
      </w:r>
      <w:r>
        <w:rPr>
          <w:lang w:val="fr-FR"/>
        </w:rPr>
        <w:t>î</w:t>
      </w:r>
      <w:r>
        <w:rPr>
          <w:lang w:val="fr-FR"/>
        </w:rPr>
        <w:t>teront sans doute le pas une fois que les responsables de l’initiative auront publié leurs directives sectorielles</w:t>
      </w:r>
      <w:r w:rsidRPr="002B1D76">
        <w:rPr>
          <w:rStyle w:val="Appelnotedebasdep"/>
        </w:rPr>
        <w:footnoteReference w:id="74"/>
      </w:r>
      <w:r>
        <w:rPr>
          <w:lang w:val="fr-FR"/>
        </w:rPr>
        <w:t>.</w:t>
      </w:r>
    </w:p>
    <w:p w14:paraId="550E45EA" w14:textId="26E60571" w:rsidR="002B1D76" w:rsidRPr="00501EF4" w:rsidRDefault="002B1D76" w:rsidP="00636CA8">
      <w:pPr>
        <w:pStyle w:val="SingleTxtG"/>
        <w:rPr>
          <w:lang w:val="fr-FR"/>
        </w:rPr>
      </w:pPr>
      <w:r>
        <w:rPr>
          <w:lang w:val="fr-FR"/>
        </w:rPr>
        <w:t>62.</w:t>
      </w:r>
      <w:r>
        <w:rPr>
          <w:lang w:val="fr-FR"/>
        </w:rPr>
        <w:tab/>
        <w:t>En 2021, la World Benchmarking Alliance a procédé à une analyse comparative de 30</w:t>
      </w:r>
      <w:r>
        <w:rPr>
          <w:lang w:val="fr-FR"/>
        </w:rPr>
        <w:t> </w:t>
      </w:r>
      <w:r>
        <w:rPr>
          <w:lang w:val="fr-FR"/>
        </w:rPr>
        <w:t>constructeurs automobiles. Elle a constaté que 17 de ces constructeurs (56 %) avaient défini des cibles de réduction de leurs émissions et que 25 (83 %) s’étaient donné pour objectif d’augmenter leurs ventes de véhicules à faible émission, notamment de véhicules électriques à batterie, de véhicules hybrides rechargeables et de véhicules à pile à combustible (voitures et camionnettes)</w:t>
      </w:r>
      <w:r w:rsidRPr="002B1D76">
        <w:rPr>
          <w:rStyle w:val="Appelnotedebasdep"/>
        </w:rPr>
        <w:footnoteReference w:id="75"/>
      </w:r>
      <w:r>
        <w:rPr>
          <w:lang w:val="fr-FR"/>
        </w:rPr>
        <w:t>. Toutefois, aucun n’avait fixé des cibles qui couvraient l’ensemble de ses activités et étaient pleinement en phase avec le scénario des 1,5</w:t>
      </w:r>
      <w:r>
        <w:rPr>
          <w:lang w:val="fr-FR"/>
        </w:rPr>
        <w:t> </w:t>
      </w:r>
      <w:r>
        <w:rPr>
          <w:lang w:val="fr-FR"/>
        </w:rPr>
        <w:t>°C de l’Agence internationale de l’énergie (AIE), qui prévoyait une réduction drastique des émissions des voitures particulières et utilitaires légers</w:t>
      </w:r>
      <w:r w:rsidRPr="002B1D76">
        <w:rPr>
          <w:rStyle w:val="Appelnotedebasdep"/>
        </w:rPr>
        <w:footnoteReference w:id="76"/>
      </w:r>
      <w:r>
        <w:rPr>
          <w:lang w:val="fr-FR"/>
        </w:rPr>
        <w:t>.</w:t>
      </w:r>
    </w:p>
    <w:p w14:paraId="1F9CF2B5" w14:textId="767A62D4" w:rsidR="002B1D76" w:rsidRPr="00501EF4" w:rsidRDefault="002B1D76" w:rsidP="00636CA8">
      <w:pPr>
        <w:pStyle w:val="SingleTxtG"/>
        <w:rPr>
          <w:lang w:val="fr-FR"/>
        </w:rPr>
      </w:pPr>
      <w:r>
        <w:rPr>
          <w:lang w:val="fr-FR"/>
        </w:rPr>
        <w:t>63.</w:t>
      </w:r>
      <w:r>
        <w:rPr>
          <w:lang w:val="fr-FR"/>
        </w:rPr>
        <w:tab/>
        <w:t>Pour que l’objectif des 1,5</w:t>
      </w:r>
      <w:r>
        <w:rPr>
          <w:lang w:val="fr-FR"/>
        </w:rPr>
        <w:t> </w:t>
      </w:r>
      <w:r>
        <w:rPr>
          <w:lang w:val="fr-FR"/>
        </w:rPr>
        <w:t>°C tel que défini par l’AIE soit atteignable, la production de véhicules électriques à batterie et à pile à combustible devra représenter 52 % de la production totale de véhicules à l’échelle mondiale d’ici à 2029</w:t>
      </w:r>
      <w:r w:rsidRPr="002B1D76">
        <w:rPr>
          <w:rStyle w:val="Appelnotedebasdep"/>
        </w:rPr>
        <w:footnoteReference w:id="77"/>
      </w:r>
      <w:r>
        <w:rPr>
          <w:lang w:val="fr-FR"/>
        </w:rPr>
        <w:t>.</w:t>
      </w:r>
    </w:p>
    <w:p w14:paraId="6317D548" w14:textId="77777777" w:rsidR="002B1D76" w:rsidRPr="00501EF4" w:rsidRDefault="002B1D76" w:rsidP="002B1D76">
      <w:pPr>
        <w:pStyle w:val="H23G"/>
        <w:rPr>
          <w:lang w:val="fr-FR"/>
        </w:rPr>
      </w:pPr>
      <w:r>
        <w:rPr>
          <w:lang w:val="fr-FR"/>
        </w:rPr>
        <w:tab/>
        <w:t>3.</w:t>
      </w:r>
      <w:r>
        <w:rPr>
          <w:lang w:val="fr-FR"/>
        </w:rPr>
        <w:tab/>
        <w:t>Accélérer l’action climatique des acteurs privés</w:t>
      </w:r>
    </w:p>
    <w:p w14:paraId="245E0898" w14:textId="77777777" w:rsidR="002B1D76" w:rsidRPr="00501EF4" w:rsidRDefault="002B1D76" w:rsidP="00636CA8">
      <w:pPr>
        <w:pStyle w:val="SingleTxtG"/>
        <w:rPr>
          <w:lang w:val="fr-FR"/>
        </w:rPr>
      </w:pPr>
      <w:r>
        <w:rPr>
          <w:lang w:val="fr-FR"/>
        </w:rPr>
        <w:t>64.</w:t>
      </w:r>
      <w:r>
        <w:rPr>
          <w:lang w:val="fr-FR"/>
        </w:rPr>
        <w:tab/>
        <w:t>Les entreprises peuvent rendre leurs plans de transition climatique plus exhaustifs en veillant à ce que ceux-ci détaillent les mesures de réduction des émissions prévues, précisent la façon dont l’action climatique est intégrée dans leur gouvernance, leurs stratégies, leurs campagnes de lobbying et leurs activités de sensibilisation, et prévoient une transition juste pour les travailleurs, les fournisseurs et les communautés</w:t>
      </w:r>
      <w:r w:rsidRPr="002B1D76">
        <w:rPr>
          <w:rStyle w:val="Appelnotedebasdep"/>
        </w:rPr>
        <w:footnoteReference w:id="78"/>
      </w:r>
      <w:r>
        <w:rPr>
          <w:lang w:val="fr-FR"/>
        </w:rPr>
        <w:t>. Dans le cas des transports intérieurs, les mesures devraient être articulées autour du cadre « éviter-changer-améliorer » et tenir compte des questions de genre. Les entreprises devraient compenser les émissions non réduites en achetant des crédits d’émission de carbone, et veiller à n’acheter ces crédits que sur des marchés soumis à des normes d’intégrité élevées.</w:t>
      </w:r>
    </w:p>
    <w:p w14:paraId="467C761A" w14:textId="38BA1031" w:rsidR="002B1D76" w:rsidRPr="00501EF4" w:rsidRDefault="002B1D76" w:rsidP="00636CA8">
      <w:pPr>
        <w:pStyle w:val="SingleTxtG"/>
        <w:rPr>
          <w:lang w:val="fr-FR"/>
        </w:rPr>
      </w:pPr>
      <w:r>
        <w:rPr>
          <w:lang w:val="fr-FR"/>
        </w:rPr>
        <w:t>65.</w:t>
      </w:r>
      <w:r>
        <w:rPr>
          <w:lang w:val="fr-FR"/>
        </w:rPr>
        <w:tab/>
        <w:t xml:space="preserve">Parmi les ressources à la disposition du secteur privé et les bonnes pratiques dont les entreprises peuvent s’inspirer, on peut citer : l’initiative Science </w:t>
      </w:r>
      <w:proofErr w:type="spellStart"/>
      <w:r>
        <w:rPr>
          <w:lang w:val="fr-FR"/>
        </w:rPr>
        <w:t>Based</w:t>
      </w:r>
      <w:proofErr w:type="spellEnd"/>
      <w:r>
        <w:rPr>
          <w:lang w:val="fr-FR"/>
        </w:rPr>
        <w:t xml:space="preserve"> </w:t>
      </w:r>
      <w:proofErr w:type="spellStart"/>
      <w:r>
        <w:rPr>
          <w:lang w:val="fr-FR"/>
        </w:rPr>
        <w:t>Targets</w:t>
      </w:r>
      <w:proofErr w:type="spellEnd"/>
      <w:r>
        <w:rPr>
          <w:lang w:val="fr-FR"/>
        </w:rPr>
        <w:t>, qui propose des méthodes strictes de définition d’objectifs climatiques et d’évaluation des progrès accomplis dans leur réalisation ; les normes d’information sur le climat du Conseil international des normes de durabilité, qui aident les entreprises à publier des informations sur la durabilité de leurs activités pour répondre aux besoins des investisseurs ; la directive de l’UE sur la publication d’informations en matière de durabilité par les entreprises, qui impose aux grandes entreprises européennes de publier des informations sur la durabilité de leurs activités pour informer les investisseurs et autres parties prenantes</w:t>
      </w:r>
      <w:r w:rsidRPr="002B1D76">
        <w:rPr>
          <w:rStyle w:val="Appelnotedebasdep"/>
        </w:rPr>
        <w:footnoteReference w:id="79"/>
      </w:r>
      <w:r>
        <w:rPr>
          <w:lang w:val="fr-FR"/>
        </w:rPr>
        <w:t xml:space="preserve">. Pour prévenir l’écoblanchiment et amplifier la mobilisation du secteur privé, les entreprises doivent veiller à ce que leurs plans soient fondés sur des mesures crédibles, prévoient des activités de sensibilisation et respectent </w:t>
      </w:r>
      <w:r>
        <w:rPr>
          <w:lang w:val="fr-FR"/>
        </w:rPr>
        <w:lastRenderedPageBreak/>
        <w:t xml:space="preserve">le principe de responsabilité. Le Groupe d’experts de haut niveau sur les engagements des entités non étatiques en faveur du zéro émission nette a énoncé cinq principes et </w:t>
      </w:r>
      <w:r w:rsidR="00B4781B">
        <w:rPr>
          <w:lang w:val="fr-FR"/>
        </w:rPr>
        <w:t>10</w:t>
      </w:r>
      <w:r>
        <w:rPr>
          <w:lang w:val="fr-FR"/>
        </w:rPr>
        <w:t xml:space="preserve"> recommandations que les entreprises sont invitées à suivre pour éviter que leurs engagements en faveur de la neutralité carbone conduisent à de l’écoblanchiment (voir l’encadré 1)</w:t>
      </w:r>
      <w:r w:rsidRPr="002B1D76">
        <w:rPr>
          <w:rStyle w:val="Appelnotedebasdep"/>
        </w:rPr>
        <w:footnoteReference w:id="80"/>
      </w:r>
      <w:r>
        <w:rPr>
          <w:lang w:val="fr-FR"/>
        </w:rPr>
        <w:t>.</w:t>
      </w:r>
    </w:p>
    <w:tbl>
      <w:tblPr>
        <w:tblStyle w:val="Grilledutableau"/>
        <w:tblW w:w="7653" w:type="dxa"/>
        <w:jc w:val="center"/>
        <w:tblBorders>
          <w:top w:val="none" w:sz="0" w:space="0" w:color="auto"/>
          <w:left w:val="none" w:sz="0" w:space="0" w:color="auto"/>
          <w:bottom w:val="none" w:sz="0" w:space="0" w:color="auto"/>
          <w:right w:val="none" w:sz="0" w:space="0" w:color="auto"/>
          <w:insideH w:val="none" w:sz="0" w:space="0" w:color="auto"/>
        </w:tblBorders>
        <w:tblLayout w:type="fixed"/>
        <w:tblCellMar>
          <w:left w:w="142" w:type="dxa"/>
          <w:right w:w="142" w:type="dxa"/>
        </w:tblCellMar>
        <w:tblLook w:val="04A0" w:firstRow="1" w:lastRow="0" w:firstColumn="1" w:lastColumn="0" w:noHBand="0" w:noVBand="1"/>
      </w:tblPr>
      <w:tblGrid>
        <w:gridCol w:w="7653"/>
      </w:tblGrid>
      <w:tr w:rsidR="00B4781B" w14:paraId="48CD0A9F" w14:textId="77777777">
        <w:trPr>
          <w:trHeight w:hRule="exact" w:val="240"/>
          <w:jc w:val="center"/>
        </w:trPr>
        <w:tc>
          <w:tcPr>
            <w:tcW w:w="7653" w:type="dxa"/>
            <w:tcBorders>
              <w:top w:val="single" w:sz="4" w:space="0" w:color="auto"/>
              <w:left w:val="single" w:sz="4" w:space="0" w:color="auto"/>
              <w:bottom w:val="nil"/>
              <w:right w:val="single" w:sz="4" w:space="0" w:color="auto"/>
            </w:tcBorders>
            <w:shd w:val="clear" w:color="auto" w:fill="auto"/>
          </w:tcPr>
          <w:p w14:paraId="6D434578" w14:textId="77777777" w:rsidR="00B4781B" w:rsidRDefault="00B4781B" w:rsidP="00614099">
            <w:pPr>
              <w:keepNext/>
            </w:pPr>
          </w:p>
        </w:tc>
      </w:tr>
      <w:tr w:rsidR="00B4781B" w14:paraId="6B85F5F5" w14:textId="77777777">
        <w:trPr>
          <w:jc w:val="center"/>
        </w:trPr>
        <w:tc>
          <w:tcPr>
            <w:tcW w:w="7653" w:type="dxa"/>
            <w:tcBorders>
              <w:left w:val="single" w:sz="4" w:space="0" w:color="auto"/>
              <w:bottom w:val="nil"/>
              <w:right w:val="single" w:sz="4" w:space="0" w:color="auto"/>
            </w:tcBorders>
            <w:shd w:val="clear" w:color="auto" w:fill="auto"/>
          </w:tcPr>
          <w:p w14:paraId="7D1D63AE" w14:textId="6736D125" w:rsidR="00B4781B" w:rsidRPr="00B4781B" w:rsidRDefault="00B4781B" w:rsidP="00B4781B">
            <w:pPr>
              <w:spacing w:after="120"/>
            </w:pPr>
            <w:r w:rsidRPr="00B4781B">
              <w:rPr>
                <w:lang w:val="fr-FR"/>
              </w:rPr>
              <w:t>Encadré 1</w:t>
            </w:r>
            <w:r>
              <w:rPr>
                <w:lang w:val="fr-FR"/>
              </w:rPr>
              <w:t xml:space="preserve"> </w:t>
            </w:r>
            <w:r>
              <w:rPr>
                <w:lang w:val="fr-FR"/>
              </w:rPr>
              <w:br/>
            </w:r>
            <w:r>
              <w:rPr>
                <w:b/>
                <w:bCs/>
                <w:lang w:val="fr-FR"/>
              </w:rPr>
              <w:t xml:space="preserve">Engagements des acteurs non étatiques, y compris les entreprises, les institutions financières, et les administrations locales et régionales, en faveur du zéro émission nette : cinq principes et </w:t>
            </w:r>
            <w:r>
              <w:rPr>
                <w:b/>
                <w:bCs/>
                <w:lang w:val="fr-FR"/>
              </w:rPr>
              <w:t>10</w:t>
            </w:r>
            <w:r>
              <w:rPr>
                <w:b/>
                <w:bCs/>
                <w:lang w:val="fr-FR"/>
              </w:rPr>
              <w:t xml:space="preserve"> recommandations à suivre</w:t>
            </w:r>
            <w:r w:rsidRPr="002B1D76">
              <w:rPr>
                <w:rStyle w:val="Appelnotedebasdep"/>
              </w:rPr>
              <w:footnoteReference w:id="81"/>
            </w:r>
          </w:p>
        </w:tc>
      </w:tr>
      <w:tr w:rsidR="00B4781B" w14:paraId="480F2062" w14:textId="77777777">
        <w:trPr>
          <w:jc w:val="center"/>
        </w:trPr>
        <w:tc>
          <w:tcPr>
            <w:tcW w:w="7653" w:type="dxa"/>
            <w:tcBorders>
              <w:left w:val="single" w:sz="4" w:space="0" w:color="auto"/>
              <w:bottom w:val="nil"/>
              <w:right w:val="single" w:sz="4" w:space="0" w:color="auto"/>
            </w:tcBorders>
            <w:shd w:val="clear" w:color="auto" w:fill="auto"/>
          </w:tcPr>
          <w:p w14:paraId="141A17C8" w14:textId="5F7352CE" w:rsidR="00B4781B" w:rsidRDefault="00B4781B">
            <w:pPr>
              <w:spacing w:after="120"/>
              <w:jc w:val="both"/>
              <w:rPr>
                <w:b/>
                <w:bCs/>
                <w:lang w:val="fr-FR"/>
              </w:rPr>
            </w:pPr>
            <w:r>
              <w:rPr>
                <w:i/>
                <w:iCs/>
                <w:lang w:val="fr-FR"/>
              </w:rPr>
              <w:t>Les cinq principes</w:t>
            </w:r>
          </w:p>
        </w:tc>
      </w:tr>
      <w:tr w:rsidR="00B4781B" w14:paraId="3901E448" w14:textId="77777777">
        <w:trPr>
          <w:jc w:val="center"/>
        </w:trPr>
        <w:tc>
          <w:tcPr>
            <w:tcW w:w="7653" w:type="dxa"/>
            <w:tcBorders>
              <w:left w:val="single" w:sz="4" w:space="0" w:color="auto"/>
              <w:bottom w:val="nil"/>
              <w:right w:val="single" w:sz="4" w:space="0" w:color="auto"/>
            </w:tcBorders>
            <w:shd w:val="clear" w:color="auto" w:fill="auto"/>
          </w:tcPr>
          <w:p w14:paraId="3E114E9E" w14:textId="08F7991D" w:rsidR="00B4781B" w:rsidRDefault="00B4781B">
            <w:pPr>
              <w:spacing w:after="120"/>
              <w:jc w:val="both"/>
              <w:rPr>
                <w:i/>
                <w:iCs/>
                <w:lang w:val="fr-FR"/>
              </w:rPr>
            </w:pPr>
            <w:r>
              <w:rPr>
                <w:lang w:val="fr-FR"/>
              </w:rPr>
              <w:tab/>
            </w:r>
            <w:r>
              <w:rPr>
                <w:lang w:val="fr-FR"/>
              </w:rPr>
              <w:t>1.</w:t>
            </w:r>
            <w:r>
              <w:rPr>
                <w:lang w:val="fr-FR"/>
              </w:rPr>
              <w:tab/>
            </w:r>
            <w:r>
              <w:rPr>
                <w:lang w:val="fr-FR"/>
              </w:rPr>
              <w:t xml:space="preserve">Afficher une ambition qui aboutit à des réductions sensibles des émissions à court et </w:t>
            </w:r>
            <w:r>
              <w:rPr>
                <w:lang w:val="fr-FR"/>
              </w:rPr>
              <w:t xml:space="preserve">à </w:t>
            </w:r>
            <w:r>
              <w:rPr>
                <w:lang w:val="fr-FR"/>
              </w:rPr>
              <w:t>moyen terme, et cadre avec l’objectif mondial de la neutralité carbone à l’horizon 2050</w:t>
            </w:r>
          </w:p>
        </w:tc>
      </w:tr>
      <w:tr w:rsidR="00B4781B" w14:paraId="0D9EA543" w14:textId="77777777">
        <w:trPr>
          <w:jc w:val="center"/>
        </w:trPr>
        <w:tc>
          <w:tcPr>
            <w:tcW w:w="7653" w:type="dxa"/>
            <w:tcBorders>
              <w:left w:val="single" w:sz="4" w:space="0" w:color="auto"/>
              <w:bottom w:val="nil"/>
              <w:right w:val="single" w:sz="4" w:space="0" w:color="auto"/>
            </w:tcBorders>
            <w:shd w:val="clear" w:color="auto" w:fill="auto"/>
          </w:tcPr>
          <w:p w14:paraId="7F12C1B8" w14:textId="2F88BFAB" w:rsidR="00B4781B" w:rsidRDefault="00B4781B">
            <w:pPr>
              <w:spacing w:after="120"/>
              <w:jc w:val="both"/>
              <w:rPr>
                <w:lang w:val="fr-FR"/>
              </w:rPr>
            </w:pPr>
            <w:r>
              <w:rPr>
                <w:lang w:val="fr-FR"/>
              </w:rPr>
              <w:tab/>
            </w:r>
            <w:r>
              <w:rPr>
                <w:lang w:val="fr-FR"/>
              </w:rPr>
              <w:t>2.</w:t>
            </w:r>
            <w:r>
              <w:rPr>
                <w:lang w:val="fr-FR"/>
              </w:rPr>
              <w:tab/>
            </w:r>
            <w:r>
              <w:rPr>
                <w:lang w:val="fr-FR"/>
              </w:rPr>
              <w:t>Faire preuve d’intégrité en traduisant les engagements en actes et en investissements</w:t>
            </w:r>
          </w:p>
        </w:tc>
      </w:tr>
      <w:tr w:rsidR="00B4781B" w14:paraId="248BCD9F" w14:textId="77777777">
        <w:trPr>
          <w:jc w:val="center"/>
        </w:trPr>
        <w:tc>
          <w:tcPr>
            <w:tcW w:w="7653" w:type="dxa"/>
            <w:tcBorders>
              <w:left w:val="single" w:sz="4" w:space="0" w:color="auto"/>
              <w:bottom w:val="nil"/>
              <w:right w:val="single" w:sz="4" w:space="0" w:color="auto"/>
            </w:tcBorders>
            <w:shd w:val="clear" w:color="auto" w:fill="auto"/>
          </w:tcPr>
          <w:p w14:paraId="02522616" w14:textId="56F1773A" w:rsidR="00B4781B" w:rsidRDefault="00B4781B">
            <w:pPr>
              <w:spacing w:after="120"/>
              <w:jc w:val="both"/>
              <w:rPr>
                <w:lang w:val="fr-FR"/>
              </w:rPr>
            </w:pPr>
            <w:r>
              <w:rPr>
                <w:lang w:val="fr-FR"/>
              </w:rPr>
              <w:tab/>
            </w:r>
            <w:r>
              <w:rPr>
                <w:lang w:val="fr-FR"/>
              </w:rPr>
              <w:t>3.</w:t>
            </w:r>
            <w:r>
              <w:rPr>
                <w:lang w:val="fr-FR"/>
              </w:rPr>
              <w:tab/>
            </w:r>
            <w:r>
              <w:rPr>
                <w:lang w:val="fr-FR"/>
              </w:rPr>
              <w:t>Garantir une transparence absolue en communiquant des données utiles, non concurrentielles et comparables sur les plans établis et les progrès accomplis</w:t>
            </w:r>
          </w:p>
        </w:tc>
      </w:tr>
      <w:tr w:rsidR="00B4781B" w14:paraId="5A91A660" w14:textId="77777777">
        <w:trPr>
          <w:jc w:val="center"/>
        </w:trPr>
        <w:tc>
          <w:tcPr>
            <w:tcW w:w="7653" w:type="dxa"/>
            <w:tcBorders>
              <w:left w:val="single" w:sz="4" w:space="0" w:color="auto"/>
              <w:bottom w:val="nil"/>
              <w:right w:val="single" w:sz="4" w:space="0" w:color="auto"/>
            </w:tcBorders>
            <w:shd w:val="clear" w:color="auto" w:fill="auto"/>
          </w:tcPr>
          <w:p w14:paraId="1CCF5F8F" w14:textId="74F06EC3" w:rsidR="00B4781B" w:rsidRDefault="00B4781B">
            <w:pPr>
              <w:spacing w:after="120"/>
              <w:jc w:val="both"/>
              <w:rPr>
                <w:lang w:val="fr-FR"/>
              </w:rPr>
            </w:pPr>
            <w:r>
              <w:rPr>
                <w:lang w:val="fr-FR"/>
              </w:rPr>
              <w:tab/>
            </w:r>
            <w:r>
              <w:rPr>
                <w:lang w:val="fr-FR"/>
              </w:rPr>
              <w:t>4.</w:t>
            </w:r>
            <w:r>
              <w:rPr>
                <w:lang w:val="fr-FR"/>
              </w:rPr>
              <w:tab/>
            </w:r>
            <w:r>
              <w:rPr>
                <w:lang w:val="fr-FR"/>
              </w:rPr>
              <w:t>Assurer la crédibilité des plans élaborés en les fondant sur des données scientifiques et en les soumettant au contrôle de tiers</w:t>
            </w:r>
          </w:p>
        </w:tc>
      </w:tr>
      <w:tr w:rsidR="00B4781B" w14:paraId="21E69CF9" w14:textId="77777777">
        <w:trPr>
          <w:jc w:val="center"/>
        </w:trPr>
        <w:tc>
          <w:tcPr>
            <w:tcW w:w="7653" w:type="dxa"/>
            <w:tcBorders>
              <w:left w:val="single" w:sz="4" w:space="0" w:color="auto"/>
              <w:bottom w:val="nil"/>
              <w:right w:val="single" w:sz="4" w:space="0" w:color="auto"/>
            </w:tcBorders>
            <w:shd w:val="clear" w:color="auto" w:fill="auto"/>
          </w:tcPr>
          <w:p w14:paraId="6349D112" w14:textId="16AECCE8" w:rsidR="00B4781B" w:rsidRDefault="00B4781B">
            <w:pPr>
              <w:spacing w:after="120"/>
              <w:jc w:val="both"/>
              <w:rPr>
                <w:lang w:val="fr-FR"/>
              </w:rPr>
            </w:pPr>
            <w:r>
              <w:rPr>
                <w:lang w:val="fr-FR"/>
              </w:rPr>
              <w:tab/>
            </w:r>
            <w:r>
              <w:rPr>
                <w:lang w:val="fr-FR"/>
              </w:rPr>
              <w:t>5.</w:t>
            </w:r>
            <w:r>
              <w:rPr>
                <w:lang w:val="fr-FR"/>
              </w:rPr>
              <w:tab/>
            </w:r>
            <w:r>
              <w:rPr>
                <w:lang w:val="fr-FR"/>
              </w:rPr>
              <w:t>Démontrer son engagement en faveur de l’équité et de la justice dans toutes les actions menées</w:t>
            </w:r>
          </w:p>
        </w:tc>
      </w:tr>
      <w:tr w:rsidR="00B4781B" w14:paraId="40E2EBD6" w14:textId="77777777">
        <w:trPr>
          <w:jc w:val="center"/>
        </w:trPr>
        <w:tc>
          <w:tcPr>
            <w:tcW w:w="7653" w:type="dxa"/>
            <w:tcBorders>
              <w:left w:val="single" w:sz="4" w:space="0" w:color="auto"/>
              <w:bottom w:val="nil"/>
              <w:right w:val="single" w:sz="4" w:space="0" w:color="auto"/>
            </w:tcBorders>
            <w:shd w:val="clear" w:color="auto" w:fill="auto"/>
          </w:tcPr>
          <w:p w14:paraId="78D93C15" w14:textId="4629C576" w:rsidR="00B4781B" w:rsidRDefault="00B4781B">
            <w:pPr>
              <w:spacing w:after="120"/>
              <w:jc w:val="both"/>
              <w:rPr>
                <w:lang w:val="fr-FR"/>
              </w:rPr>
            </w:pPr>
            <w:r>
              <w:rPr>
                <w:i/>
                <w:iCs/>
                <w:lang w:val="fr-FR"/>
              </w:rPr>
              <w:t xml:space="preserve">Les </w:t>
            </w:r>
            <w:r>
              <w:rPr>
                <w:i/>
                <w:iCs/>
                <w:lang w:val="fr-FR"/>
              </w:rPr>
              <w:t>10</w:t>
            </w:r>
            <w:r>
              <w:rPr>
                <w:i/>
                <w:iCs/>
                <w:lang w:val="fr-FR"/>
              </w:rPr>
              <w:t xml:space="preserve"> recommandations</w:t>
            </w:r>
          </w:p>
        </w:tc>
      </w:tr>
      <w:tr w:rsidR="00B4781B" w14:paraId="20EEB68B" w14:textId="77777777">
        <w:trPr>
          <w:jc w:val="center"/>
        </w:trPr>
        <w:tc>
          <w:tcPr>
            <w:tcW w:w="7653" w:type="dxa"/>
            <w:tcBorders>
              <w:left w:val="single" w:sz="4" w:space="0" w:color="auto"/>
              <w:bottom w:val="nil"/>
              <w:right w:val="single" w:sz="4" w:space="0" w:color="auto"/>
            </w:tcBorders>
            <w:shd w:val="clear" w:color="auto" w:fill="auto"/>
          </w:tcPr>
          <w:p w14:paraId="67C58E3D" w14:textId="3A1189EC" w:rsidR="00B4781B" w:rsidRDefault="007A0F95" w:rsidP="007A0F95">
            <w:pPr>
              <w:spacing w:after="120"/>
              <w:jc w:val="both"/>
              <w:rPr>
                <w:i/>
                <w:iCs/>
                <w:lang w:val="fr-FR"/>
              </w:rPr>
            </w:pPr>
            <w:r>
              <w:rPr>
                <w:iCs/>
                <w:lang w:val="fr-FR"/>
              </w:rPr>
              <w:tab/>
              <w:t>1.</w:t>
            </w:r>
            <w:r>
              <w:rPr>
                <w:iCs/>
                <w:lang w:val="fr-FR"/>
              </w:rPr>
              <w:tab/>
            </w:r>
            <w:r w:rsidR="00B4781B">
              <w:rPr>
                <w:lang w:val="fr-FR"/>
              </w:rPr>
              <w:t>Prendre l’engagement de parvenir au zéro émission nette</w:t>
            </w:r>
          </w:p>
        </w:tc>
      </w:tr>
      <w:tr w:rsidR="00B4781B" w14:paraId="5104A5FB" w14:textId="77777777">
        <w:trPr>
          <w:jc w:val="center"/>
        </w:trPr>
        <w:tc>
          <w:tcPr>
            <w:tcW w:w="7653" w:type="dxa"/>
            <w:tcBorders>
              <w:left w:val="single" w:sz="4" w:space="0" w:color="auto"/>
              <w:bottom w:val="nil"/>
              <w:right w:val="single" w:sz="4" w:space="0" w:color="auto"/>
            </w:tcBorders>
            <w:shd w:val="clear" w:color="auto" w:fill="auto"/>
          </w:tcPr>
          <w:p w14:paraId="2BD2CCB9" w14:textId="4DE4EF89" w:rsidR="00B4781B" w:rsidRDefault="007A0F95" w:rsidP="007A0F95">
            <w:pPr>
              <w:spacing w:after="120"/>
              <w:jc w:val="both"/>
              <w:rPr>
                <w:lang w:val="fr-FR"/>
              </w:rPr>
            </w:pPr>
            <w:r>
              <w:rPr>
                <w:lang w:val="fr-FR"/>
              </w:rPr>
              <w:tab/>
              <w:t>2.</w:t>
            </w:r>
            <w:r>
              <w:rPr>
                <w:lang w:val="fr-FR"/>
              </w:rPr>
              <w:tab/>
            </w:r>
            <w:r w:rsidR="00B4781B">
              <w:rPr>
                <w:lang w:val="fr-FR"/>
              </w:rPr>
              <w:t>Définir des cibles à atteindre pour parvenir au zéro émission nette</w:t>
            </w:r>
          </w:p>
        </w:tc>
      </w:tr>
      <w:tr w:rsidR="00B4781B" w:rsidRPr="00B4781B" w14:paraId="68EE81B1" w14:textId="77777777">
        <w:trPr>
          <w:jc w:val="center"/>
        </w:trPr>
        <w:tc>
          <w:tcPr>
            <w:tcW w:w="7653" w:type="dxa"/>
            <w:tcBorders>
              <w:left w:val="single" w:sz="4" w:space="0" w:color="auto"/>
              <w:bottom w:val="nil"/>
              <w:right w:val="single" w:sz="4" w:space="0" w:color="auto"/>
            </w:tcBorders>
            <w:shd w:val="clear" w:color="auto" w:fill="auto"/>
          </w:tcPr>
          <w:p w14:paraId="37EF0DBB" w14:textId="62C63B93" w:rsidR="00B4781B" w:rsidRDefault="007A0F95" w:rsidP="007A0F95">
            <w:pPr>
              <w:spacing w:after="120"/>
              <w:jc w:val="both"/>
              <w:rPr>
                <w:lang w:val="fr-FR"/>
              </w:rPr>
            </w:pPr>
            <w:r>
              <w:rPr>
                <w:lang w:val="fr-FR"/>
              </w:rPr>
              <w:tab/>
              <w:t>3.</w:t>
            </w:r>
            <w:r>
              <w:rPr>
                <w:lang w:val="fr-FR"/>
              </w:rPr>
              <w:tab/>
            </w:r>
            <w:r w:rsidR="00B4781B">
              <w:rPr>
                <w:lang w:val="fr-FR"/>
              </w:rPr>
              <w:t>Utiliser les systèmes volontaires de crédits d’émission</w:t>
            </w:r>
          </w:p>
        </w:tc>
      </w:tr>
      <w:tr w:rsidR="00B4781B" w14:paraId="60CBC355" w14:textId="77777777">
        <w:trPr>
          <w:jc w:val="center"/>
        </w:trPr>
        <w:tc>
          <w:tcPr>
            <w:tcW w:w="7653" w:type="dxa"/>
            <w:tcBorders>
              <w:left w:val="single" w:sz="4" w:space="0" w:color="auto"/>
              <w:bottom w:val="nil"/>
              <w:right w:val="single" w:sz="4" w:space="0" w:color="auto"/>
            </w:tcBorders>
            <w:shd w:val="clear" w:color="auto" w:fill="auto"/>
          </w:tcPr>
          <w:p w14:paraId="5927A402" w14:textId="69E86A50" w:rsidR="00B4781B" w:rsidRDefault="007A0F95" w:rsidP="007A0F95">
            <w:pPr>
              <w:spacing w:after="120"/>
              <w:jc w:val="both"/>
              <w:rPr>
                <w:lang w:val="fr-FR"/>
              </w:rPr>
            </w:pPr>
            <w:r>
              <w:rPr>
                <w:lang w:val="fr-FR"/>
              </w:rPr>
              <w:tab/>
              <w:t>4.</w:t>
            </w:r>
            <w:r>
              <w:rPr>
                <w:lang w:val="fr-FR"/>
              </w:rPr>
              <w:tab/>
            </w:r>
            <w:r w:rsidR="00B4781B">
              <w:rPr>
                <w:lang w:val="fr-FR"/>
              </w:rPr>
              <w:t>Établir un plan de transition</w:t>
            </w:r>
          </w:p>
        </w:tc>
      </w:tr>
      <w:tr w:rsidR="00B4781B" w14:paraId="78E3424D" w14:textId="77777777">
        <w:trPr>
          <w:jc w:val="center"/>
        </w:trPr>
        <w:tc>
          <w:tcPr>
            <w:tcW w:w="7653" w:type="dxa"/>
            <w:tcBorders>
              <w:left w:val="single" w:sz="4" w:space="0" w:color="auto"/>
              <w:bottom w:val="nil"/>
              <w:right w:val="single" w:sz="4" w:space="0" w:color="auto"/>
            </w:tcBorders>
            <w:shd w:val="clear" w:color="auto" w:fill="auto"/>
          </w:tcPr>
          <w:p w14:paraId="611EE27A" w14:textId="14437F31" w:rsidR="00B4781B" w:rsidRDefault="007A0F95" w:rsidP="007A0F95">
            <w:pPr>
              <w:spacing w:after="120"/>
              <w:jc w:val="both"/>
              <w:rPr>
                <w:lang w:val="fr-FR"/>
              </w:rPr>
            </w:pPr>
            <w:r>
              <w:rPr>
                <w:lang w:val="fr-FR"/>
              </w:rPr>
              <w:tab/>
              <w:t>5.</w:t>
            </w:r>
            <w:r>
              <w:rPr>
                <w:lang w:val="fr-FR"/>
              </w:rPr>
              <w:tab/>
            </w:r>
            <w:r w:rsidR="00B4781B">
              <w:rPr>
                <w:lang w:val="fr-FR"/>
              </w:rPr>
              <w:t>Abandonner progressivement les combustibles fossiles au profit des énergies renouvelables</w:t>
            </w:r>
          </w:p>
        </w:tc>
      </w:tr>
      <w:tr w:rsidR="00B4781B" w14:paraId="14AA2777" w14:textId="77777777">
        <w:trPr>
          <w:jc w:val="center"/>
        </w:trPr>
        <w:tc>
          <w:tcPr>
            <w:tcW w:w="7653" w:type="dxa"/>
            <w:tcBorders>
              <w:left w:val="single" w:sz="4" w:space="0" w:color="auto"/>
              <w:bottom w:val="nil"/>
              <w:right w:val="single" w:sz="4" w:space="0" w:color="auto"/>
            </w:tcBorders>
            <w:shd w:val="clear" w:color="auto" w:fill="auto"/>
          </w:tcPr>
          <w:p w14:paraId="74D7C4E9" w14:textId="7C734580" w:rsidR="00B4781B" w:rsidRDefault="007A0F95" w:rsidP="007A0F95">
            <w:pPr>
              <w:spacing w:after="120"/>
              <w:jc w:val="both"/>
              <w:rPr>
                <w:lang w:val="fr-FR"/>
              </w:rPr>
            </w:pPr>
            <w:r>
              <w:rPr>
                <w:lang w:val="fr-FR"/>
              </w:rPr>
              <w:tab/>
              <w:t>6.</w:t>
            </w:r>
            <w:r>
              <w:rPr>
                <w:lang w:val="fr-FR"/>
              </w:rPr>
              <w:tab/>
            </w:r>
            <w:r w:rsidR="00B4781B">
              <w:rPr>
                <w:lang w:val="fr-FR"/>
              </w:rPr>
              <w:t>Aligner les activités de lobbying et de sensibilisation sur les engagements pris</w:t>
            </w:r>
          </w:p>
        </w:tc>
      </w:tr>
      <w:tr w:rsidR="00B4781B" w14:paraId="6A6A2ADF" w14:textId="77777777">
        <w:trPr>
          <w:jc w:val="center"/>
        </w:trPr>
        <w:tc>
          <w:tcPr>
            <w:tcW w:w="7653" w:type="dxa"/>
            <w:tcBorders>
              <w:left w:val="single" w:sz="4" w:space="0" w:color="auto"/>
              <w:bottom w:val="nil"/>
              <w:right w:val="single" w:sz="4" w:space="0" w:color="auto"/>
            </w:tcBorders>
            <w:shd w:val="clear" w:color="auto" w:fill="auto"/>
          </w:tcPr>
          <w:p w14:paraId="25A29CE8" w14:textId="6D3E435F" w:rsidR="00B4781B" w:rsidRDefault="007A0F95" w:rsidP="007A0F95">
            <w:pPr>
              <w:spacing w:after="120"/>
              <w:jc w:val="both"/>
              <w:rPr>
                <w:lang w:val="fr-FR"/>
              </w:rPr>
            </w:pPr>
            <w:r>
              <w:rPr>
                <w:lang w:val="fr-FR"/>
              </w:rPr>
              <w:tab/>
              <w:t>7.</w:t>
            </w:r>
            <w:r>
              <w:rPr>
                <w:lang w:val="fr-FR"/>
              </w:rPr>
              <w:tab/>
            </w:r>
            <w:r w:rsidR="00B4781B">
              <w:rPr>
                <w:lang w:val="fr-FR"/>
              </w:rPr>
              <w:t>Placer l’être humain et la nature au centre de la transition juste</w:t>
            </w:r>
          </w:p>
        </w:tc>
      </w:tr>
      <w:tr w:rsidR="00B4781B" w14:paraId="237F2604" w14:textId="77777777">
        <w:trPr>
          <w:jc w:val="center"/>
        </w:trPr>
        <w:tc>
          <w:tcPr>
            <w:tcW w:w="7653" w:type="dxa"/>
            <w:tcBorders>
              <w:left w:val="single" w:sz="4" w:space="0" w:color="auto"/>
              <w:bottom w:val="nil"/>
              <w:right w:val="single" w:sz="4" w:space="0" w:color="auto"/>
            </w:tcBorders>
            <w:shd w:val="clear" w:color="auto" w:fill="auto"/>
          </w:tcPr>
          <w:p w14:paraId="25BB74DE" w14:textId="08AB87BB" w:rsidR="00B4781B" w:rsidRDefault="007A0F95" w:rsidP="007A0F95">
            <w:pPr>
              <w:spacing w:after="120"/>
              <w:jc w:val="both"/>
              <w:rPr>
                <w:lang w:val="fr-FR"/>
              </w:rPr>
            </w:pPr>
            <w:r>
              <w:rPr>
                <w:lang w:val="fr-FR"/>
              </w:rPr>
              <w:tab/>
              <w:t>8.</w:t>
            </w:r>
            <w:r>
              <w:rPr>
                <w:lang w:val="fr-FR"/>
              </w:rPr>
              <w:tab/>
            </w:r>
            <w:r w:rsidR="00B4781B">
              <w:rPr>
                <w:lang w:val="fr-FR"/>
              </w:rPr>
              <w:t>Renforcer la transparence et le respect du principe de responsabilité</w:t>
            </w:r>
          </w:p>
        </w:tc>
      </w:tr>
      <w:tr w:rsidR="00B4781B" w14:paraId="612085E1" w14:textId="77777777">
        <w:trPr>
          <w:jc w:val="center"/>
        </w:trPr>
        <w:tc>
          <w:tcPr>
            <w:tcW w:w="7653" w:type="dxa"/>
            <w:tcBorders>
              <w:left w:val="single" w:sz="4" w:space="0" w:color="auto"/>
              <w:bottom w:val="nil"/>
              <w:right w:val="single" w:sz="4" w:space="0" w:color="auto"/>
            </w:tcBorders>
            <w:shd w:val="clear" w:color="auto" w:fill="auto"/>
          </w:tcPr>
          <w:p w14:paraId="7D69DBC1" w14:textId="3782B9EC" w:rsidR="00B4781B" w:rsidRDefault="007A0F95" w:rsidP="007A0F95">
            <w:pPr>
              <w:spacing w:after="120"/>
              <w:jc w:val="both"/>
              <w:rPr>
                <w:lang w:val="fr-FR"/>
              </w:rPr>
            </w:pPr>
            <w:r>
              <w:rPr>
                <w:lang w:val="fr-FR"/>
              </w:rPr>
              <w:tab/>
              <w:t>9.</w:t>
            </w:r>
            <w:r>
              <w:rPr>
                <w:lang w:val="fr-FR"/>
              </w:rPr>
              <w:tab/>
            </w:r>
            <w:r w:rsidR="00B4781B">
              <w:rPr>
                <w:lang w:val="fr-FR"/>
              </w:rPr>
              <w:t>Investir dans la transition juste</w:t>
            </w:r>
          </w:p>
        </w:tc>
      </w:tr>
      <w:tr w:rsidR="00B4781B" w14:paraId="50CA8835" w14:textId="77777777">
        <w:trPr>
          <w:jc w:val="center"/>
        </w:trPr>
        <w:tc>
          <w:tcPr>
            <w:tcW w:w="7653" w:type="dxa"/>
            <w:tcBorders>
              <w:left w:val="single" w:sz="4" w:space="0" w:color="auto"/>
              <w:bottom w:val="nil"/>
              <w:right w:val="single" w:sz="4" w:space="0" w:color="auto"/>
            </w:tcBorders>
            <w:shd w:val="clear" w:color="auto" w:fill="auto"/>
          </w:tcPr>
          <w:p w14:paraId="73B3B8EE" w14:textId="2D2353EC" w:rsidR="00B4781B" w:rsidRDefault="007A0F95" w:rsidP="007A0F95">
            <w:pPr>
              <w:spacing w:after="120"/>
              <w:jc w:val="both"/>
              <w:rPr>
                <w:lang w:val="fr-FR"/>
              </w:rPr>
            </w:pPr>
            <w:r>
              <w:rPr>
                <w:lang w:val="fr-FR"/>
              </w:rPr>
              <w:tab/>
              <w:t>10.</w:t>
            </w:r>
            <w:r>
              <w:rPr>
                <w:lang w:val="fr-FR"/>
              </w:rPr>
              <w:tab/>
            </w:r>
            <w:r w:rsidR="00B4781B">
              <w:rPr>
                <w:lang w:val="fr-FR"/>
              </w:rPr>
              <w:t>Accélérer l’adoption de réglementations</w:t>
            </w:r>
          </w:p>
        </w:tc>
      </w:tr>
      <w:tr w:rsidR="00B4781B" w14:paraId="75C7CFC3" w14:textId="77777777">
        <w:trPr>
          <w:trHeight w:hRule="exact" w:val="23"/>
          <w:jc w:val="center"/>
        </w:trPr>
        <w:tc>
          <w:tcPr>
            <w:tcW w:w="7653" w:type="dxa"/>
            <w:tcBorders>
              <w:left w:val="single" w:sz="4" w:space="0" w:color="auto"/>
              <w:bottom w:val="single" w:sz="4" w:space="0" w:color="auto"/>
              <w:right w:val="single" w:sz="4" w:space="0" w:color="auto"/>
            </w:tcBorders>
            <w:shd w:val="clear" w:color="auto" w:fill="auto"/>
          </w:tcPr>
          <w:p w14:paraId="0D3999A4" w14:textId="77777777" w:rsidR="00B4781B" w:rsidRDefault="00B4781B"/>
        </w:tc>
      </w:tr>
    </w:tbl>
    <w:p w14:paraId="06E3CDCE" w14:textId="15FC3D44" w:rsidR="002B1D76" w:rsidRPr="00501EF4" w:rsidRDefault="007A0F95" w:rsidP="007A0F95">
      <w:pPr>
        <w:pStyle w:val="HChG"/>
        <w:rPr>
          <w:lang w:val="fr-FR"/>
        </w:rPr>
      </w:pPr>
      <w:r>
        <w:rPr>
          <w:lang w:val="fr-FR"/>
        </w:rPr>
        <w:tab/>
      </w:r>
      <w:r w:rsidR="002B1D76">
        <w:rPr>
          <w:lang w:val="fr-FR"/>
        </w:rPr>
        <w:t>IV.</w:t>
      </w:r>
      <w:r w:rsidR="002B1D76">
        <w:rPr>
          <w:lang w:val="fr-FR"/>
        </w:rPr>
        <w:tab/>
        <w:t>Prochaines étapes</w:t>
      </w:r>
    </w:p>
    <w:p w14:paraId="6C5B0803" w14:textId="3B341FC9" w:rsidR="002B1D76" w:rsidRPr="00501EF4" w:rsidRDefault="002B1D76" w:rsidP="00636CA8">
      <w:pPr>
        <w:pStyle w:val="SingleTxtG"/>
        <w:rPr>
          <w:lang w:val="fr-FR"/>
        </w:rPr>
      </w:pPr>
      <w:r>
        <w:rPr>
          <w:lang w:val="fr-FR"/>
        </w:rPr>
        <w:t>66.</w:t>
      </w:r>
      <w:r>
        <w:rPr>
          <w:lang w:val="fr-FR"/>
        </w:rPr>
        <w:tab/>
        <w:t>Une approche intégrée, intermodale et multidimensionnelle est nécessaire pour décarboner le transport de marchandises et de voyageurs. Depuis plus de dix ans, le cadre « éviter-changer-améliorer » est au cœur des stratégies de promotion de l’accès à des services de transport et de mobilité durables à faible intensité de carbone. Il importe de souligner que ce cadre n’offre pas de solution toute faite et que la formule optimale sera vraisemblablement différente d’une région et d’un pays à l’autre, mais que, dans tous les cas, son application suppose l’adoption d’un ensemble de politiques diverses. Le cadre « éviter</w:t>
      </w:r>
      <w:r w:rsidR="007A0F95">
        <w:rPr>
          <w:lang w:val="fr-FR"/>
        </w:rPr>
        <w:noBreakHyphen/>
      </w:r>
      <w:r>
        <w:rPr>
          <w:lang w:val="fr-FR"/>
        </w:rPr>
        <w:t>changer</w:t>
      </w:r>
      <w:r w:rsidR="007A0F95">
        <w:rPr>
          <w:lang w:val="fr-FR"/>
        </w:rPr>
        <w:noBreakHyphen/>
      </w:r>
      <w:r>
        <w:rPr>
          <w:lang w:val="fr-FR"/>
        </w:rPr>
        <w:t>améliorer » peut être décrit comme suit (voir la figure VIII) :</w:t>
      </w:r>
    </w:p>
    <w:p w14:paraId="7B4F536C" w14:textId="12B4034E"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 xml:space="preserve">ÉVITER : éviter les déplacements motorisés inutiles en tenant compte de la proximité et de l’accessibilité ; </w:t>
      </w:r>
    </w:p>
    <w:p w14:paraId="2D404BA6" w14:textId="71A5C163"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CHANGER : opter pour des moyens de transport à plus faible intensité de carbone, c’est-à-dire passer des véhicules privés aux transports publics, à la mobilité partagée, à la marche et au vélo, au transport de marchandises par voies navigables, au transport de marchandises combiné route-rail au moyen de véhicules électriques et aux vélos</w:t>
      </w:r>
      <w:r>
        <w:rPr>
          <w:lang w:val="fr-FR"/>
        </w:rPr>
        <w:noBreakHyphen/>
      </w:r>
      <w:r w:rsidR="002B1D76">
        <w:rPr>
          <w:lang w:val="fr-FR"/>
        </w:rPr>
        <w:t xml:space="preserve">cargos pour les livraisons du dernier kilomètre, notamment ; </w:t>
      </w:r>
    </w:p>
    <w:p w14:paraId="16A2EB0F" w14:textId="39F9C5D7"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AMÉLIORER : améliorer la conception des véhicules et leur rendement énergétique, et faire en sorte que les différents types de véhicules de transport de marchandises et de voyageurs soient alimentés par une énergie à faible intensité de carbone, issue de sources durables.</w:t>
      </w:r>
    </w:p>
    <w:p w14:paraId="03206A6E" w14:textId="77777777" w:rsidR="002B1D76" w:rsidRPr="00501EF4" w:rsidRDefault="002B1D76" w:rsidP="00636CA8">
      <w:pPr>
        <w:pStyle w:val="SingleTxtG"/>
        <w:rPr>
          <w:lang w:val="fr-FR"/>
        </w:rPr>
      </w:pPr>
      <w:r>
        <w:rPr>
          <w:lang w:val="fr-FR"/>
        </w:rPr>
        <w:t>67.</w:t>
      </w:r>
      <w:r>
        <w:rPr>
          <w:lang w:val="fr-FR"/>
        </w:rPr>
        <w:tab/>
        <w:t>L’application de mesures de type « éviter-changer-améliorer » au moyen d’approches intégrées, intermodales et équilibrées est essentielle pour libérer tout le potentiel des moyens de transport durables à faible émission de carbone</w:t>
      </w:r>
      <w:r w:rsidRPr="002B1D76">
        <w:rPr>
          <w:rStyle w:val="Appelnotedebasdep"/>
        </w:rPr>
        <w:footnoteReference w:id="82"/>
      </w:r>
      <w:r>
        <w:rPr>
          <w:lang w:val="fr-FR"/>
        </w:rPr>
        <w:t xml:space="preserve">. </w:t>
      </w:r>
    </w:p>
    <w:p w14:paraId="43751B35" w14:textId="2082CC65" w:rsidR="002B1D76" w:rsidRDefault="002B1D76" w:rsidP="00225419">
      <w:pPr>
        <w:pStyle w:val="Titre1"/>
        <w:spacing w:after="120"/>
        <w:rPr>
          <w:b/>
          <w:bCs/>
          <w:lang w:val="fr-FR"/>
        </w:rPr>
      </w:pPr>
      <w:r>
        <w:rPr>
          <w:lang w:val="fr-FR"/>
        </w:rPr>
        <w:t>Figure VIII</w:t>
      </w:r>
      <w:r>
        <w:rPr>
          <w:lang w:val="fr-FR"/>
        </w:rPr>
        <w:br/>
      </w:r>
      <w:r>
        <w:rPr>
          <w:b/>
          <w:bCs/>
          <w:lang w:val="fr-FR"/>
        </w:rPr>
        <w:t>Le cadre « éviter-changer-améliorer</w:t>
      </w:r>
      <w:r>
        <w:rPr>
          <w:b/>
          <w:bCs/>
          <w:lang w:val="fr-FR"/>
        </w:rPr>
        <w:t> »</w:t>
      </w:r>
    </w:p>
    <w:p w14:paraId="5B7A03A4" w14:textId="1671E38D" w:rsidR="00205DEC" w:rsidRDefault="00225419" w:rsidP="00225419">
      <w:pPr>
        <w:spacing w:before="120" w:after="240" w:line="276" w:lineRule="auto"/>
        <w:ind w:left="1134"/>
        <w:jc w:val="center"/>
      </w:pPr>
      <w:r>
        <w:rPr>
          <w:noProof/>
        </w:rPr>
        <w:drawing>
          <wp:inline distT="0" distB="0" distL="0" distR="0" wp14:anchorId="2A3344A8" wp14:editId="1BF610ED">
            <wp:extent cx="5400000" cy="3031687"/>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3031687"/>
                    </a:xfrm>
                    <a:prstGeom prst="rect">
                      <a:avLst/>
                    </a:prstGeom>
                  </pic:spPr>
                </pic:pic>
              </a:graphicData>
            </a:graphic>
          </wp:inline>
        </w:drawing>
      </w:r>
    </w:p>
    <w:p w14:paraId="6C4D0FE5" w14:textId="18B44183" w:rsidR="002B1D76" w:rsidRPr="00501EF4" w:rsidRDefault="002B1D76" w:rsidP="00636CA8">
      <w:pPr>
        <w:pStyle w:val="SingleTxtG"/>
        <w:rPr>
          <w:lang w:val="fr-FR"/>
        </w:rPr>
      </w:pPr>
      <w:r>
        <w:rPr>
          <w:lang w:val="fr-FR"/>
        </w:rPr>
        <w:t>68.</w:t>
      </w:r>
      <w:r>
        <w:rPr>
          <w:lang w:val="fr-FR"/>
        </w:rPr>
        <w:tab/>
        <w:t>Des mesures plus ambitieuses de décarbonation des transports devront être prises avant 2030 pour limiter le réchauffement planétaire à 1,5</w:t>
      </w:r>
      <w:r>
        <w:rPr>
          <w:lang w:val="fr-FR"/>
        </w:rPr>
        <w:t> </w:t>
      </w:r>
      <w:r>
        <w:rPr>
          <w:lang w:val="fr-FR"/>
        </w:rPr>
        <w:t>°C. Il pourrait par exemple s’agir de réduire le nombre de véhicules-kilomètres parcourus et d’électrifier les véhicules. Le développement des modes de transport durables, tels que les transports publics, pourrait contribuer grandement à freiner l’essor des véhicules à moteur particuliers, et donc à diminuer les émissions, surtout si les flottes de bus sont électrifiées.</w:t>
      </w:r>
    </w:p>
    <w:p w14:paraId="6367C631" w14:textId="77777777" w:rsidR="002B1D76" w:rsidRPr="00501EF4" w:rsidRDefault="002B1D76" w:rsidP="00636CA8">
      <w:pPr>
        <w:pStyle w:val="SingleTxtG"/>
        <w:rPr>
          <w:lang w:val="fr-FR"/>
        </w:rPr>
      </w:pPr>
      <w:r>
        <w:rPr>
          <w:lang w:val="fr-FR"/>
        </w:rPr>
        <w:t>69.</w:t>
      </w:r>
      <w:r>
        <w:rPr>
          <w:lang w:val="fr-FR"/>
        </w:rPr>
        <w:tab/>
        <w:t>Les pays à faible revenu et à revenu intermédiaire ont la possibilité d’éviter de s’enfermer dans des modèles non durables et ne doivent pas laisser s’imposer l’idée erronée selon laquelle les solutions technologiques (remplacement des véhicules polluants par des véhicules électriques, par exemple) suffiraient, à elles seules, à décarboner les transports. Selon le contexte régional, les mesures de type « éviter » et « changer » pourraient aboutir à des réductions d’émissions presque équivalentes à celles que promettent les mesures de type « améliorer »</w:t>
      </w:r>
      <w:r w:rsidRPr="002B1D76">
        <w:rPr>
          <w:rStyle w:val="Appelnotedebasdep"/>
        </w:rPr>
        <w:footnoteReference w:id="83"/>
      </w:r>
      <w:r>
        <w:rPr>
          <w:lang w:val="fr-FR"/>
        </w:rPr>
        <w:t>.</w:t>
      </w:r>
    </w:p>
    <w:p w14:paraId="1F2B2556" w14:textId="11E5DA70" w:rsidR="002B1D76" w:rsidRPr="00501EF4" w:rsidRDefault="007A0F95" w:rsidP="007A0F95">
      <w:pPr>
        <w:pStyle w:val="Bullet1G"/>
        <w:numPr>
          <w:ilvl w:val="0"/>
          <w:numId w:val="0"/>
        </w:numPr>
        <w:tabs>
          <w:tab w:val="left" w:pos="1701"/>
        </w:tabs>
        <w:ind w:left="1701" w:hanging="170"/>
        <w:rPr>
          <w:lang w:val="fr-FR"/>
        </w:rPr>
      </w:pPr>
      <w:r w:rsidRPr="00501EF4">
        <w:rPr>
          <w:lang w:val="fr-FR"/>
        </w:rPr>
        <w:t>•</w:t>
      </w:r>
      <w:r w:rsidRPr="00501EF4">
        <w:rPr>
          <w:lang w:val="fr-FR"/>
        </w:rPr>
        <w:tab/>
      </w:r>
      <w:r w:rsidR="002B1D76">
        <w:rPr>
          <w:lang w:val="fr-FR"/>
        </w:rPr>
        <w:t>Les mesures de type « éviter » et « changer » sont nécessaires pour décarboner le secteur des transports, car il ne sera pas possible de diminuer suffisamment les émissions sans opérer des changements radicaux dans les modes de transport. Elles pourraient représenter 40 à 60 % des réductions d’émissions et avoir dans certains cas un coût inférieur aux mesures de type « améliorer ».</w:t>
      </w:r>
    </w:p>
    <w:p w14:paraId="55441E6C" w14:textId="7B15E457" w:rsidR="002B1D76" w:rsidRPr="00501EF4" w:rsidRDefault="007A0F95" w:rsidP="007A0F95">
      <w:pPr>
        <w:pStyle w:val="Bullet1G"/>
        <w:numPr>
          <w:ilvl w:val="0"/>
          <w:numId w:val="0"/>
        </w:numPr>
        <w:tabs>
          <w:tab w:val="left" w:pos="1701"/>
        </w:tabs>
        <w:ind w:left="1701" w:hanging="170"/>
        <w:rPr>
          <w:rFonts w:ascii="Arial" w:eastAsia="Arial" w:hAnsi="Arial" w:cs="Arial"/>
          <w:color w:val="000000"/>
          <w:lang w:val="fr-FR"/>
        </w:rPr>
      </w:pPr>
      <w:r w:rsidRPr="00501EF4">
        <w:rPr>
          <w:rFonts w:eastAsia="Arial"/>
          <w:color w:val="000000"/>
          <w:lang w:val="fr-FR"/>
        </w:rPr>
        <w:t>•</w:t>
      </w:r>
      <w:r w:rsidRPr="00501EF4">
        <w:rPr>
          <w:rFonts w:eastAsia="Arial"/>
          <w:color w:val="000000"/>
          <w:lang w:val="fr-FR"/>
        </w:rPr>
        <w:tab/>
      </w:r>
      <w:r w:rsidR="002B1D76">
        <w:rPr>
          <w:lang w:val="fr-FR"/>
        </w:rPr>
        <w:t>Les mesures de type « améliorer » (électrification, recours à d’autres combustibles, etc.) restent toutefois indispensables à la décarbonation des transports. L’électrification des véhicules progressera plus rapidement dans les pays à revenu élevé, mais le décalage ne sera que de cinq ans environ dans les pays à faible revenu et à revenu intermédiaire. Au niveau mondial, les voitures électriques représenteront 20 % de l’ensemble des voitures d’ici à 2030 et 60 % d’ici à 2040. Il y aura 350</w:t>
      </w:r>
      <w:r w:rsidR="002B1D76">
        <w:rPr>
          <w:lang w:val="fr-FR"/>
        </w:rPr>
        <w:t> </w:t>
      </w:r>
      <w:r w:rsidR="002B1D76">
        <w:rPr>
          <w:lang w:val="fr-FR"/>
        </w:rPr>
        <w:t>millions de voitures électriques sur les routes en 2030. Le nombre de véhicules électriques à deux et trois roues doublera d’ici à 2030, passant de 300</w:t>
      </w:r>
      <w:r w:rsidR="002B1D76">
        <w:rPr>
          <w:lang w:val="fr-FR"/>
        </w:rPr>
        <w:t> </w:t>
      </w:r>
      <w:r w:rsidR="002B1D76">
        <w:rPr>
          <w:lang w:val="fr-FR"/>
        </w:rPr>
        <w:t>millions à 600</w:t>
      </w:r>
      <w:r w:rsidR="002B1D76">
        <w:rPr>
          <w:lang w:val="fr-FR"/>
        </w:rPr>
        <w:t> </w:t>
      </w:r>
      <w:r w:rsidR="002B1D76">
        <w:rPr>
          <w:lang w:val="fr-FR"/>
        </w:rPr>
        <w:t>millions, et sera supérieur à 1,2</w:t>
      </w:r>
      <w:r w:rsidR="002B1D76">
        <w:rPr>
          <w:lang w:val="fr-FR"/>
        </w:rPr>
        <w:t> </w:t>
      </w:r>
      <w:r w:rsidR="002B1D76">
        <w:rPr>
          <w:lang w:val="fr-FR"/>
        </w:rPr>
        <w:t>milliard à l’horizon 2050. Quant aux autobus, 23 % de tous les autobus en service seront électriques d’ici à 2030. En 2050, la proportion passera à 79 %, et plus de 50</w:t>
      </w:r>
      <w:r w:rsidR="002B1D76">
        <w:rPr>
          <w:lang w:val="fr-FR"/>
        </w:rPr>
        <w:t> </w:t>
      </w:r>
      <w:r w:rsidR="002B1D76">
        <w:rPr>
          <w:lang w:val="fr-FR"/>
        </w:rPr>
        <w:t>millions d’autobus électriques seront alors en service</w:t>
      </w:r>
      <w:r w:rsidR="002B1D76" w:rsidRPr="002B1D76">
        <w:rPr>
          <w:rStyle w:val="Appelnotedebasdep"/>
        </w:rPr>
        <w:footnoteReference w:id="84"/>
      </w:r>
      <w:r w:rsidR="002B1D76">
        <w:rPr>
          <w:lang w:val="fr-FR"/>
        </w:rPr>
        <w:t>.</w:t>
      </w:r>
    </w:p>
    <w:p w14:paraId="314FE855" w14:textId="77777777" w:rsidR="002B1D76" w:rsidRPr="00501EF4" w:rsidRDefault="002B1D76" w:rsidP="002B1D76">
      <w:pPr>
        <w:pStyle w:val="Titre1"/>
        <w:rPr>
          <w:lang w:val="fr-FR"/>
        </w:rPr>
      </w:pPr>
      <w:bookmarkStart w:id="10" w:name="_3rdcrjn" w:colFirst="0" w:colLast="0"/>
      <w:bookmarkEnd w:id="10"/>
      <w:r w:rsidRPr="00501EF4">
        <w:rPr>
          <w:lang w:val="fr-FR"/>
        </w:rPr>
        <w:br w:type="page"/>
      </w:r>
    </w:p>
    <w:p w14:paraId="6190C936" w14:textId="77777777" w:rsidR="002B1D76" w:rsidRPr="00CF3226" w:rsidRDefault="002B1D76" w:rsidP="002B1D76">
      <w:pPr>
        <w:pStyle w:val="HChG"/>
        <w:rPr>
          <w:lang w:val="fr-FR"/>
        </w:rPr>
      </w:pPr>
      <w:bookmarkStart w:id="11" w:name="_8hel07qulqjn" w:colFirst="0" w:colLast="0"/>
      <w:bookmarkEnd w:id="11"/>
      <w:r w:rsidRPr="00CF3226">
        <w:rPr>
          <w:lang w:val="fr-FR"/>
        </w:rPr>
        <w:t>Annexe</w:t>
      </w:r>
    </w:p>
    <w:p w14:paraId="0A840FA3" w14:textId="77777777" w:rsidR="002B1D76" w:rsidRPr="00501EF4" w:rsidRDefault="002B1D76" w:rsidP="002B1D76">
      <w:pPr>
        <w:pStyle w:val="HChG"/>
        <w:rPr>
          <w:lang w:val="fr-FR"/>
        </w:rPr>
      </w:pPr>
      <w:r>
        <w:rPr>
          <w:lang w:val="fr-FR"/>
        </w:rPr>
        <w:tab/>
      </w:r>
      <w:r>
        <w:rPr>
          <w:lang w:val="fr-FR"/>
        </w:rPr>
        <w:tab/>
        <w:t>Définitions et notions utilisées dans les rapports approfondis</w:t>
      </w:r>
    </w:p>
    <w:p w14:paraId="07588CBA" w14:textId="77777777" w:rsidR="002B1D76" w:rsidRPr="00501EF4" w:rsidRDefault="002B1D76" w:rsidP="00636CA8">
      <w:pPr>
        <w:pStyle w:val="SingleTxtG"/>
        <w:rPr>
          <w:lang w:val="fr-FR"/>
        </w:rPr>
      </w:pPr>
      <w:r>
        <w:rPr>
          <w:lang w:val="fr-FR"/>
        </w:rPr>
        <w:t>1.</w:t>
      </w:r>
      <w:r>
        <w:rPr>
          <w:lang w:val="fr-FR"/>
        </w:rPr>
        <w:tab/>
        <w:t xml:space="preserve">Transports intérieurs : dans le présent rapport, l’expression « transports intérieurs » s’entend du transport routier, ferroviaire et fluvial. Le transport de marchandises et le transport de voyageurs sont également couverts et, si les données le permettent, traités distinctement l’un de l’autre. </w:t>
      </w:r>
    </w:p>
    <w:p w14:paraId="6B1B6AFF" w14:textId="77777777" w:rsidR="002B1D76" w:rsidRPr="00501EF4" w:rsidRDefault="002B1D76" w:rsidP="00636CA8">
      <w:pPr>
        <w:pStyle w:val="SingleTxtG"/>
        <w:rPr>
          <w:lang w:val="fr-FR"/>
        </w:rPr>
      </w:pPr>
      <w:r>
        <w:rPr>
          <w:lang w:val="fr-FR"/>
        </w:rPr>
        <w:t>2.</w:t>
      </w:r>
      <w:r>
        <w:rPr>
          <w:lang w:val="fr-FR"/>
        </w:rPr>
        <w:tab/>
        <w:t>Émissions de CO</w:t>
      </w:r>
      <w:r>
        <w:rPr>
          <w:vertAlign w:val="subscript"/>
          <w:lang w:val="fr-FR"/>
        </w:rPr>
        <w:t>2</w:t>
      </w:r>
      <w:r>
        <w:rPr>
          <w:lang w:val="fr-FR"/>
        </w:rPr>
        <w:t xml:space="preserve"> d’origine fossile : les estimations d’émissions avancées dans le présent rapport sont tirées de la Base de données relative aux émissions pour la recherche atmosphérique mondiale (EDGAR), et ajustées compte tenu de la typologie des pays parties à la CNUCC, telle que définie par le Partenariat pour des transports écologiques, à faible émission de carbone (</w:t>
      </w:r>
      <w:proofErr w:type="spellStart"/>
      <w:r>
        <w:rPr>
          <w:lang w:val="fr-FR"/>
        </w:rPr>
        <w:t>SLoCaT</w:t>
      </w:r>
      <w:proofErr w:type="spellEnd"/>
      <w:r>
        <w:rPr>
          <w:lang w:val="fr-FR"/>
        </w:rPr>
        <w:t>)</w:t>
      </w:r>
      <w:r w:rsidRPr="00225419">
        <w:rPr>
          <w:rStyle w:val="Appelnotedebasdep"/>
          <w:sz w:val="20"/>
          <w:vertAlign w:val="baseline"/>
          <w:lang w:val="fr-FR"/>
        </w:rPr>
        <w:footnoteReference w:customMarkFollows="1" w:id="85"/>
        <w:t>*</w:t>
      </w:r>
      <w:r>
        <w:rPr>
          <w:lang w:val="fr-FR"/>
        </w:rPr>
        <w:t>. On trouve dans la base de données EDGAR des estimations des émissions de CO</w:t>
      </w:r>
      <w:r>
        <w:rPr>
          <w:vertAlign w:val="subscript"/>
          <w:lang w:val="fr-FR"/>
        </w:rPr>
        <w:t>2</w:t>
      </w:r>
      <w:r>
        <w:rPr>
          <w:lang w:val="fr-FR"/>
        </w:rPr>
        <w:t xml:space="preserve"> d’origine fossile pour toutes les activités anthropiques, à l’exception de l’utilisation des terres, du changement d’affectation des terres, de la foresterie et de la combustion de biomasse à large échelle. </w:t>
      </w:r>
    </w:p>
    <w:p w14:paraId="15E4B805" w14:textId="77777777" w:rsidR="002B1D76" w:rsidRPr="00501EF4" w:rsidRDefault="002B1D76" w:rsidP="00636CA8">
      <w:pPr>
        <w:pStyle w:val="SingleTxtG"/>
        <w:rPr>
          <w:lang w:val="fr-FR"/>
        </w:rPr>
      </w:pPr>
      <w:r>
        <w:rPr>
          <w:lang w:val="fr-FR"/>
        </w:rPr>
        <w:t>3.</w:t>
      </w:r>
      <w:r>
        <w:rPr>
          <w:lang w:val="fr-FR"/>
        </w:rPr>
        <w:tab/>
        <w:t>Émissions de CO</w:t>
      </w:r>
      <w:r>
        <w:rPr>
          <w:vertAlign w:val="subscript"/>
          <w:lang w:val="fr-FR"/>
        </w:rPr>
        <w:t>2</w:t>
      </w:r>
      <w:r>
        <w:rPr>
          <w:lang w:val="fr-FR"/>
        </w:rPr>
        <w:t xml:space="preserve"> du secteur des transports : les activités de transport couvertes par la base de données EDGAR sont le transport routier, le transport non routier, le transport aérien intérieur et le transport fluvial au niveau national. Les émissions de CO</w:t>
      </w:r>
      <w:r>
        <w:rPr>
          <w:vertAlign w:val="subscript"/>
          <w:lang w:val="fr-FR"/>
        </w:rPr>
        <w:t>2</w:t>
      </w:r>
      <w:r>
        <w:rPr>
          <w:lang w:val="fr-FR"/>
        </w:rPr>
        <w:t xml:space="preserve"> imputables au transport aérien international et au transport maritime sont comptabilisées séparément dans la base de données. Les émissions de CO</w:t>
      </w:r>
      <w:r>
        <w:rPr>
          <w:vertAlign w:val="subscript"/>
          <w:lang w:val="fr-FR"/>
        </w:rPr>
        <w:t>2</w:t>
      </w:r>
      <w:r>
        <w:rPr>
          <w:lang w:val="fr-FR"/>
        </w:rPr>
        <w:t xml:space="preserve"> du secteur des transports sont les émissions de CO</w:t>
      </w:r>
      <w:r>
        <w:rPr>
          <w:vertAlign w:val="subscript"/>
          <w:lang w:val="fr-FR"/>
        </w:rPr>
        <w:t>2</w:t>
      </w:r>
      <w:r>
        <w:rPr>
          <w:lang w:val="fr-FR"/>
        </w:rPr>
        <w:t xml:space="preserve"> directement imputables à l’activité de transport. Les émissions indirectes (extraction de combustibles fossiles, production de véhicules, incidences de certains modes de transport sur l’utilisation des terres, etc.) ne sont pas comptabilisées.</w:t>
      </w:r>
    </w:p>
    <w:p w14:paraId="02744334" w14:textId="77777777" w:rsidR="002B1D76" w:rsidRPr="00501EF4" w:rsidRDefault="002B1D76" w:rsidP="00636CA8">
      <w:pPr>
        <w:pStyle w:val="SingleTxtG"/>
        <w:rPr>
          <w:lang w:val="fr-FR"/>
        </w:rPr>
      </w:pPr>
      <w:r>
        <w:rPr>
          <w:lang w:val="fr-FR"/>
        </w:rPr>
        <w:t>4.</w:t>
      </w:r>
      <w:r>
        <w:rPr>
          <w:lang w:val="fr-FR"/>
        </w:rPr>
        <w:tab/>
        <w:t>Les sources de la plupart des citations sont fournies. Si des unités d’émissions différentes sont utilisées (émissions de gaz à effet de serre, équivalent CO</w:t>
      </w:r>
      <w:r>
        <w:rPr>
          <w:vertAlign w:val="subscript"/>
          <w:lang w:val="fr-FR"/>
        </w:rPr>
        <w:t>2</w:t>
      </w:r>
      <w:r>
        <w:rPr>
          <w:lang w:val="fr-FR"/>
        </w:rPr>
        <w:t>, etc.), les unités en question sont clairement précisées et la source est donnée.</w:t>
      </w:r>
    </w:p>
    <w:p w14:paraId="6E012143" w14:textId="6B0CA236" w:rsidR="00F9573C" w:rsidRPr="002B1D76" w:rsidRDefault="002B1D76" w:rsidP="002B1D76">
      <w:pPr>
        <w:spacing w:before="240"/>
        <w:jc w:val="center"/>
        <w:rPr>
          <w:u w:val="single"/>
          <w:lang w:val="fr-FR"/>
        </w:rPr>
      </w:pPr>
      <w:r w:rsidRPr="00501EF4">
        <w:rPr>
          <w:u w:val="single"/>
          <w:lang w:val="fr-FR"/>
        </w:rPr>
        <w:tab/>
      </w:r>
      <w:r w:rsidRPr="00501EF4">
        <w:rPr>
          <w:u w:val="single"/>
          <w:lang w:val="fr-FR"/>
        </w:rPr>
        <w:tab/>
      </w:r>
      <w:r w:rsidRPr="00501EF4">
        <w:rPr>
          <w:u w:val="single"/>
          <w:lang w:val="fr-FR"/>
        </w:rPr>
        <w:tab/>
      </w:r>
    </w:p>
    <w:sectPr w:rsidR="00F9573C" w:rsidRPr="002B1D76" w:rsidSect="002B1D76">
      <w:headerReference w:type="even" r:id="rId21"/>
      <w:headerReference w:type="default" r:id="rId22"/>
      <w:footerReference w:type="even" r:id="rId23"/>
      <w:footerReference w:type="default" r:id="rId24"/>
      <w:footerReference w:type="first" r:id="rId2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6F0A3" w14:textId="77777777" w:rsidR="00B737D4" w:rsidRDefault="00B737D4" w:rsidP="00F95C08">
      <w:pPr>
        <w:spacing w:line="240" w:lineRule="auto"/>
      </w:pPr>
    </w:p>
  </w:endnote>
  <w:endnote w:type="continuationSeparator" w:id="0">
    <w:p w14:paraId="70170FDC" w14:textId="77777777" w:rsidR="00B737D4" w:rsidRPr="00AC3823" w:rsidRDefault="00B737D4" w:rsidP="00AC3823">
      <w:pPr>
        <w:pStyle w:val="Pieddepage"/>
      </w:pPr>
    </w:p>
  </w:endnote>
  <w:endnote w:type="continuationNotice" w:id="1">
    <w:p w14:paraId="041EFAB1" w14:textId="77777777" w:rsidR="00B737D4" w:rsidRDefault="00B737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39B4" w14:textId="2A77AFED" w:rsidR="002B1D76" w:rsidRPr="002B1D76" w:rsidRDefault="002B1D76" w:rsidP="002B1D76">
    <w:pPr>
      <w:pStyle w:val="Pieddepage"/>
      <w:tabs>
        <w:tab w:val="right" w:pos="9638"/>
      </w:tabs>
    </w:pPr>
    <w:r w:rsidRPr="002B1D76">
      <w:rPr>
        <w:b/>
        <w:sz w:val="18"/>
      </w:rPr>
      <w:fldChar w:fldCharType="begin"/>
    </w:r>
    <w:r w:rsidRPr="002B1D76">
      <w:rPr>
        <w:b/>
        <w:sz w:val="18"/>
      </w:rPr>
      <w:instrText xml:space="preserve"> PAGE  \* MERGEFORMAT </w:instrText>
    </w:r>
    <w:r w:rsidRPr="002B1D76">
      <w:rPr>
        <w:b/>
        <w:sz w:val="18"/>
      </w:rPr>
      <w:fldChar w:fldCharType="separate"/>
    </w:r>
    <w:r w:rsidRPr="002B1D76">
      <w:rPr>
        <w:b/>
        <w:noProof/>
        <w:sz w:val="18"/>
      </w:rPr>
      <w:t>2</w:t>
    </w:r>
    <w:r w:rsidRPr="002B1D76">
      <w:rPr>
        <w:b/>
        <w:sz w:val="18"/>
      </w:rPr>
      <w:fldChar w:fldCharType="end"/>
    </w:r>
    <w:r>
      <w:rPr>
        <w:b/>
        <w:sz w:val="18"/>
      </w:rPr>
      <w:tab/>
    </w:r>
    <w:r>
      <w:t>GE.23-24869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8460" w14:textId="0C5080F5" w:rsidR="002B1D76" w:rsidRPr="002B1D76" w:rsidRDefault="002B1D76" w:rsidP="002B1D76">
    <w:pPr>
      <w:pStyle w:val="Pieddepage"/>
      <w:tabs>
        <w:tab w:val="right" w:pos="9638"/>
      </w:tabs>
      <w:rPr>
        <w:b/>
        <w:sz w:val="18"/>
      </w:rPr>
    </w:pPr>
    <w:r>
      <w:t>GE.23-24869</w:t>
    </w:r>
    <w:r>
      <w:tab/>
    </w:r>
    <w:r w:rsidRPr="002B1D76">
      <w:rPr>
        <w:b/>
        <w:sz w:val="18"/>
      </w:rPr>
      <w:fldChar w:fldCharType="begin"/>
    </w:r>
    <w:r w:rsidRPr="002B1D76">
      <w:rPr>
        <w:b/>
        <w:sz w:val="18"/>
      </w:rPr>
      <w:instrText xml:space="preserve"> PAGE  \* MERGEFORMAT </w:instrText>
    </w:r>
    <w:r w:rsidRPr="002B1D76">
      <w:rPr>
        <w:b/>
        <w:sz w:val="18"/>
      </w:rPr>
      <w:fldChar w:fldCharType="separate"/>
    </w:r>
    <w:r w:rsidRPr="002B1D76">
      <w:rPr>
        <w:b/>
        <w:noProof/>
        <w:sz w:val="18"/>
      </w:rPr>
      <w:t>3</w:t>
    </w:r>
    <w:r w:rsidRPr="002B1D7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B393" w14:textId="57E429B6" w:rsidR="007F20FA" w:rsidRPr="002B1D76" w:rsidRDefault="002B1D76" w:rsidP="002B1D76">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69031A12" wp14:editId="36288AF1">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23-24869  (F)</w:t>
    </w:r>
    <w:r>
      <w:rPr>
        <w:noProof/>
        <w:sz w:val="20"/>
      </w:rPr>
      <w:drawing>
        <wp:anchor distT="0" distB="0" distL="114300" distR="114300" simplePos="0" relativeHeight="251660288" behindDoc="0" locked="0" layoutInCell="1" allowOverlap="1" wp14:anchorId="2974B4FC" wp14:editId="07408E61">
          <wp:simplePos x="0" y="0"/>
          <wp:positionH relativeFrom="margin">
            <wp:posOffset>5489575</wp:posOffset>
          </wp:positionH>
          <wp:positionV relativeFrom="margin">
            <wp:posOffset>8891905</wp:posOffset>
          </wp:positionV>
          <wp:extent cx="561975" cy="5619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261223    261223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3D569" w14:textId="77777777" w:rsidR="00B737D4" w:rsidRPr="00AC3823" w:rsidRDefault="00B737D4" w:rsidP="00AC3823">
      <w:pPr>
        <w:pStyle w:val="Pieddepage"/>
        <w:tabs>
          <w:tab w:val="right" w:pos="2155"/>
        </w:tabs>
        <w:spacing w:after="80" w:line="240" w:lineRule="atLeast"/>
        <w:ind w:left="680"/>
        <w:rPr>
          <w:u w:val="single"/>
        </w:rPr>
      </w:pPr>
      <w:r>
        <w:rPr>
          <w:u w:val="single"/>
        </w:rPr>
        <w:tab/>
      </w:r>
    </w:p>
  </w:footnote>
  <w:footnote w:type="continuationSeparator" w:id="0">
    <w:p w14:paraId="01D6C69F" w14:textId="77777777" w:rsidR="00B737D4" w:rsidRPr="00AC3823" w:rsidRDefault="00B737D4" w:rsidP="00AC3823">
      <w:pPr>
        <w:pStyle w:val="Pieddepage"/>
        <w:tabs>
          <w:tab w:val="right" w:pos="2155"/>
        </w:tabs>
        <w:spacing w:after="80" w:line="240" w:lineRule="atLeast"/>
        <w:ind w:left="680"/>
        <w:rPr>
          <w:u w:val="single"/>
        </w:rPr>
      </w:pPr>
      <w:r>
        <w:rPr>
          <w:u w:val="single"/>
        </w:rPr>
        <w:tab/>
      </w:r>
    </w:p>
  </w:footnote>
  <w:footnote w:type="continuationNotice" w:id="1">
    <w:p w14:paraId="1FC9F01D" w14:textId="77777777" w:rsidR="00B737D4" w:rsidRPr="00AC3823" w:rsidRDefault="00B737D4">
      <w:pPr>
        <w:spacing w:line="240" w:lineRule="auto"/>
        <w:rPr>
          <w:sz w:val="2"/>
          <w:szCs w:val="2"/>
        </w:rPr>
      </w:pPr>
    </w:p>
  </w:footnote>
  <w:footnote w:id="2">
    <w:p w14:paraId="798064A8" w14:textId="77777777" w:rsidR="002B1D76" w:rsidRPr="00501EF4" w:rsidRDefault="002B1D76" w:rsidP="002B1D76">
      <w:pPr>
        <w:pStyle w:val="Notedebasdepage"/>
        <w:rPr>
          <w:lang w:val="fr-FR"/>
        </w:rPr>
      </w:pPr>
      <w:r>
        <w:rPr>
          <w:lang w:val="fr-FR"/>
        </w:rPr>
        <w:tab/>
      </w:r>
      <w:r w:rsidRPr="002B1D76">
        <w:rPr>
          <w:sz w:val="20"/>
          <w:lang w:val="fr-FR"/>
        </w:rPr>
        <w:t>*</w:t>
      </w:r>
      <w:r>
        <w:rPr>
          <w:lang w:val="fr-FR"/>
        </w:rPr>
        <w:tab/>
        <w:t>La version originale du présent document n’a pas été revue par les services d’édition.</w:t>
      </w:r>
    </w:p>
  </w:footnote>
  <w:footnote w:id="3">
    <w:p w14:paraId="0C53E448" w14:textId="52A1B34F"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Groupe d</w:t>
      </w:r>
      <w:r>
        <w:rPr>
          <w:lang w:val="fr-FR"/>
        </w:rPr>
        <w:t>’</w:t>
      </w:r>
      <w:r>
        <w:rPr>
          <w:lang w:val="fr-FR"/>
        </w:rPr>
        <w:t>experts intergouvernemental sur l</w:t>
      </w:r>
      <w:r>
        <w:rPr>
          <w:lang w:val="fr-FR"/>
        </w:rPr>
        <w:t>’</w:t>
      </w:r>
      <w:r>
        <w:rPr>
          <w:lang w:val="fr-FR"/>
        </w:rPr>
        <w:t>évolution du climat (GIEC) (2022), « </w:t>
      </w:r>
      <w:proofErr w:type="spellStart"/>
      <w:r>
        <w:rPr>
          <w:lang w:val="fr-FR"/>
        </w:rPr>
        <w:t>Climate</w:t>
      </w:r>
      <w:proofErr w:type="spellEnd"/>
      <w:r>
        <w:rPr>
          <w:lang w:val="fr-FR"/>
        </w:rPr>
        <w:t xml:space="preserve"> Change 2022: Mitigation of </w:t>
      </w:r>
      <w:proofErr w:type="spellStart"/>
      <w:r>
        <w:rPr>
          <w:lang w:val="fr-FR"/>
        </w:rPr>
        <w:t>Climate</w:t>
      </w:r>
      <w:proofErr w:type="spellEnd"/>
      <w:r>
        <w:rPr>
          <w:lang w:val="fr-FR"/>
        </w:rPr>
        <w:t xml:space="preserve"> Change. </w:t>
      </w:r>
      <w:proofErr w:type="spellStart"/>
      <w:r>
        <w:rPr>
          <w:lang w:val="fr-FR"/>
        </w:rPr>
        <w:t>Summary</w:t>
      </w:r>
      <w:proofErr w:type="spellEnd"/>
      <w:r>
        <w:rPr>
          <w:lang w:val="fr-FR"/>
        </w:rPr>
        <w:t xml:space="preserve"> for </w:t>
      </w:r>
      <w:proofErr w:type="spellStart"/>
      <w:r>
        <w:rPr>
          <w:lang w:val="fr-FR"/>
        </w:rPr>
        <w:t>Policymakers</w:t>
      </w:r>
      <w:proofErr w:type="spellEnd"/>
      <w:r>
        <w:rPr>
          <w:lang w:val="fr-FR"/>
        </w:rPr>
        <w:t> », disponible à l</w:t>
      </w:r>
      <w:r>
        <w:rPr>
          <w:lang w:val="fr-FR"/>
        </w:rPr>
        <w:t>’</w:t>
      </w:r>
      <w:r>
        <w:rPr>
          <w:lang w:val="fr-FR"/>
        </w:rPr>
        <w:t>adresse suivante</w:t>
      </w:r>
      <w:r>
        <w:rPr>
          <w:lang w:val="fr-FR"/>
        </w:rPr>
        <w:t> </w:t>
      </w:r>
      <w:r>
        <w:rPr>
          <w:lang w:val="fr-FR"/>
        </w:rPr>
        <w:t xml:space="preserve">: </w:t>
      </w:r>
      <w:hyperlink r:id="rId1" w:history="1">
        <w:r w:rsidR="00225419" w:rsidRPr="0078536E">
          <w:rPr>
            <w:rStyle w:val="Lienhypertexte"/>
            <w:lang w:val="fr-FR"/>
          </w:rPr>
          <w:t>https://www.ipcc.ch/report/ar6/wg3/downloads/report/IPCC_AR6_WGIII_SPM.pdf</w:t>
        </w:r>
      </w:hyperlink>
      <w:r>
        <w:rPr>
          <w:lang w:val="fr-FR"/>
        </w:rPr>
        <w:t xml:space="preserve">. </w:t>
      </w:r>
    </w:p>
  </w:footnote>
  <w:footnote w:id="4">
    <w:p w14:paraId="09694A11" w14:textId="5959A20A"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Administration américaine pour l</w:t>
      </w:r>
      <w:r>
        <w:rPr>
          <w:lang w:val="fr-FR"/>
        </w:rPr>
        <w:t>’</w:t>
      </w:r>
      <w:r>
        <w:rPr>
          <w:lang w:val="fr-FR"/>
        </w:rPr>
        <w:t>aéronautique et l</w:t>
      </w:r>
      <w:r>
        <w:rPr>
          <w:lang w:val="fr-FR"/>
        </w:rPr>
        <w:t>’</w:t>
      </w:r>
      <w:r>
        <w:rPr>
          <w:lang w:val="fr-FR"/>
        </w:rPr>
        <w:t xml:space="preserve">espace (NASA) (2022), « GISS Surface </w:t>
      </w:r>
      <w:proofErr w:type="spellStart"/>
      <w:r>
        <w:rPr>
          <w:lang w:val="fr-FR"/>
        </w:rPr>
        <w:t>Temperature</w:t>
      </w:r>
      <w:proofErr w:type="spellEnd"/>
      <w:r>
        <w:rPr>
          <w:lang w:val="fr-FR"/>
        </w:rPr>
        <w:t xml:space="preserve"> </w:t>
      </w:r>
      <w:proofErr w:type="spellStart"/>
      <w:r>
        <w:rPr>
          <w:lang w:val="fr-FR"/>
        </w:rPr>
        <w:t>Analysis</w:t>
      </w:r>
      <w:proofErr w:type="spellEnd"/>
      <w:r>
        <w:rPr>
          <w:lang w:val="fr-FR"/>
        </w:rPr>
        <w:t xml:space="preserve"> (v4) », disponible à l</w:t>
      </w:r>
      <w:r>
        <w:rPr>
          <w:lang w:val="fr-FR"/>
        </w:rPr>
        <w:t>’</w:t>
      </w:r>
      <w:r>
        <w:rPr>
          <w:lang w:val="fr-FR"/>
        </w:rPr>
        <w:t>adresse suivante</w:t>
      </w:r>
      <w:r>
        <w:rPr>
          <w:lang w:val="fr-FR"/>
        </w:rPr>
        <w:t> </w:t>
      </w:r>
      <w:r>
        <w:rPr>
          <w:lang w:val="fr-FR"/>
        </w:rPr>
        <w:t xml:space="preserve">: </w:t>
      </w:r>
      <w:hyperlink r:id="rId2" w:history="1">
        <w:r w:rsidR="00225419" w:rsidRPr="0078536E">
          <w:rPr>
            <w:rStyle w:val="Lienhypertexte"/>
            <w:lang w:val="fr-FR"/>
          </w:rPr>
          <w:t>https://data.giss.nasa.gov/gistemp/graphs_v4</w:t>
        </w:r>
      </w:hyperlink>
      <w:r>
        <w:rPr>
          <w:lang w:val="fr-FR"/>
        </w:rPr>
        <w:t xml:space="preserve">. </w:t>
      </w:r>
    </w:p>
  </w:footnote>
  <w:footnote w:id="5">
    <w:p w14:paraId="274B3296" w14:textId="157E7F4A" w:rsidR="002B1D76" w:rsidRPr="00170620" w:rsidRDefault="002B1D76" w:rsidP="002B1D76">
      <w:pPr>
        <w:pStyle w:val="Notedebasdepage"/>
        <w:rPr>
          <w:lang w:val="en-US"/>
        </w:rPr>
      </w:pPr>
      <w:r w:rsidRPr="00036F93">
        <w:rPr>
          <w:lang w:val="fr-FR"/>
        </w:rPr>
        <w:tab/>
      </w:r>
      <w:r w:rsidRPr="002B1D76">
        <w:rPr>
          <w:rStyle w:val="Appelnotedebasdep"/>
        </w:rPr>
        <w:footnoteRef/>
      </w:r>
      <w:r>
        <w:rPr>
          <w:lang w:val="fr-FR"/>
        </w:rPr>
        <w:tab/>
        <w:t>Travaux d</w:t>
      </w:r>
      <w:r>
        <w:rPr>
          <w:lang w:val="fr-FR"/>
        </w:rPr>
        <w:t>’</w:t>
      </w:r>
      <w:r>
        <w:rPr>
          <w:lang w:val="fr-FR"/>
        </w:rPr>
        <w:t>analyse du Partenariat pour des transports écologiques, à faible émission de carbone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Pr>
          <w:i/>
          <w:iCs/>
          <w:lang w:val="fr-FR"/>
        </w:rPr>
        <w:t>et al</w:t>
      </w:r>
      <w:r>
        <w:rPr>
          <w:lang w:val="fr-FR"/>
        </w:rPr>
        <w:t xml:space="preserve">. </w:t>
      </w:r>
      <w:r w:rsidRPr="00170620">
        <w:rPr>
          <w:lang w:val="en-US"/>
        </w:rPr>
        <w:t xml:space="preserve">(2023), « GHG emissions of all world countries </w:t>
      </w:r>
      <w:r w:rsidR="00170620" w:rsidRPr="00170620">
        <w:rPr>
          <w:lang w:val="en-US"/>
        </w:rPr>
        <w:t>−</w:t>
      </w:r>
      <w:r w:rsidRPr="00170620">
        <w:rPr>
          <w:lang w:val="en-US"/>
        </w:rPr>
        <w:t xml:space="preserve"> 2023 Report », disponible à </w:t>
      </w:r>
      <w:proofErr w:type="spellStart"/>
      <w:r w:rsidRPr="00170620">
        <w:rPr>
          <w:lang w:val="en-US"/>
        </w:rPr>
        <w:t>l</w:t>
      </w:r>
      <w:r w:rsidRPr="00170620">
        <w:rPr>
          <w:lang w:val="en-US"/>
        </w:rPr>
        <w:t>’</w:t>
      </w:r>
      <w:r w:rsidRPr="00170620">
        <w:rPr>
          <w:lang w:val="en-US"/>
        </w:rPr>
        <w:t>adresse</w:t>
      </w:r>
      <w:proofErr w:type="spellEnd"/>
      <w:r w:rsidRPr="00170620">
        <w:rPr>
          <w:lang w:val="en-US"/>
        </w:rPr>
        <w:t xml:space="preserve"> </w:t>
      </w:r>
      <w:proofErr w:type="spellStart"/>
      <w:r w:rsidRPr="00170620">
        <w:rPr>
          <w:lang w:val="en-US"/>
        </w:rPr>
        <w:t>suivante</w:t>
      </w:r>
      <w:proofErr w:type="spellEnd"/>
      <w:r w:rsidRPr="00170620">
        <w:rPr>
          <w:lang w:val="en-US"/>
        </w:rPr>
        <w:t> </w:t>
      </w:r>
      <w:r w:rsidRPr="00170620">
        <w:rPr>
          <w:lang w:val="en-US"/>
        </w:rPr>
        <w:t xml:space="preserve">: </w:t>
      </w:r>
      <w:hyperlink r:id="rId3" w:history="1">
        <w:r w:rsidR="00170620" w:rsidRPr="00170620">
          <w:rPr>
            <w:rStyle w:val="Lienhypertexte"/>
            <w:lang w:val="en-US"/>
          </w:rPr>
          <w:t>https://edgar.jrc.ec.europa.eu/report_2023</w:t>
        </w:r>
      </w:hyperlink>
      <w:r w:rsidRPr="00170620">
        <w:rPr>
          <w:lang w:val="en-US"/>
        </w:rPr>
        <w:t xml:space="preserve">. </w:t>
      </w:r>
    </w:p>
  </w:footnote>
  <w:footnote w:id="6">
    <w:p w14:paraId="0AE0781E" w14:textId="68DB8AC9" w:rsidR="002B1D76" w:rsidRPr="00501EF4" w:rsidRDefault="002B1D76" w:rsidP="002B1D76">
      <w:pPr>
        <w:pStyle w:val="Notedebasdepage"/>
        <w:rPr>
          <w:lang w:val="fr-FR"/>
        </w:rPr>
      </w:pPr>
      <w:r w:rsidRPr="00170620">
        <w:rPr>
          <w:lang w:val="en-US"/>
        </w:rPr>
        <w:tab/>
      </w:r>
      <w:r w:rsidRPr="002B1D76">
        <w:rPr>
          <w:rStyle w:val="Appelnotedebasdep"/>
        </w:rPr>
        <w:footnoteRef/>
      </w:r>
      <w:r>
        <w:rPr>
          <w:lang w:val="fr-FR"/>
        </w:rPr>
        <w:tab/>
        <w:t>Les « autres secteurs » englobent l</w:t>
      </w:r>
      <w:r>
        <w:rPr>
          <w:lang w:val="fr-FR"/>
        </w:rPr>
        <w:t>’</w:t>
      </w:r>
      <w:r>
        <w:rPr>
          <w:lang w:val="fr-FR"/>
        </w:rPr>
        <w:t>exploration d</w:t>
      </w:r>
      <w:r>
        <w:rPr>
          <w:lang w:val="fr-FR"/>
        </w:rPr>
        <w:t>’</w:t>
      </w:r>
      <w:r>
        <w:rPr>
          <w:lang w:val="fr-FR"/>
        </w:rPr>
        <w:t>hydrocarbures, la combustion industrielle, les procédés industriels et les déchets.</w:t>
      </w:r>
    </w:p>
  </w:footnote>
  <w:footnote w:id="7">
    <w:p w14:paraId="606CBF48" w14:textId="02EBF046" w:rsidR="002B1D76" w:rsidRPr="00170620" w:rsidRDefault="002B1D76" w:rsidP="002B1D76">
      <w:pPr>
        <w:pStyle w:val="Notedebasdepage"/>
        <w:rPr>
          <w:lang w:val="en-US"/>
        </w:rPr>
      </w:pPr>
      <w:r w:rsidRPr="00036F93">
        <w:rPr>
          <w:lang w:val="fr-FR"/>
        </w:rPr>
        <w:tab/>
      </w:r>
      <w:r w:rsidRPr="002B1D76">
        <w:rPr>
          <w:rStyle w:val="Appelnotedebasdep"/>
        </w:rPr>
        <w:footnoteRef/>
      </w:r>
      <w:r w:rsidRPr="00170620">
        <w:rPr>
          <w:spacing w:val="-2"/>
          <w:lang w:val="fr-FR"/>
        </w:rPr>
        <w:tab/>
        <w:t>Travaux d</w:t>
      </w:r>
      <w:r w:rsidRPr="00170620">
        <w:rPr>
          <w:spacing w:val="-2"/>
          <w:lang w:val="fr-FR"/>
        </w:rPr>
        <w:t>’</w:t>
      </w:r>
      <w:r w:rsidRPr="00170620">
        <w:rPr>
          <w:spacing w:val="-2"/>
          <w:lang w:val="fr-FR"/>
        </w:rPr>
        <w:t xml:space="preserve">analyse du </w:t>
      </w:r>
      <w:proofErr w:type="spellStart"/>
      <w:r w:rsidRPr="00170620">
        <w:rPr>
          <w:spacing w:val="-2"/>
          <w:lang w:val="fr-FR"/>
        </w:rPr>
        <w:t>SLoCaT</w:t>
      </w:r>
      <w:proofErr w:type="spellEnd"/>
      <w:r w:rsidRPr="00170620">
        <w:rPr>
          <w:spacing w:val="-2"/>
          <w:lang w:val="fr-FR"/>
        </w:rPr>
        <w:t>, d</w:t>
      </w:r>
      <w:r w:rsidRPr="00170620">
        <w:rPr>
          <w:spacing w:val="-2"/>
          <w:lang w:val="fr-FR"/>
        </w:rPr>
        <w:t>’</w:t>
      </w:r>
      <w:r w:rsidRPr="00170620">
        <w:rPr>
          <w:spacing w:val="-2"/>
          <w:lang w:val="fr-FR"/>
        </w:rPr>
        <w:t>après M.</w:t>
      </w:r>
      <w:r w:rsidRPr="00170620">
        <w:rPr>
          <w:spacing w:val="-2"/>
          <w:lang w:val="fr-FR"/>
        </w:rPr>
        <w:t> </w:t>
      </w:r>
      <w:proofErr w:type="spellStart"/>
      <w:r w:rsidRPr="00170620">
        <w:rPr>
          <w:spacing w:val="-2"/>
          <w:lang w:val="fr-FR"/>
        </w:rPr>
        <w:t>Crippa</w:t>
      </w:r>
      <w:proofErr w:type="spellEnd"/>
      <w:r w:rsidRPr="00170620">
        <w:rPr>
          <w:spacing w:val="-2"/>
          <w:lang w:val="fr-FR"/>
        </w:rPr>
        <w:t xml:space="preserve"> </w:t>
      </w:r>
      <w:r w:rsidRPr="00170620">
        <w:rPr>
          <w:i/>
          <w:iCs/>
          <w:spacing w:val="-2"/>
          <w:lang w:val="fr-FR"/>
        </w:rPr>
        <w:t>et al</w:t>
      </w:r>
      <w:r w:rsidRPr="00170620">
        <w:rPr>
          <w:spacing w:val="-2"/>
          <w:lang w:val="fr-FR"/>
        </w:rPr>
        <w:t xml:space="preserve">. </w:t>
      </w:r>
      <w:r w:rsidRPr="00170620">
        <w:rPr>
          <w:spacing w:val="-2"/>
          <w:lang w:val="en-US"/>
        </w:rPr>
        <w:t xml:space="preserve">(2023), « GHG emissions of all world countries </w:t>
      </w:r>
      <w:r w:rsidR="00170620" w:rsidRPr="00170620">
        <w:rPr>
          <w:spacing w:val="-2"/>
          <w:lang w:val="en-US"/>
        </w:rPr>
        <w:t>−</w:t>
      </w:r>
      <w:r w:rsidRPr="00170620">
        <w:rPr>
          <w:spacing w:val="-2"/>
          <w:lang w:val="en-US"/>
        </w:rPr>
        <w:t xml:space="preserve"> 2023 Report », disponible à </w:t>
      </w:r>
      <w:proofErr w:type="spellStart"/>
      <w:r w:rsidRPr="00170620">
        <w:rPr>
          <w:spacing w:val="-2"/>
          <w:lang w:val="en-US"/>
        </w:rPr>
        <w:t>l</w:t>
      </w:r>
      <w:r w:rsidRPr="00170620">
        <w:rPr>
          <w:spacing w:val="-2"/>
          <w:lang w:val="en-US"/>
        </w:rPr>
        <w:t>’</w:t>
      </w:r>
      <w:r w:rsidRPr="00170620">
        <w:rPr>
          <w:spacing w:val="-2"/>
          <w:lang w:val="en-US"/>
        </w:rPr>
        <w:t>adresse</w:t>
      </w:r>
      <w:proofErr w:type="spellEnd"/>
      <w:r w:rsidRPr="00170620">
        <w:rPr>
          <w:spacing w:val="-2"/>
          <w:lang w:val="en-US"/>
        </w:rPr>
        <w:t xml:space="preserve"> </w:t>
      </w:r>
      <w:proofErr w:type="spellStart"/>
      <w:r w:rsidRPr="00170620">
        <w:rPr>
          <w:spacing w:val="-2"/>
          <w:lang w:val="en-US"/>
        </w:rPr>
        <w:t>suivante</w:t>
      </w:r>
      <w:proofErr w:type="spellEnd"/>
      <w:r w:rsidRPr="00170620">
        <w:rPr>
          <w:spacing w:val="-2"/>
          <w:lang w:val="en-US"/>
        </w:rPr>
        <w:t> </w:t>
      </w:r>
      <w:r w:rsidRPr="00170620">
        <w:rPr>
          <w:spacing w:val="-2"/>
          <w:lang w:val="en-US"/>
        </w:rPr>
        <w:t xml:space="preserve">: </w:t>
      </w:r>
      <w:hyperlink r:id="rId4" w:history="1">
        <w:r w:rsidR="00170620" w:rsidRPr="00170620">
          <w:rPr>
            <w:rStyle w:val="Lienhypertexte"/>
            <w:spacing w:val="-2"/>
            <w:lang w:val="en-US"/>
          </w:rPr>
          <w:t>https://edgar.jrc.ec.europa.eu/report_2023</w:t>
        </w:r>
      </w:hyperlink>
      <w:r w:rsidRPr="00170620">
        <w:rPr>
          <w:spacing w:val="-2"/>
          <w:lang w:val="en-US"/>
        </w:rPr>
        <w:t>.</w:t>
      </w:r>
    </w:p>
  </w:footnote>
  <w:footnote w:id="8">
    <w:p w14:paraId="46F329B0" w14:textId="70818690" w:rsidR="002B1D76" w:rsidRPr="00170620" w:rsidRDefault="002B1D76" w:rsidP="002B1D76">
      <w:pPr>
        <w:pStyle w:val="Notedebasdepage"/>
        <w:rPr>
          <w:lang w:val="en-US"/>
        </w:rPr>
      </w:pPr>
      <w:r w:rsidRPr="00170620">
        <w:rPr>
          <w:lang w:val="en-US"/>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170620">
        <w:rPr>
          <w:i/>
          <w:iCs/>
          <w:lang w:val="fr-FR"/>
        </w:rPr>
        <w:t>et al</w:t>
      </w:r>
      <w:r>
        <w:rPr>
          <w:lang w:val="fr-FR"/>
        </w:rPr>
        <w:t xml:space="preserve">. </w:t>
      </w:r>
      <w:r w:rsidRPr="00170620">
        <w:rPr>
          <w:lang w:val="en-US"/>
        </w:rPr>
        <w:t xml:space="preserve">(2023), « GHG emissions of all world </w:t>
      </w:r>
      <w:r w:rsidRPr="00170620">
        <w:rPr>
          <w:spacing w:val="-2"/>
          <w:lang w:val="en-US"/>
        </w:rPr>
        <w:t xml:space="preserve">countries </w:t>
      </w:r>
      <w:r w:rsidR="00170620" w:rsidRPr="00170620">
        <w:rPr>
          <w:spacing w:val="-2"/>
          <w:lang w:val="en-US"/>
        </w:rPr>
        <w:t>−</w:t>
      </w:r>
      <w:r w:rsidRPr="00170620">
        <w:rPr>
          <w:spacing w:val="-2"/>
          <w:lang w:val="en-US"/>
        </w:rPr>
        <w:t xml:space="preserve"> 2023 Report », disponible à </w:t>
      </w:r>
      <w:proofErr w:type="spellStart"/>
      <w:r w:rsidRPr="00170620">
        <w:rPr>
          <w:spacing w:val="-2"/>
          <w:lang w:val="en-US"/>
        </w:rPr>
        <w:t>l</w:t>
      </w:r>
      <w:r w:rsidRPr="00170620">
        <w:rPr>
          <w:spacing w:val="-2"/>
          <w:lang w:val="en-US"/>
        </w:rPr>
        <w:t>’</w:t>
      </w:r>
      <w:r w:rsidRPr="00170620">
        <w:rPr>
          <w:spacing w:val="-2"/>
          <w:lang w:val="en-US"/>
        </w:rPr>
        <w:t>adresse</w:t>
      </w:r>
      <w:proofErr w:type="spellEnd"/>
      <w:r w:rsidRPr="00170620">
        <w:rPr>
          <w:spacing w:val="-2"/>
          <w:lang w:val="en-US"/>
        </w:rPr>
        <w:t xml:space="preserve"> </w:t>
      </w:r>
      <w:proofErr w:type="spellStart"/>
      <w:r w:rsidRPr="00170620">
        <w:rPr>
          <w:spacing w:val="-2"/>
          <w:lang w:val="en-US"/>
        </w:rPr>
        <w:t>suivante</w:t>
      </w:r>
      <w:proofErr w:type="spellEnd"/>
      <w:r w:rsidRPr="00170620">
        <w:rPr>
          <w:spacing w:val="-2"/>
          <w:lang w:val="en-US"/>
        </w:rPr>
        <w:t> </w:t>
      </w:r>
      <w:r w:rsidRPr="00170620">
        <w:rPr>
          <w:spacing w:val="-2"/>
          <w:lang w:val="en-US"/>
        </w:rPr>
        <w:t xml:space="preserve">: </w:t>
      </w:r>
      <w:hyperlink r:id="rId5" w:history="1">
        <w:r w:rsidR="00170620" w:rsidRPr="00170620">
          <w:rPr>
            <w:rStyle w:val="Lienhypertexte"/>
            <w:spacing w:val="-2"/>
            <w:lang w:val="en-US"/>
          </w:rPr>
          <w:t>https://edgar.jrc.ec.europa.eu/report_2023</w:t>
        </w:r>
      </w:hyperlink>
      <w:r w:rsidRPr="00170620">
        <w:rPr>
          <w:spacing w:val="-2"/>
          <w:lang w:val="en-US"/>
        </w:rPr>
        <w:t>.</w:t>
      </w:r>
      <w:r w:rsidRPr="00170620">
        <w:rPr>
          <w:lang w:val="en-US"/>
        </w:rPr>
        <w:t xml:space="preserve"> </w:t>
      </w:r>
    </w:p>
  </w:footnote>
  <w:footnote w:id="9">
    <w:p w14:paraId="79931A6D" w14:textId="1867D891" w:rsidR="002B1D76" w:rsidRPr="002B1D76" w:rsidRDefault="002B1D76" w:rsidP="002B1D76">
      <w:pPr>
        <w:pStyle w:val="Notedebasdepage"/>
        <w:rPr>
          <w:lang w:val="en-US"/>
        </w:rPr>
      </w:pPr>
      <w:r w:rsidRPr="00170620">
        <w:rPr>
          <w:lang w:val="en-US"/>
        </w:rPr>
        <w:tab/>
      </w:r>
      <w:r w:rsidRPr="002B1D76">
        <w:rPr>
          <w:rStyle w:val="Appelnotedebasdep"/>
        </w:rPr>
        <w:footnoteRef/>
      </w:r>
      <w:r>
        <w:rPr>
          <w:lang w:val="fr-FR"/>
        </w:rPr>
        <w:tab/>
        <w:t xml:space="preserve">Institut des ressources mondiales (2022), « Transport, </w:t>
      </w:r>
      <w:proofErr w:type="spellStart"/>
      <w:r>
        <w:rPr>
          <w:lang w:val="fr-FR"/>
        </w:rPr>
        <w:t>Systems</w:t>
      </w:r>
      <w:proofErr w:type="spellEnd"/>
      <w:r>
        <w:rPr>
          <w:lang w:val="fr-FR"/>
        </w:rPr>
        <w:t xml:space="preserve"> Change </w:t>
      </w:r>
      <w:proofErr w:type="spellStart"/>
      <w:r>
        <w:rPr>
          <w:lang w:val="fr-FR"/>
        </w:rPr>
        <w:t>Lab</w:t>
      </w:r>
      <w:proofErr w:type="spellEnd"/>
      <w:r>
        <w:rPr>
          <w:lang w:val="fr-FR"/>
        </w:rPr>
        <w:t> », disponible à l</w:t>
      </w:r>
      <w:r>
        <w:rPr>
          <w:lang w:val="fr-FR"/>
        </w:rPr>
        <w:t>’</w:t>
      </w:r>
      <w:r>
        <w:rPr>
          <w:lang w:val="fr-FR"/>
        </w:rPr>
        <w:t>adresse suivante</w:t>
      </w:r>
      <w:r>
        <w:rPr>
          <w:lang w:val="fr-FR"/>
        </w:rPr>
        <w:t> </w:t>
      </w:r>
      <w:r>
        <w:rPr>
          <w:lang w:val="fr-FR"/>
        </w:rPr>
        <w:t xml:space="preserve">: </w:t>
      </w:r>
      <w:hyperlink r:id="rId6" w:history="1">
        <w:r w:rsidR="00170620" w:rsidRPr="0078536E">
          <w:rPr>
            <w:rStyle w:val="Lienhypertexte"/>
            <w:lang w:val="fr-FR"/>
          </w:rPr>
          <w:t>https://systemschangelab.org/transport</w:t>
        </w:r>
      </w:hyperlink>
      <w:r w:rsidRPr="00170620">
        <w:rPr>
          <w:lang w:val="fr-FR"/>
        </w:rPr>
        <w:t> </w:t>
      </w:r>
      <w:r w:rsidRPr="00170620">
        <w:rPr>
          <w:lang w:val="fr-FR"/>
        </w:rPr>
        <w:t>;</w:t>
      </w:r>
      <w:r>
        <w:rPr>
          <w:lang w:val="fr-FR"/>
        </w:rPr>
        <w:t xml:space="preserve"> J. D.</w:t>
      </w:r>
      <w:r>
        <w:rPr>
          <w:lang w:val="fr-FR"/>
        </w:rPr>
        <w:t> </w:t>
      </w:r>
      <w:r>
        <w:rPr>
          <w:lang w:val="fr-FR"/>
        </w:rPr>
        <w:t xml:space="preserve">Sachs </w:t>
      </w:r>
      <w:r>
        <w:rPr>
          <w:i/>
          <w:iCs/>
          <w:lang w:val="fr-FR"/>
        </w:rPr>
        <w:t>et al</w:t>
      </w:r>
      <w:r>
        <w:rPr>
          <w:lang w:val="fr-FR"/>
        </w:rPr>
        <w:t xml:space="preserve">. </w:t>
      </w:r>
      <w:r w:rsidRPr="00501EF4">
        <w:rPr>
          <w:lang w:val="en-US"/>
        </w:rPr>
        <w:t xml:space="preserve">(2022), </w:t>
      </w:r>
      <w:r w:rsidRPr="0055524E">
        <w:rPr>
          <w:lang w:val="en-US"/>
        </w:rPr>
        <w:t>« </w:t>
      </w:r>
      <w:r w:rsidRPr="00501EF4">
        <w:rPr>
          <w:lang w:val="en-US"/>
        </w:rPr>
        <w:t>Sustainable Development Report 2022: From Crisis to Sustainable Development: The SDGs as Roadmap to 2030 and Beyond</w:t>
      </w:r>
      <w:r>
        <w:rPr>
          <w:lang w:val="en-US"/>
        </w:rPr>
        <w:t> </w:t>
      </w:r>
      <w:r w:rsidRPr="0055524E">
        <w:rPr>
          <w:lang w:val="en-US"/>
        </w:rPr>
        <w:t>»</w:t>
      </w:r>
      <w:r w:rsidRPr="00501EF4">
        <w:rPr>
          <w:lang w:val="en-US"/>
        </w:rPr>
        <w:t xml:space="preserve">,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7" w:history="1">
        <w:r w:rsidR="00170620" w:rsidRPr="0078536E">
          <w:rPr>
            <w:rStyle w:val="Lienhypertexte"/>
            <w:lang w:val="en-US"/>
          </w:rPr>
          <w:t>https://bit.ly/3qtgdQT</w:t>
        </w:r>
      </w:hyperlink>
      <w:r w:rsidRPr="00501EF4">
        <w:rPr>
          <w:lang w:val="en-US"/>
        </w:rPr>
        <w:t>.</w:t>
      </w:r>
    </w:p>
  </w:footnote>
  <w:footnote w:id="10">
    <w:p w14:paraId="1B69D178" w14:textId="49CAD193" w:rsidR="002B1D76" w:rsidRPr="002B1D76" w:rsidRDefault="002B1D76" w:rsidP="002B1D76">
      <w:pPr>
        <w:pStyle w:val="Notedebasdepage"/>
        <w:rPr>
          <w:lang w:val="en-US"/>
        </w:rPr>
      </w:pPr>
      <w:r w:rsidRPr="00501EF4">
        <w:rPr>
          <w:lang w:val="en-US"/>
        </w:rPr>
        <w:tab/>
      </w:r>
      <w:r w:rsidRPr="002B1D76">
        <w:rPr>
          <w:rStyle w:val="Appelnotedebasdep"/>
        </w:rPr>
        <w:footnoteRef/>
      </w:r>
      <w:r w:rsidRPr="00501EF4">
        <w:rPr>
          <w:lang w:val="en-US"/>
        </w:rPr>
        <w:tab/>
      </w:r>
      <w:proofErr w:type="spellStart"/>
      <w:r w:rsidRPr="00501EF4">
        <w:rPr>
          <w:lang w:val="en-US"/>
        </w:rPr>
        <w:t>SLoCaT</w:t>
      </w:r>
      <w:proofErr w:type="spellEnd"/>
      <w:r w:rsidRPr="00501EF4">
        <w:rPr>
          <w:lang w:val="en-US"/>
        </w:rPr>
        <w:t xml:space="preserve"> (2023), </w:t>
      </w:r>
      <w:r w:rsidRPr="0055524E">
        <w:rPr>
          <w:lang w:val="en-US"/>
        </w:rPr>
        <w:t>« </w:t>
      </w:r>
      <w:r w:rsidRPr="00501EF4">
        <w:rPr>
          <w:lang w:val="en-US"/>
        </w:rPr>
        <w:t>Takeaways for Decision Makers From Turbulence to Transformation: Navigating Challenges Towards Action on Transport, Climate and Sustainability</w:t>
      </w:r>
      <w:r>
        <w:rPr>
          <w:lang w:val="en-US"/>
        </w:rPr>
        <w:t> </w:t>
      </w:r>
      <w:r w:rsidRPr="0055524E">
        <w:rPr>
          <w:lang w:val="en-US"/>
        </w:rPr>
        <w:t>»</w:t>
      </w:r>
      <w:r w:rsidRPr="00501EF4">
        <w:rPr>
          <w:lang w:val="en-US"/>
        </w:rPr>
        <w:t xml:space="preserve">, </w:t>
      </w:r>
      <w:proofErr w:type="spellStart"/>
      <w:r w:rsidRPr="00501EF4">
        <w:rPr>
          <w:lang w:val="en-US"/>
        </w:rPr>
        <w:t>SLoCaT</w:t>
      </w:r>
      <w:proofErr w:type="spellEnd"/>
      <w:r w:rsidRPr="00501EF4">
        <w:rPr>
          <w:lang w:val="en-US"/>
        </w:rPr>
        <w:t xml:space="preserve"> Global Status Report on Transport, Climate and Sustainability, 3</w:t>
      </w:r>
      <w:r>
        <w:rPr>
          <w:lang w:val="en-US"/>
        </w:rPr>
        <w:t> </w:t>
      </w:r>
      <w:proofErr w:type="spellStart"/>
      <w:r w:rsidRPr="00501EF4">
        <w:rPr>
          <w:lang w:val="en-US"/>
        </w:rPr>
        <w:t>rd</w:t>
      </w:r>
      <w:proofErr w:type="spellEnd"/>
      <w:r w:rsidRPr="00501EF4">
        <w:rPr>
          <w:lang w:val="en-US"/>
        </w:rPr>
        <w:t xml:space="preserve"> edition,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8" w:history="1">
        <w:r w:rsidR="00170620" w:rsidRPr="0078536E">
          <w:rPr>
            <w:rStyle w:val="Lienhypertexte"/>
            <w:lang w:val="en-US"/>
          </w:rPr>
          <w:t>https://tcc-gsr.com/takeways-for-decision-makers/</w:t>
        </w:r>
      </w:hyperlink>
      <w:r w:rsidRPr="00501EF4">
        <w:rPr>
          <w:lang w:val="en-US"/>
        </w:rPr>
        <w:t>.</w:t>
      </w:r>
    </w:p>
  </w:footnote>
  <w:footnote w:id="11">
    <w:p w14:paraId="4595A476" w14:textId="38B26888" w:rsidR="002B1D76" w:rsidRPr="00501EF4" w:rsidRDefault="002B1D76" w:rsidP="002B1D76">
      <w:pPr>
        <w:pStyle w:val="Notedebasdepage"/>
        <w:rPr>
          <w:lang w:val="fr-FR"/>
        </w:rPr>
      </w:pPr>
      <w:r w:rsidRPr="00501EF4">
        <w:rPr>
          <w:lang w:val="en-US"/>
        </w:rPr>
        <w:tab/>
      </w:r>
      <w:r w:rsidRPr="002B1D76">
        <w:rPr>
          <w:rStyle w:val="Appelnotedebasdep"/>
        </w:rPr>
        <w:footnoteRef/>
      </w:r>
      <w:r>
        <w:rPr>
          <w:lang w:val="fr-FR"/>
        </w:rPr>
        <w:tab/>
        <w:t xml:space="preserve">Division de statistique (2023), « The </w:t>
      </w:r>
      <w:proofErr w:type="spellStart"/>
      <w:r>
        <w:rPr>
          <w:lang w:val="fr-FR"/>
        </w:rPr>
        <w:t>Sustainable</w:t>
      </w:r>
      <w:proofErr w:type="spellEnd"/>
      <w:r>
        <w:rPr>
          <w:lang w:val="fr-FR"/>
        </w:rPr>
        <w:t xml:space="preserve"> </w:t>
      </w:r>
      <w:proofErr w:type="spellStart"/>
      <w:r>
        <w:rPr>
          <w:lang w:val="fr-FR"/>
        </w:rPr>
        <w:t>Development</w:t>
      </w:r>
      <w:proofErr w:type="spellEnd"/>
      <w:r>
        <w:rPr>
          <w:lang w:val="fr-FR"/>
        </w:rPr>
        <w:t xml:space="preserve"> Goals Report 2023: </w:t>
      </w:r>
      <w:proofErr w:type="spellStart"/>
      <w:r>
        <w:rPr>
          <w:lang w:val="fr-FR"/>
        </w:rPr>
        <w:t>Special</w:t>
      </w:r>
      <w:proofErr w:type="spellEnd"/>
      <w:r>
        <w:rPr>
          <w:lang w:val="fr-FR"/>
        </w:rPr>
        <w:t xml:space="preserve"> Edition », disponible à l</w:t>
      </w:r>
      <w:r>
        <w:rPr>
          <w:lang w:val="fr-FR"/>
        </w:rPr>
        <w:t>’</w:t>
      </w:r>
      <w:r>
        <w:rPr>
          <w:lang w:val="fr-FR"/>
        </w:rPr>
        <w:t>adresse suivante</w:t>
      </w:r>
      <w:r>
        <w:rPr>
          <w:lang w:val="fr-FR"/>
        </w:rPr>
        <w:t> </w:t>
      </w:r>
      <w:r>
        <w:rPr>
          <w:lang w:val="fr-FR"/>
        </w:rPr>
        <w:t xml:space="preserve">: </w:t>
      </w:r>
      <w:hyperlink r:id="rId9" w:history="1">
        <w:r w:rsidR="00170620" w:rsidRPr="0078536E">
          <w:rPr>
            <w:rStyle w:val="Lienhypertexte"/>
            <w:lang w:val="fr-FR"/>
          </w:rPr>
          <w:t>https://unstats.un.org/sdgs/report/2023/</w:t>
        </w:r>
      </w:hyperlink>
      <w:r w:rsidR="00170620">
        <w:rPr>
          <w:lang w:val="fr-FR"/>
        </w:rPr>
        <w:t>.</w:t>
      </w:r>
    </w:p>
  </w:footnote>
  <w:footnote w:id="12">
    <w:p w14:paraId="18D321BB" w14:textId="3781E2E9"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 xml:space="preserve">Conférence des Nations Unies sur le commerce et le développement (CNUCED) (2022), « Maritime Trade </w:t>
      </w:r>
      <w:proofErr w:type="spellStart"/>
      <w:r>
        <w:rPr>
          <w:lang w:val="fr-FR"/>
        </w:rPr>
        <w:t>Disrupted</w:t>
      </w:r>
      <w:proofErr w:type="spellEnd"/>
      <w:r>
        <w:rPr>
          <w:lang w:val="fr-FR"/>
        </w:rPr>
        <w:t xml:space="preserve">: The </w:t>
      </w:r>
      <w:proofErr w:type="spellStart"/>
      <w:r>
        <w:rPr>
          <w:lang w:val="fr-FR"/>
        </w:rPr>
        <w:t>War</w:t>
      </w:r>
      <w:proofErr w:type="spellEnd"/>
      <w:r>
        <w:rPr>
          <w:lang w:val="fr-FR"/>
        </w:rPr>
        <w:t xml:space="preserve"> in Ukraine and </w:t>
      </w:r>
      <w:proofErr w:type="spellStart"/>
      <w:r>
        <w:rPr>
          <w:lang w:val="fr-FR"/>
        </w:rPr>
        <w:t>Its</w:t>
      </w:r>
      <w:proofErr w:type="spellEnd"/>
      <w:r>
        <w:rPr>
          <w:lang w:val="fr-FR"/>
        </w:rPr>
        <w:t xml:space="preserve"> </w:t>
      </w:r>
      <w:proofErr w:type="spellStart"/>
      <w:r>
        <w:rPr>
          <w:lang w:val="fr-FR"/>
        </w:rPr>
        <w:t>Effects</w:t>
      </w:r>
      <w:proofErr w:type="spellEnd"/>
      <w:r>
        <w:rPr>
          <w:lang w:val="fr-FR"/>
        </w:rPr>
        <w:t xml:space="preserve"> on Maritime Trade </w:t>
      </w:r>
      <w:proofErr w:type="spellStart"/>
      <w:r>
        <w:rPr>
          <w:lang w:val="fr-FR"/>
        </w:rPr>
        <w:t>Logistics</w:t>
      </w:r>
      <w:proofErr w:type="spellEnd"/>
      <w:r>
        <w:rPr>
          <w:lang w:val="fr-FR"/>
        </w:rPr>
        <w:t> », disponible à l</w:t>
      </w:r>
      <w:r>
        <w:rPr>
          <w:lang w:val="fr-FR"/>
        </w:rPr>
        <w:t>’</w:t>
      </w:r>
      <w:r>
        <w:rPr>
          <w:lang w:val="fr-FR"/>
        </w:rPr>
        <w:t>adresse suivante</w:t>
      </w:r>
      <w:r>
        <w:rPr>
          <w:lang w:val="fr-FR"/>
        </w:rPr>
        <w:t> </w:t>
      </w:r>
      <w:r>
        <w:rPr>
          <w:lang w:val="fr-FR"/>
        </w:rPr>
        <w:t xml:space="preserve">: </w:t>
      </w:r>
      <w:hyperlink r:id="rId10" w:history="1">
        <w:r w:rsidR="00170620" w:rsidRPr="0078536E">
          <w:rPr>
            <w:rStyle w:val="Lienhypertexte"/>
            <w:lang w:val="fr-FR"/>
          </w:rPr>
          <w:t>https://unctad.org/system/files/official-document/osginf2022d2_en.pdf</w:t>
        </w:r>
      </w:hyperlink>
      <w:r>
        <w:rPr>
          <w:lang w:val="fr-FR"/>
        </w:rPr>
        <w:t>.</w:t>
      </w:r>
    </w:p>
  </w:footnote>
  <w:footnote w:id="13">
    <w:p w14:paraId="76C1B4C2" w14:textId="5C145F47" w:rsidR="002B1D76" w:rsidRPr="00170620" w:rsidRDefault="002B1D76" w:rsidP="002B1D76">
      <w:pPr>
        <w:pStyle w:val="Notedebasdepage"/>
        <w:rPr>
          <w:lang w:val="fr-FR"/>
        </w:rPr>
      </w:pPr>
      <w:r w:rsidRPr="00F848BA">
        <w:rPr>
          <w:lang w:val="fr-FR"/>
        </w:rPr>
        <w:tab/>
      </w:r>
      <w:r w:rsidRPr="002B1D76">
        <w:rPr>
          <w:rStyle w:val="Appelnotedebasdep"/>
        </w:rPr>
        <w:footnoteRef/>
      </w:r>
      <w:r>
        <w:rPr>
          <w:lang w:val="fr-FR"/>
        </w:rPr>
        <w:tab/>
        <w:t>E. E.</w:t>
      </w:r>
      <w:r>
        <w:rPr>
          <w:lang w:val="fr-FR"/>
        </w:rPr>
        <w:t> </w:t>
      </w:r>
      <w:proofErr w:type="spellStart"/>
      <w:r>
        <w:rPr>
          <w:lang w:val="fr-FR"/>
        </w:rPr>
        <w:t>Koks</w:t>
      </w:r>
      <w:proofErr w:type="spellEnd"/>
      <w:r>
        <w:rPr>
          <w:lang w:val="fr-FR"/>
        </w:rPr>
        <w:t xml:space="preserve"> </w:t>
      </w:r>
      <w:r>
        <w:rPr>
          <w:i/>
          <w:iCs/>
          <w:lang w:val="fr-FR"/>
        </w:rPr>
        <w:t>et al</w:t>
      </w:r>
      <w:r>
        <w:rPr>
          <w:lang w:val="fr-FR"/>
        </w:rPr>
        <w:t xml:space="preserve">. </w:t>
      </w:r>
      <w:r w:rsidRPr="00170620">
        <w:rPr>
          <w:lang w:val="fr-FR"/>
        </w:rPr>
        <w:t>(2019), « A global multi-</w:t>
      </w:r>
      <w:proofErr w:type="spellStart"/>
      <w:r w:rsidRPr="00170620">
        <w:rPr>
          <w:lang w:val="fr-FR"/>
        </w:rPr>
        <w:t>hazard</w:t>
      </w:r>
      <w:proofErr w:type="spellEnd"/>
      <w:r w:rsidRPr="00170620">
        <w:rPr>
          <w:lang w:val="fr-FR"/>
        </w:rPr>
        <w:t xml:space="preserve"> </w:t>
      </w:r>
      <w:proofErr w:type="spellStart"/>
      <w:r w:rsidRPr="00170620">
        <w:rPr>
          <w:lang w:val="fr-FR"/>
        </w:rPr>
        <w:t>risk</w:t>
      </w:r>
      <w:proofErr w:type="spellEnd"/>
      <w:r w:rsidRPr="00170620">
        <w:rPr>
          <w:lang w:val="fr-FR"/>
        </w:rPr>
        <w:t xml:space="preserve"> </w:t>
      </w:r>
      <w:proofErr w:type="spellStart"/>
      <w:r w:rsidRPr="00170620">
        <w:rPr>
          <w:lang w:val="fr-FR"/>
        </w:rPr>
        <w:t>analysis</w:t>
      </w:r>
      <w:proofErr w:type="spellEnd"/>
      <w:r w:rsidRPr="00170620">
        <w:rPr>
          <w:lang w:val="fr-FR"/>
        </w:rPr>
        <w:t xml:space="preserve"> of road and railway infrastructure assets », </w:t>
      </w:r>
      <w:r w:rsidRPr="00170620">
        <w:rPr>
          <w:i/>
          <w:iCs/>
          <w:lang w:val="fr-FR"/>
        </w:rPr>
        <w:t>Nature Communications</w:t>
      </w:r>
      <w:r w:rsidRPr="00170620">
        <w:rPr>
          <w:lang w:val="fr-FR"/>
        </w:rPr>
        <w:t>, Vol. 10, n</w:t>
      </w:r>
      <w:r w:rsidRPr="00170620">
        <w:rPr>
          <w:vertAlign w:val="superscript"/>
          <w:lang w:val="fr-FR"/>
        </w:rPr>
        <w:t>o</w:t>
      </w:r>
      <w:r w:rsidRPr="00170620">
        <w:rPr>
          <w:lang w:val="fr-FR"/>
        </w:rPr>
        <w:t> 2677, disponible à l</w:t>
      </w:r>
      <w:r w:rsidRPr="00170620">
        <w:rPr>
          <w:lang w:val="fr-FR"/>
        </w:rPr>
        <w:t>’</w:t>
      </w:r>
      <w:r w:rsidRPr="00170620">
        <w:rPr>
          <w:lang w:val="fr-FR"/>
        </w:rPr>
        <w:t>adresse suivante</w:t>
      </w:r>
      <w:r w:rsidRPr="00170620">
        <w:rPr>
          <w:lang w:val="fr-FR"/>
        </w:rPr>
        <w:t> </w:t>
      </w:r>
      <w:r w:rsidRPr="00170620">
        <w:rPr>
          <w:lang w:val="fr-FR"/>
        </w:rPr>
        <w:t xml:space="preserve">: </w:t>
      </w:r>
      <w:hyperlink r:id="rId11" w:history="1">
        <w:r w:rsidR="00170620" w:rsidRPr="0078536E">
          <w:rPr>
            <w:rStyle w:val="Lienhypertexte"/>
            <w:lang w:val="fr-FR"/>
          </w:rPr>
          <w:t>https://www.nature.com/articles/s41467-019-10442-3</w:t>
        </w:r>
      </w:hyperlink>
      <w:r w:rsidRPr="00170620">
        <w:rPr>
          <w:lang w:val="fr-FR"/>
        </w:rPr>
        <w:t>.</w:t>
      </w:r>
    </w:p>
  </w:footnote>
  <w:footnote w:id="14">
    <w:p w14:paraId="00406EAA" w14:textId="0089148D" w:rsidR="002B1D76" w:rsidRPr="00501EF4" w:rsidRDefault="002B1D76" w:rsidP="002B1D76">
      <w:pPr>
        <w:pStyle w:val="Notedebasdepage"/>
        <w:rPr>
          <w:lang w:val="fr-FR"/>
        </w:rPr>
      </w:pPr>
      <w:r w:rsidRPr="00170620">
        <w:rPr>
          <w:lang w:val="fr-FR"/>
        </w:rPr>
        <w:tab/>
      </w:r>
      <w:r w:rsidRPr="002B1D76">
        <w:rPr>
          <w:rStyle w:val="Appelnotedebasdep"/>
        </w:rPr>
        <w:footnoteRef/>
      </w:r>
      <w:r>
        <w:rPr>
          <w:lang w:val="fr-FR"/>
        </w:rPr>
        <w:tab/>
        <w:t>S.</w:t>
      </w:r>
      <w:r>
        <w:rPr>
          <w:lang w:val="fr-FR"/>
        </w:rPr>
        <w:t> </w:t>
      </w:r>
      <w:proofErr w:type="spellStart"/>
      <w:r>
        <w:rPr>
          <w:lang w:val="fr-FR"/>
        </w:rPr>
        <w:t>Hallegatte</w:t>
      </w:r>
      <w:proofErr w:type="spellEnd"/>
      <w:r>
        <w:rPr>
          <w:lang w:val="fr-FR"/>
        </w:rPr>
        <w:t>, J.</w:t>
      </w:r>
      <w:r>
        <w:rPr>
          <w:lang w:val="fr-FR"/>
        </w:rPr>
        <w:t> </w:t>
      </w:r>
      <w:proofErr w:type="spellStart"/>
      <w:r>
        <w:rPr>
          <w:lang w:val="fr-FR"/>
        </w:rPr>
        <w:t>Rentschler</w:t>
      </w:r>
      <w:proofErr w:type="spellEnd"/>
      <w:r>
        <w:rPr>
          <w:lang w:val="fr-FR"/>
        </w:rPr>
        <w:t xml:space="preserve"> et J.</w:t>
      </w:r>
      <w:r>
        <w:rPr>
          <w:lang w:val="fr-FR"/>
        </w:rPr>
        <w:t> </w:t>
      </w:r>
      <w:proofErr w:type="spellStart"/>
      <w:r>
        <w:rPr>
          <w:lang w:val="fr-FR"/>
        </w:rPr>
        <w:t>Rozenberg</w:t>
      </w:r>
      <w:proofErr w:type="spellEnd"/>
      <w:r>
        <w:rPr>
          <w:lang w:val="fr-FR"/>
        </w:rPr>
        <w:t xml:space="preserve"> (2019), « </w:t>
      </w:r>
      <w:proofErr w:type="spellStart"/>
      <w:r>
        <w:rPr>
          <w:lang w:val="fr-FR"/>
        </w:rPr>
        <w:t>Lifelines</w:t>
      </w:r>
      <w:proofErr w:type="spellEnd"/>
      <w:r>
        <w:rPr>
          <w:lang w:val="fr-FR"/>
        </w:rPr>
        <w:t xml:space="preserve">: The </w:t>
      </w:r>
      <w:proofErr w:type="spellStart"/>
      <w:r>
        <w:rPr>
          <w:lang w:val="fr-FR"/>
        </w:rPr>
        <w:t>Resilient</w:t>
      </w:r>
      <w:proofErr w:type="spellEnd"/>
      <w:r>
        <w:rPr>
          <w:lang w:val="fr-FR"/>
        </w:rPr>
        <w:t xml:space="preserve"> Infrastructure Opportunity », Banque mondiale, disponible à l</w:t>
      </w:r>
      <w:r>
        <w:rPr>
          <w:lang w:val="fr-FR"/>
        </w:rPr>
        <w:t>’</w:t>
      </w:r>
      <w:r>
        <w:rPr>
          <w:lang w:val="fr-FR"/>
        </w:rPr>
        <w:t>adresse suivante</w:t>
      </w:r>
      <w:r>
        <w:rPr>
          <w:lang w:val="fr-FR"/>
        </w:rPr>
        <w:t> </w:t>
      </w:r>
      <w:r>
        <w:rPr>
          <w:lang w:val="fr-FR"/>
        </w:rPr>
        <w:t xml:space="preserve">: </w:t>
      </w:r>
      <w:hyperlink r:id="rId12" w:history="1">
        <w:r w:rsidR="00170620" w:rsidRPr="0078536E">
          <w:rPr>
            <w:rStyle w:val="Lienhypertexte"/>
            <w:lang w:val="fr-FR"/>
          </w:rPr>
          <w:t>https://openknowledge.worldbank.org/handle/10986/31805</w:t>
        </w:r>
      </w:hyperlink>
      <w:r>
        <w:rPr>
          <w:lang w:val="fr-FR"/>
        </w:rPr>
        <w:t>.</w:t>
      </w:r>
    </w:p>
  </w:footnote>
  <w:footnote w:id="15">
    <w:p w14:paraId="42E230B9" w14:textId="3F84087A" w:rsidR="002B1D76" w:rsidRPr="002B1D76" w:rsidRDefault="002B1D76" w:rsidP="002B1D76">
      <w:pPr>
        <w:pStyle w:val="Notedebasdepage"/>
        <w:rPr>
          <w:lang w:val="en-US"/>
        </w:rPr>
      </w:pPr>
      <w:r w:rsidRPr="00036F93">
        <w:rPr>
          <w:lang w:val="fr-FR"/>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Pr>
          <w:i/>
          <w:iCs/>
          <w:lang w:val="fr-FR"/>
        </w:rPr>
        <w:t>et al</w:t>
      </w:r>
      <w:r>
        <w:rPr>
          <w:lang w:val="fr-FR"/>
        </w:rPr>
        <w:t xml:space="preserve">. </w:t>
      </w:r>
      <w:r w:rsidRPr="002B1D76">
        <w:rPr>
          <w:lang w:val="en-US"/>
        </w:rPr>
        <w:t>(2022), « CO</w:t>
      </w:r>
      <w:r w:rsidRPr="002B1D76">
        <w:rPr>
          <w:vertAlign w:val="subscript"/>
          <w:lang w:val="en-US"/>
        </w:rPr>
        <w:t>2</w:t>
      </w:r>
      <w:r w:rsidRPr="002B1D76">
        <w:rPr>
          <w:lang w:val="en-US"/>
        </w:rPr>
        <w:t xml:space="preserve"> Emissions of All World Countries </w:t>
      </w:r>
      <w:r w:rsidR="00170620">
        <w:rPr>
          <w:lang w:val="en-US"/>
        </w:rPr>
        <w:t>−</w:t>
      </w:r>
      <w:r w:rsidRPr="002B1D76">
        <w:rPr>
          <w:lang w:val="en-US"/>
        </w:rPr>
        <w:t xml:space="preserve"> 2022 Report », disponible à </w:t>
      </w:r>
      <w:proofErr w:type="spellStart"/>
      <w:r w:rsidRPr="002B1D76">
        <w:rPr>
          <w:lang w:val="en-US"/>
        </w:rPr>
        <w:t>l</w:t>
      </w:r>
      <w:r w:rsidRPr="002B1D76">
        <w:rPr>
          <w:lang w:val="en-US"/>
        </w:rPr>
        <w:t>’</w:t>
      </w:r>
      <w:r w:rsidRPr="002B1D76">
        <w:rPr>
          <w:lang w:val="en-US"/>
        </w:rPr>
        <w:t>adresse</w:t>
      </w:r>
      <w:proofErr w:type="spellEnd"/>
      <w:r w:rsidRPr="002B1D76">
        <w:rPr>
          <w:lang w:val="en-US"/>
        </w:rPr>
        <w:t xml:space="preserve"> </w:t>
      </w:r>
      <w:proofErr w:type="spellStart"/>
      <w:r w:rsidRPr="002B1D76">
        <w:rPr>
          <w:lang w:val="en-US"/>
        </w:rPr>
        <w:t>suivante</w:t>
      </w:r>
      <w:proofErr w:type="spellEnd"/>
      <w:r w:rsidRPr="002B1D76">
        <w:rPr>
          <w:lang w:val="en-US"/>
        </w:rPr>
        <w:t> </w:t>
      </w:r>
      <w:r w:rsidRPr="002B1D76">
        <w:rPr>
          <w:lang w:val="en-US"/>
        </w:rPr>
        <w:t xml:space="preserve">: </w:t>
      </w:r>
      <w:hyperlink r:id="rId13" w:history="1">
        <w:r w:rsidR="00170620" w:rsidRPr="0078536E">
          <w:rPr>
            <w:rStyle w:val="Lienhypertexte"/>
            <w:lang w:val="en-US"/>
          </w:rPr>
          <w:t>https://edgar.jrc.ec.europa.eu/report_2022</w:t>
        </w:r>
      </w:hyperlink>
      <w:r w:rsidRPr="002B1D76">
        <w:rPr>
          <w:lang w:val="en-US"/>
        </w:rPr>
        <w:t>.</w:t>
      </w:r>
    </w:p>
  </w:footnote>
  <w:footnote w:id="16">
    <w:p w14:paraId="7A73EF30" w14:textId="4746000B" w:rsidR="002B1D76" w:rsidRPr="00501EF4" w:rsidRDefault="002B1D76" w:rsidP="002B1D76">
      <w:pPr>
        <w:pStyle w:val="Notedebasdepage"/>
        <w:rPr>
          <w:lang w:val="fr-FR"/>
        </w:rPr>
      </w:pPr>
      <w:r w:rsidRPr="002B1D76">
        <w:rPr>
          <w:lang w:val="en-US"/>
        </w:rPr>
        <w:tab/>
      </w:r>
      <w:r w:rsidRPr="002B1D76">
        <w:rPr>
          <w:rStyle w:val="Appelnotedebasdep"/>
        </w:rPr>
        <w:footnoteRef/>
      </w:r>
      <w:r>
        <w:rPr>
          <w:lang w:val="fr-FR"/>
        </w:rPr>
        <w:tab/>
        <w:t>Agence internationale de l</w:t>
      </w:r>
      <w:r>
        <w:rPr>
          <w:lang w:val="fr-FR"/>
        </w:rPr>
        <w:t>’</w:t>
      </w:r>
      <w:r>
        <w:rPr>
          <w:lang w:val="fr-FR"/>
        </w:rPr>
        <w:t>énergie (AIE) (2022), « World CO</w:t>
      </w:r>
      <w:r>
        <w:rPr>
          <w:vertAlign w:val="subscript"/>
          <w:lang w:val="fr-FR"/>
        </w:rPr>
        <w:t>2</w:t>
      </w:r>
      <w:r>
        <w:rPr>
          <w:lang w:val="fr-FR"/>
        </w:rPr>
        <w:t xml:space="preserve"> </w:t>
      </w:r>
      <w:proofErr w:type="spellStart"/>
      <w:r>
        <w:rPr>
          <w:lang w:val="fr-FR"/>
        </w:rPr>
        <w:t>Emissions</w:t>
      </w:r>
      <w:proofErr w:type="spellEnd"/>
      <w:r>
        <w:rPr>
          <w:lang w:val="fr-FR"/>
        </w:rPr>
        <w:t xml:space="preserve"> </w:t>
      </w:r>
      <w:proofErr w:type="spellStart"/>
      <w:r>
        <w:rPr>
          <w:lang w:val="fr-FR"/>
        </w:rPr>
        <w:t>from</w:t>
      </w:r>
      <w:proofErr w:type="spellEnd"/>
      <w:r>
        <w:rPr>
          <w:lang w:val="fr-FR"/>
        </w:rPr>
        <w:t xml:space="preserve"> Fuel Combustion ».</w:t>
      </w:r>
    </w:p>
  </w:footnote>
  <w:footnote w:id="17">
    <w:p w14:paraId="4CAC05B0" w14:textId="583723A2"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Shell (2020), « The Energy Transformation Scenarios », disponible à l</w:t>
      </w:r>
      <w:r>
        <w:rPr>
          <w:lang w:val="fr-FR"/>
        </w:rPr>
        <w:t>’</w:t>
      </w:r>
      <w:r>
        <w:rPr>
          <w:lang w:val="fr-FR"/>
        </w:rPr>
        <w:t>adresse suivante</w:t>
      </w:r>
      <w:r>
        <w:rPr>
          <w:lang w:val="fr-FR"/>
        </w:rPr>
        <w:t> </w:t>
      </w:r>
      <w:r>
        <w:rPr>
          <w:lang w:val="fr-FR"/>
        </w:rPr>
        <w:t xml:space="preserve">: </w:t>
      </w:r>
      <w:hyperlink r:id="rId14" w:history="1">
        <w:r w:rsidR="00170620" w:rsidRPr="0078536E">
          <w:rPr>
            <w:rStyle w:val="Lienhypertexte"/>
            <w:lang w:val="fr-FR"/>
          </w:rPr>
          <w:t>https://www.shell.com/energy-and-innovation/the-energy-future/scenarios/the-energy-transformation-scenarios.html</w:t>
        </w:r>
      </w:hyperlink>
      <w:r>
        <w:rPr>
          <w:lang w:val="fr-FR"/>
        </w:rPr>
        <w:t xml:space="preserve"> (date de consultation</w:t>
      </w:r>
      <w:r>
        <w:rPr>
          <w:lang w:val="fr-FR"/>
        </w:rPr>
        <w:t> </w:t>
      </w:r>
      <w:r>
        <w:rPr>
          <w:lang w:val="fr-FR"/>
        </w:rPr>
        <w:t>: 20</w:t>
      </w:r>
      <w:r>
        <w:rPr>
          <w:lang w:val="fr-FR"/>
        </w:rPr>
        <w:t> </w:t>
      </w:r>
      <w:r>
        <w:rPr>
          <w:lang w:val="fr-FR"/>
        </w:rPr>
        <w:t xml:space="preserve">août 2022). </w:t>
      </w:r>
    </w:p>
  </w:footnote>
  <w:footnote w:id="18">
    <w:p w14:paraId="7E631783" w14:textId="49D15905"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Forum international des transports (FIT) (2021), « Perspectives des transports FIT 2021 », disponible à l</w:t>
      </w:r>
      <w:r>
        <w:rPr>
          <w:lang w:val="fr-FR"/>
        </w:rPr>
        <w:t>’</w:t>
      </w:r>
      <w:r>
        <w:rPr>
          <w:lang w:val="fr-FR"/>
        </w:rPr>
        <w:t>adresse suivante</w:t>
      </w:r>
      <w:r>
        <w:rPr>
          <w:lang w:val="fr-FR"/>
        </w:rPr>
        <w:t> </w:t>
      </w:r>
      <w:r>
        <w:rPr>
          <w:lang w:val="fr-FR"/>
        </w:rPr>
        <w:t xml:space="preserve">: </w:t>
      </w:r>
      <w:hyperlink r:id="rId15" w:history="1">
        <w:r w:rsidR="00170620" w:rsidRPr="0078536E">
          <w:rPr>
            <w:rStyle w:val="Lienhypertexte"/>
            <w:lang w:val="fr-FR"/>
          </w:rPr>
          <w:t>https://www</w:t>
        </w:r>
        <w:r w:rsidR="00170620" w:rsidRPr="0078536E">
          <w:rPr>
            <w:rStyle w:val="Lienhypertexte"/>
            <w:lang w:val="fr-FR"/>
          </w:rPr>
          <w:t>.</w:t>
        </w:r>
        <w:r w:rsidR="00170620" w:rsidRPr="0078536E">
          <w:rPr>
            <w:rStyle w:val="Lienhypertexte"/>
            <w:lang w:val="fr-FR"/>
          </w:rPr>
          <w:t>itf-oecd.org/perspectives-transports-fit-2021</w:t>
        </w:r>
      </w:hyperlink>
      <w:r>
        <w:rPr>
          <w:lang w:val="fr-FR"/>
        </w:rPr>
        <w:t> </w:t>
      </w:r>
      <w:r>
        <w:rPr>
          <w:lang w:val="fr-FR"/>
        </w:rPr>
        <w:t>; Shell (2020), « The Energy Transformation Scenarios », disponible à l</w:t>
      </w:r>
      <w:r>
        <w:rPr>
          <w:lang w:val="fr-FR"/>
        </w:rPr>
        <w:t>’</w:t>
      </w:r>
      <w:r>
        <w:rPr>
          <w:lang w:val="fr-FR"/>
        </w:rPr>
        <w:t>adresse suivante</w:t>
      </w:r>
      <w:r>
        <w:rPr>
          <w:lang w:val="fr-FR"/>
        </w:rPr>
        <w:t> </w:t>
      </w:r>
      <w:r>
        <w:rPr>
          <w:lang w:val="fr-FR"/>
        </w:rPr>
        <w:t xml:space="preserve">: </w:t>
      </w:r>
      <w:hyperlink r:id="rId16" w:history="1">
        <w:r w:rsidR="00170620" w:rsidRPr="0078536E">
          <w:rPr>
            <w:rStyle w:val="Lienhypertexte"/>
            <w:lang w:val="fr-FR"/>
          </w:rPr>
          <w:t>https://www.shell.com/energy-and-innovation/the-energy-future/scenarios/the-energy-transformation-scenarios.html</w:t>
        </w:r>
      </w:hyperlink>
      <w:r>
        <w:rPr>
          <w:lang w:val="fr-FR"/>
        </w:rPr>
        <w:t xml:space="preserve"> (date de consultation</w:t>
      </w:r>
      <w:r>
        <w:rPr>
          <w:lang w:val="fr-FR"/>
        </w:rPr>
        <w:t> </w:t>
      </w:r>
      <w:r>
        <w:rPr>
          <w:lang w:val="fr-FR"/>
        </w:rPr>
        <w:t>: 20</w:t>
      </w:r>
      <w:r>
        <w:rPr>
          <w:lang w:val="fr-FR"/>
        </w:rPr>
        <w:t> </w:t>
      </w:r>
      <w:r>
        <w:rPr>
          <w:lang w:val="fr-FR"/>
        </w:rPr>
        <w:t xml:space="preserve">août 2022). </w:t>
      </w:r>
    </w:p>
  </w:footnote>
  <w:footnote w:id="19">
    <w:p w14:paraId="3A89EFFB" w14:textId="10737C82" w:rsidR="002B1D76" w:rsidRPr="00170620" w:rsidRDefault="002B1D76" w:rsidP="002B1D76">
      <w:pPr>
        <w:pStyle w:val="Notedebasdepage"/>
        <w:rPr>
          <w:lang w:val="fr-FR"/>
        </w:rPr>
      </w:pPr>
      <w:r w:rsidRPr="00036F93">
        <w:rPr>
          <w:lang w:val="fr-FR"/>
        </w:rPr>
        <w:tab/>
      </w:r>
      <w:r w:rsidRPr="002B1D76">
        <w:rPr>
          <w:rStyle w:val="Appelnotedebasdep"/>
        </w:rPr>
        <w:footnoteRef/>
      </w:r>
      <w:r>
        <w:rPr>
          <w:lang w:val="fr-FR"/>
        </w:rPr>
        <w:tab/>
        <w:t>S. C.</w:t>
      </w:r>
      <w:r>
        <w:rPr>
          <w:lang w:val="fr-FR"/>
        </w:rPr>
        <w:t> </w:t>
      </w:r>
      <w:proofErr w:type="spellStart"/>
      <w:r>
        <w:rPr>
          <w:lang w:val="fr-FR"/>
        </w:rPr>
        <w:t>Anenberg</w:t>
      </w:r>
      <w:proofErr w:type="spellEnd"/>
      <w:r>
        <w:rPr>
          <w:lang w:val="fr-FR"/>
        </w:rPr>
        <w:t xml:space="preserve"> </w:t>
      </w:r>
      <w:r>
        <w:rPr>
          <w:i/>
          <w:iCs/>
          <w:lang w:val="fr-FR"/>
        </w:rPr>
        <w:t>et al</w:t>
      </w:r>
      <w:r>
        <w:rPr>
          <w:lang w:val="fr-FR"/>
        </w:rPr>
        <w:t xml:space="preserve">. </w:t>
      </w:r>
      <w:r w:rsidRPr="00170620">
        <w:rPr>
          <w:lang w:val="fr-FR"/>
        </w:rPr>
        <w:t xml:space="preserve">(2019), « The global </w:t>
      </w:r>
      <w:proofErr w:type="spellStart"/>
      <w:r w:rsidRPr="00170620">
        <w:rPr>
          <w:lang w:val="fr-FR"/>
        </w:rPr>
        <w:t>burden</w:t>
      </w:r>
      <w:proofErr w:type="spellEnd"/>
      <w:r w:rsidRPr="00170620">
        <w:rPr>
          <w:lang w:val="fr-FR"/>
        </w:rPr>
        <w:t xml:space="preserve"> of transportation </w:t>
      </w:r>
      <w:proofErr w:type="spellStart"/>
      <w:r w:rsidRPr="00170620">
        <w:rPr>
          <w:lang w:val="fr-FR"/>
        </w:rPr>
        <w:t>tailpipe</w:t>
      </w:r>
      <w:proofErr w:type="spellEnd"/>
      <w:r w:rsidRPr="00170620">
        <w:rPr>
          <w:lang w:val="fr-FR"/>
        </w:rPr>
        <w:t xml:space="preserve"> </w:t>
      </w:r>
      <w:proofErr w:type="spellStart"/>
      <w:r w:rsidRPr="00170620">
        <w:rPr>
          <w:lang w:val="fr-FR"/>
        </w:rPr>
        <w:t>emissions</w:t>
      </w:r>
      <w:proofErr w:type="spellEnd"/>
      <w:r w:rsidRPr="00170620">
        <w:rPr>
          <w:lang w:val="fr-FR"/>
        </w:rPr>
        <w:t xml:space="preserve"> on air pollution-</w:t>
      </w:r>
      <w:proofErr w:type="spellStart"/>
      <w:r w:rsidRPr="00170620">
        <w:rPr>
          <w:lang w:val="fr-FR"/>
        </w:rPr>
        <w:t>related</w:t>
      </w:r>
      <w:proofErr w:type="spellEnd"/>
      <w:r w:rsidRPr="00170620">
        <w:rPr>
          <w:lang w:val="fr-FR"/>
        </w:rPr>
        <w:t xml:space="preserve"> </w:t>
      </w:r>
      <w:proofErr w:type="spellStart"/>
      <w:r w:rsidRPr="00170620">
        <w:rPr>
          <w:lang w:val="fr-FR"/>
        </w:rPr>
        <w:t>mortality</w:t>
      </w:r>
      <w:proofErr w:type="spellEnd"/>
      <w:r w:rsidRPr="00170620">
        <w:rPr>
          <w:lang w:val="fr-FR"/>
        </w:rPr>
        <w:t xml:space="preserve"> in 2010 and 2015 », </w:t>
      </w:r>
      <w:proofErr w:type="spellStart"/>
      <w:r w:rsidRPr="00170620">
        <w:rPr>
          <w:i/>
          <w:iCs/>
          <w:lang w:val="fr-FR"/>
        </w:rPr>
        <w:t>Environmental</w:t>
      </w:r>
      <w:proofErr w:type="spellEnd"/>
      <w:r w:rsidRPr="00170620">
        <w:rPr>
          <w:i/>
          <w:iCs/>
          <w:lang w:val="fr-FR"/>
        </w:rPr>
        <w:t xml:space="preserve"> </w:t>
      </w:r>
      <w:proofErr w:type="spellStart"/>
      <w:r w:rsidRPr="00170620">
        <w:rPr>
          <w:i/>
          <w:iCs/>
          <w:lang w:val="fr-FR"/>
        </w:rPr>
        <w:t>Research</w:t>
      </w:r>
      <w:proofErr w:type="spellEnd"/>
      <w:r w:rsidRPr="00170620">
        <w:rPr>
          <w:i/>
          <w:iCs/>
          <w:lang w:val="fr-FR"/>
        </w:rPr>
        <w:t xml:space="preserve"> </w:t>
      </w:r>
      <w:proofErr w:type="spellStart"/>
      <w:r w:rsidRPr="00170620">
        <w:rPr>
          <w:i/>
          <w:iCs/>
          <w:lang w:val="fr-FR"/>
        </w:rPr>
        <w:t>Letters</w:t>
      </w:r>
      <w:proofErr w:type="spellEnd"/>
      <w:r w:rsidRPr="00170620">
        <w:rPr>
          <w:lang w:val="fr-FR"/>
        </w:rPr>
        <w:t>, Vol. 14, p. 094012, disponible à l</w:t>
      </w:r>
      <w:r w:rsidRPr="00170620">
        <w:rPr>
          <w:lang w:val="fr-FR"/>
        </w:rPr>
        <w:t>’</w:t>
      </w:r>
      <w:r w:rsidRPr="00170620">
        <w:rPr>
          <w:lang w:val="fr-FR"/>
        </w:rPr>
        <w:t>adresse suivante</w:t>
      </w:r>
      <w:r w:rsidRPr="00170620">
        <w:rPr>
          <w:lang w:val="fr-FR"/>
        </w:rPr>
        <w:t> </w:t>
      </w:r>
      <w:r w:rsidRPr="00170620">
        <w:rPr>
          <w:lang w:val="fr-FR"/>
        </w:rPr>
        <w:t xml:space="preserve">: </w:t>
      </w:r>
      <w:hyperlink r:id="rId17" w:history="1">
        <w:r w:rsidR="00315769" w:rsidRPr="0078536E">
          <w:rPr>
            <w:rStyle w:val="Lienhypertexte"/>
            <w:lang w:val="fr-FR"/>
          </w:rPr>
          <w:t>https://iopscience.iop.org/article/10.1088/1748-9326/ab35fc/pdf</w:t>
        </w:r>
      </w:hyperlink>
      <w:r w:rsidRPr="00170620">
        <w:rPr>
          <w:lang w:val="fr-FR"/>
        </w:rPr>
        <w:t>.</w:t>
      </w:r>
    </w:p>
  </w:footnote>
  <w:footnote w:id="20">
    <w:p w14:paraId="58C83F88" w14:textId="79008FA5" w:rsidR="002B1D76" w:rsidRPr="00501EF4" w:rsidRDefault="002B1D76" w:rsidP="002B1D76">
      <w:pPr>
        <w:pStyle w:val="Notedebasdepage"/>
        <w:rPr>
          <w:lang w:val="fr-FR"/>
        </w:rPr>
      </w:pPr>
      <w:r w:rsidRPr="00170620">
        <w:rPr>
          <w:lang w:val="fr-FR"/>
        </w:rPr>
        <w:tab/>
      </w:r>
      <w:r w:rsidRPr="002B1D76">
        <w:rPr>
          <w:rStyle w:val="Appelnotedebasdep"/>
        </w:rPr>
        <w:footnoteRef/>
      </w:r>
      <w:r>
        <w:rPr>
          <w:lang w:val="fr-FR"/>
        </w:rPr>
        <w:tab/>
        <w:t>Groupes de pays classés selon le niveau de revenu d</w:t>
      </w:r>
      <w:r>
        <w:rPr>
          <w:lang w:val="fr-FR"/>
        </w:rPr>
        <w:t>’</w:t>
      </w:r>
      <w:r>
        <w:rPr>
          <w:lang w:val="fr-FR"/>
        </w:rPr>
        <w:t xml:space="preserve">après Banque mondiale (2022), « World Bank Country and </w:t>
      </w:r>
      <w:proofErr w:type="spellStart"/>
      <w:r>
        <w:rPr>
          <w:lang w:val="fr-FR"/>
        </w:rPr>
        <w:t>Lending</w:t>
      </w:r>
      <w:proofErr w:type="spellEnd"/>
      <w:r>
        <w:rPr>
          <w:lang w:val="fr-FR"/>
        </w:rPr>
        <w:t xml:space="preserve"> Groups », disponible à l</w:t>
      </w:r>
      <w:r>
        <w:rPr>
          <w:lang w:val="fr-FR"/>
        </w:rPr>
        <w:t>’</w:t>
      </w:r>
      <w:r>
        <w:rPr>
          <w:lang w:val="fr-FR"/>
        </w:rPr>
        <w:t>adresse suivante</w:t>
      </w:r>
      <w:r>
        <w:rPr>
          <w:lang w:val="fr-FR"/>
        </w:rPr>
        <w:t> </w:t>
      </w:r>
      <w:r>
        <w:rPr>
          <w:lang w:val="fr-FR"/>
        </w:rPr>
        <w:t xml:space="preserve">: </w:t>
      </w:r>
      <w:hyperlink r:id="rId18" w:history="1">
        <w:r w:rsidR="00315769" w:rsidRPr="0078536E">
          <w:rPr>
            <w:rStyle w:val="Lienhypertexte"/>
            <w:lang w:val="fr-FR"/>
          </w:rPr>
          <w:t>https://datahelpdesk.worldbank.org/knowledgebase/articles/906519</w:t>
        </w:r>
      </w:hyperlink>
      <w:r>
        <w:rPr>
          <w:lang w:val="fr-FR"/>
        </w:rPr>
        <w:t xml:space="preserve"> (date de consultation</w:t>
      </w:r>
      <w:r>
        <w:rPr>
          <w:lang w:val="fr-FR"/>
        </w:rPr>
        <w:t> </w:t>
      </w:r>
      <w:r>
        <w:rPr>
          <w:lang w:val="fr-FR"/>
        </w:rPr>
        <w:t>: 20</w:t>
      </w:r>
      <w:r>
        <w:rPr>
          <w:lang w:val="fr-FR"/>
        </w:rPr>
        <w:t> </w:t>
      </w:r>
      <w:r>
        <w:rPr>
          <w:lang w:val="fr-FR"/>
        </w:rPr>
        <w:t>août 2022).</w:t>
      </w:r>
    </w:p>
  </w:footnote>
  <w:footnote w:id="21">
    <w:p w14:paraId="153A2BF6" w14:textId="0160D9EA" w:rsidR="002B1D76" w:rsidRPr="002B1D76" w:rsidRDefault="002B1D76" w:rsidP="002B1D76">
      <w:pPr>
        <w:pStyle w:val="Notedebasdepage"/>
        <w:rPr>
          <w:lang w:val="en-US"/>
        </w:rPr>
      </w:pPr>
      <w:r w:rsidRPr="00036F93">
        <w:rPr>
          <w:lang w:val="fr-FR"/>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315769">
        <w:rPr>
          <w:i/>
          <w:iCs/>
          <w:lang w:val="fr-FR"/>
        </w:rPr>
        <w:t>et al</w:t>
      </w:r>
      <w:r>
        <w:rPr>
          <w:lang w:val="fr-FR"/>
        </w:rPr>
        <w:t xml:space="preserve">. </w:t>
      </w:r>
      <w:r w:rsidRPr="00501EF4">
        <w:rPr>
          <w:lang w:val="en-US"/>
        </w:rPr>
        <w:t xml:space="preserve">(2023), </w:t>
      </w:r>
      <w:r w:rsidRPr="0055524E">
        <w:rPr>
          <w:lang w:val="en-US"/>
        </w:rPr>
        <w:t>« </w:t>
      </w:r>
      <w:r w:rsidRPr="00501EF4">
        <w:rPr>
          <w:lang w:val="en-US"/>
        </w:rPr>
        <w:t xml:space="preserve">GHG emissions of all world countries </w:t>
      </w:r>
      <w:r w:rsidR="00315769" w:rsidRPr="00315769">
        <w:rPr>
          <w:spacing w:val="-2"/>
          <w:lang w:val="en-US"/>
        </w:rPr>
        <w:t>−</w:t>
      </w:r>
      <w:r w:rsidRPr="00315769">
        <w:rPr>
          <w:spacing w:val="-2"/>
          <w:lang w:val="en-US"/>
        </w:rPr>
        <w:t xml:space="preserve"> 2023 Report », disponible à </w:t>
      </w:r>
      <w:proofErr w:type="spellStart"/>
      <w:r w:rsidRPr="00315769">
        <w:rPr>
          <w:spacing w:val="-2"/>
          <w:lang w:val="en-US"/>
        </w:rPr>
        <w:t>l</w:t>
      </w:r>
      <w:r w:rsidRPr="00315769">
        <w:rPr>
          <w:spacing w:val="-2"/>
          <w:lang w:val="en-US"/>
        </w:rPr>
        <w:t>’</w:t>
      </w:r>
      <w:r w:rsidRPr="00315769">
        <w:rPr>
          <w:spacing w:val="-2"/>
          <w:lang w:val="en-US"/>
        </w:rPr>
        <w:t>adresse</w:t>
      </w:r>
      <w:proofErr w:type="spellEnd"/>
      <w:r w:rsidRPr="00315769">
        <w:rPr>
          <w:spacing w:val="-2"/>
          <w:lang w:val="en-US"/>
        </w:rPr>
        <w:t xml:space="preserve"> </w:t>
      </w:r>
      <w:proofErr w:type="spellStart"/>
      <w:r w:rsidRPr="00315769">
        <w:rPr>
          <w:spacing w:val="-2"/>
          <w:lang w:val="en-US"/>
        </w:rPr>
        <w:t>suivante</w:t>
      </w:r>
      <w:proofErr w:type="spellEnd"/>
      <w:r w:rsidRPr="00315769">
        <w:rPr>
          <w:spacing w:val="-2"/>
          <w:lang w:val="en-US"/>
        </w:rPr>
        <w:t> </w:t>
      </w:r>
      <w:r w:rsidRPr="00315769">
        <w:rPr>
          <w:spacing w:val="-2"/>
          <w:lang w:val="en-US"/>
        </w:rPr>
        <w:t xml:space="preserve">: </w:t>
      </w:r>
      <w:hyperlink r:id="rId19" w:history="1">
        <w:r w:rsidR="00315769" w:rsidRPr="00315769">
          <w:rPr>
            <w:rStyle w:val="Lienhypertexte"/>
            <w:spacing w:val="-2"/>
            <w:lang w:val="en-US"/>
          </w:rPr>
          <w:t>https://edgar.jrc.ec.europa.eu/report_2023</w:t>
        </w:r>
      </w:hyperlink>
      <w:r w:rsidRPr="00315769">
        <w:rPr>
          <w:spacing w:val="-2"/>
          <w:lang w:val="en-US"/>
        </w:rPr>
        <w:t>.</w:t>
      </w:r>
    </w:p>
  </w:footnote>
  <w:footnote w:id="22">
    <w:p w14:paraId="73B530E4" w14:textId="0636AB56" w:rsidR="002B1D76" w:rsidRPr="002B1D76" w:rsidRDefault="002B1D76" w:rsidP="002B1D76">
      <w:pPr>
        <w:pStyle w:val="Notedebasdepage"/>
        <w:rPr>
          <w:lang w:val="en-US"/>
        </w:rPr>
      </w:pPr>
      <w:r w:rsidRPr="00501EF4">
        <w:rPr>
          <w:lang w:val="en-US"/>
        </w:rPr>
        <w:tab/>
      </w:r>
      <w:r w:rsidRPr="002B1D76">
        <w:rPr>
          <w:rStyle w:val="Appelnotedebasdep"/>
        </w:rPr>
        <w:footnoteRef/>
      </w:r>
      <w:r w:rsidRPr="00501EF4">
        <w:rPr>
          <w:lang w:val="en-US"/>
        </w:rPr>
        <w:tab/>
        <w:t xml:space="preserve">L. </w:t>
      </w:r>
      <w:proofErr w:type="spellStart"/>
      <w:r w:rsidRPr="00501EF4">
        <w:rPr>
          <w:lang w:val="en-US"/>
        </w:rPr>
        <w:t>Cozzi</w:t>
      </w:r>
      <w:proofErr w:type="spellEnd"/>
      <w:r w:rsidRPr="00501EF4">
        <w:rPr>
          <w:lang w:val="en-US"/>
        </w:rPr>
        <w:t xml:space="preserve">, O. Chen et H. Kim, 2023, </w:t>
      </w:r>
      <w:r w:rsidRPr="0055524E">
        <w:rPr>
          <w:lang w:val="en-US"/>
        </w:rPr>
        <w:t>« </w:t>
      </w:r>
      <w:r w:rsidRPr="00501EF4">
        <w:rPr>
          <w:lang w:val="en-US"/>
        </w:rPr>
        <w:t>The world’s top 1% of emitters produce over 1 000 times more CO</w:t>
      </w:r>
      <w:r w:rsidRPr="00501EF4">
        <w:rPr>
          <w:vertAlign w:val="subscript"/>
          <w:lang w:val="en-US"/>
        </w:rPr>
        <w:t>2</w:t>
      </w:r>
      <w:r w:rsidRPr="00501EF4">
        <w:rPr>
          <w:lang w:val="en-US"/>
        </w:rPr>
        <w:t xml:space="preserve"> than the bottom 1%</w:t>
      </w:r>
      <w:r>
        <w:rPr>
          <w:lang w:val="en-US"/>
        </w:rPr>
        <w:t> </w:t>
      </w:r>
      <w:r w:rsidRPr="0055524E">
        <w:rPr>
          <w:lang w:val="en-US"/>
        </w:rPr>
        <w:t>»</w:t>
      </w:r>
      <w:r w:rsidRPr="00501EF4">
        <w:rPr>
          <w:lang w:val="en-US"/>
        </w:rPr>
        <w:t xml:space="preserve">, AIE,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20" w:history="1">
        <w:r w:rsidR="00315769" w:rsidRPr="0078536E">
          <w:rPr>
            <w:rStyle w:val="Lienhypertexte"/>
            <w:lang w:val="en-US"/>
          </w:rPr>
          <w:t>https://www.iea.org/commentaries/</w:t>
        </w:r>
        <w:r w:rsidR="00315769" w:rsidRPr="0078536E">
          <w:rPr>
            <w:rStyle w:val="Lienhypertexte"/>
            <w:lang w:val="en-US"/>
          </w:rPr>
          <w:br/>
          <w:t>the-world-s-top-1-of-emitters-produce-over-1-000-times-more-co2-than-the-bottom-1</w:t>
        </w:r>
      </w:hyperlink>
      <w:r w:rsidRPr="00501EF4">
        <w:rPr>
          <w:lang w:val="en-US"/>
        </w:rPr>
        <w:t xml:space="preserve">. </w:t>
      </w:r>
    </w:p>
  </w:footnote>
  <w:footnote w:id="23">
    <w:p w14:paraId="09218155" w14:textId="05CF6C59" w:rsidR="002B1D76" w:rsidRPr="00315769" w:rsidRDefault="002B1D76" w:rsidP="002B1D76">
      <w:pPr>
        <w:pStyle w:val="Notedebasdepage"/>
        <w:rPr>
          <w:lang w:val="en-US"/>
        </w:rPr>
      </w:pPr>
      <w:r w:rsidRPr="00501EF4">
        <w:rPr>
          <w:lang w:val="en-US"/>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315769">
        <w:rPr>
          <w:i/>
          <w:iCs/>
          <w:lang w:val="fr-FR"/>
        </w:rPr>
        <w:t>et al</w:t>
      </w:r>
      <w:r>
        <w:rPr>
          <w:lang w:val="fr-FR"/>
        </w:rPr>
        <w:t xml:space="preserve">. </w:t>
      </w:r>
      <w:r w:rsidRPr="00315769">
        <w:rPr>
          <w:lang w:val="en-US"/>
        </w:rPr>
        <w:t xml:space="preserve">(2023), « GHG emissions of all </w:t>
      </w:r>
      <w:r w:rsidRPr="00315769">
        <w:rPr>
          <w:spacing w:val="-2"/>
          <w:lang w:val="en-US"/>
        </w:rPr>
        <w:t xml:space="preserve">world countries </w:t>
      </w:r>
      <w:r w:rsidR="00315769" w:rsidRPr="00315769">
        <w:rPr>
          <w:spacing w:val="-2"/>
          <w:lang w:val="en-US"/>
        </w:rPr>
        <w:t>−</w:t>
      </w:r>
      <w:r w:rsidRPr="00315769">
        <w:rPr>
          <w:spacing w:val="-2"/>
          <w:lang w:val="en-US"/>
        </w:rPr>
        <w:t xml:space="preserve"> 2023 Report », disponible à </w:t>
      </w:r>
      <w:proofErr w:type="spellStart"/>
      <w:r w:rsidRPr="00315769">
        <w:rPr>
          <w:spacing w:val="-2"/>
          <w:lang w:val="en-US"/>
        </w:rPr>
        <w:t>l</w:t>
      </w:r>
      <w:r w:rsidRPr="00315769">
        <w:rPr>
          <w:spacing w:val="-2"/>
          <w:lang w:val="en-US"/>
        </w:rPr>
        <w:t>’</w:t>
      </w:r>
      <w:r w:rsidRPr="00315769">
        <w:rPr>
          <w:spacing w:val="-2"/>
          <w:lang w:val="en-US"/>
        </w:rPr>
        <w:t>adresse</w:t>
      </w:r>
      <w:proofErr w:type="spellEnd"/>
      <w:r w:rsidRPr="00315769">
        <w:rPr>
          <w:spacing w:val="-2"/>
          <w:lang w:val="en-US"/>
        </w:rPr>
        <w:t xml:space="preserve"> </w:t>
      </w:r>
      <w:proofErr w:type="spellStart"/>
      <w:r w:rsidRPr="00315769">
        <w:rPr>
          <w:spacing w:val="-2"/>
          <w:lang w:val="en-US"/>
        </w:rPr>
        <w:t>suivante</w:t>
      </w:r>
      <w:proofErr w:type="spellEnd"/>
      <w:r w:rsidRPr="00315769">
        <w:rPr>
          <w:spacing w:val="-2"/>
          <w:lang w:val="en-US"/>
        </w:rPr>
        <w:t> </w:t>
      </w:r>
      <w:r w:rsidRPr="00315769">
        <w:rPr>
          <w:spacing w:val="-2"/>
          <w:lang w:val="en-US"/>
        </w:rPr>
        <w:t xml:space="preserve">: </w:t>
      </w:r>
      <w:hyperlink r:id="rId21" w:history="1">
        <w:r w:rsidR="00315769" w:rsidRPr="00315769">
          <w:rPr>
            <w:rStyle w:val="Lienhypertexte"/>
            <w:spacing w:val="-2"/>
            <w:lang w:val="en-US"/>
          </w:rPr>
          <w:t>https://edgar.jrc.ec.europa.eu/report_2023</w:t>
        </w:r>
      </w:hyperlink>
      <w:r w:rsidRPr="00315769">
        <w:rPr>
          <w:spacing w:val="-2"/>
          <w:lang w:val="en-US"/>
        </w:rPr>
        <w:t>.</w:t>
      </w:r>
    </w:p>
  </w:footnote>
  <w:footnote w:id="24">
    <w:p w14:paraId="656B5FEF" w14:textId="4FFED852" w:rsidR="002B1D76" w:rsidRPr="00315769" w:rsidRDefault="002B1D76" w:rsidP="002B1D76">
      <w:pPr>
        <w:pStyle w:val="Notedebasdepage"/>
        <w:rPr>
          <w:lang w:val="en-US"/>
        </w:rPr>
      </w:pPr>
      <w:r w:rsidRPr="00315769">
        <w:rPr>
          <w:lang w:val="en-US"/>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315769">
        <w:rPr>
          <w:i/>
          <w:iCs/>
          <w:lang w:val="fr-FR"/>
        </w:rPr>
        <w:t>et al</w:t>
      </w:r>
      <w:r>
        <w:rPr>
          <w:lang w:val="fr-FR"/>
        </w:rPr>
        <w:t xml:space="preserve">. </w:t>
      </w:r>
      <w:r w:rsidRPr="00315769">
        <w:rPr>
          <w:lang w:val="en-US"/>
        </w:rPr>
        <w:t xml:space="preserve">(2023), « GHG emissions of all world countries </w:t>
      </w:r>
      <w:r w:rsidR="00315769" w:rsidRPr="00315769">
        <w:rPr>
          <w:spacing w:val="-2"/>
          <w:lang w:val="en-US"/>
        </w:rPr>
        <w:t>−</w:t>
      </w:r>
      <w:r w:rsidRPr="00315769">
        <w:rPr>
          <w:spacing w:val="-2"/>
          <w:lang w:val="en-US"/>
        </w:rPr>
        <w:t xml:space="preserve"> 2023 Report », disponible à </w:t>
      </w:r>
      <w:proofErr w:type="spellStart"/>
      <w:r w:rsidRPr="00315769">
        <w:rPr>
          <w:spacing w:val="-2"/>
          <w:lang w:val="en-US"/>
        </w:rPr>
        <w:t>l</w:t>
      </w:r>
      <w:r w:rsidRPr="00315769">
        <w:rPr>
          <w:spacing w:val="-2"/>
          <w:lang w:val="en-US"/>
        </w:rPr>
        <w:t>’</w:t>
      </w:r>
      <w:r w:rsidRPr="00315769">
        <w:rPr>
          <w:spacing w:val="-2"/>
          <w:lang w:val="en-US"/>
        </w:rPr>
        <w:t>adresse</w:t>
      </w:r>
      <w:proofErr w:type="spellEnd"/>
      <w:r w:rsidRPr="00315769">
        <w:rPr>
          <w:spacing w:val="-2"/>
          <w:lang w:val="en-US"/>
        </w:rPr>
        <w:t xml:space="preserve"> </w:t>
      </w:r>
      <w:proofErr w:type="spellStart"/>
      <w:r w:rsidRPr="00315769">
        <w:rPr>
          <w:spacing w:val="-2"/>
          <w:lang w:val="en-US"/>
        </w:rPr>
        <w:t>suivante</w:t>
      </w:r>
      <w:proofErr w:type="spellEnd"/>
      <w:r w:rsidRPr="00315769">
        <w:rPr>
          <w:spacing w:val="-2"/>
          <w:lang w:val="en-US"/>
        </w:rPr>
        <w:t> </w:t>
      </w:r>
      <w:r w:rsidRPr="00315769">
        <w:rPr>
          <w:spacing w:val="-2"/>
          <w:lang w:val="en-US"/>
        </w:rPr>
        <w:t xml:space="preserve">: </w:t>
      </w:r>
      <w:hyperlink r:id="rId22" w:history="1">
        <w:r w:rsidR="00315769" w:rsidRPr="00315769">
          <w:rPr>
            <w:rStyle w:val="Lienhypertexte"/>
            <w:spacing w:val="-2"/>
            <w:lang w:val="en-US"/>
          </w:rPr>
          <w:t>https://edgar.jrc.ec.europa.eu/report_2023</w:t>
        </w:r>
      </w:hyperlink>
      <w:r w:rsidRPr="00315769">
        <w:rPr>
          <w:spacing w:val="-2"/>
          <w:lang w:val="en-US"/>
        </w:rPr>
        <w:t>.</w:t>
      </w:r>
    </w:p>
  </w:footnote>
  <w:footnote w:id="25">
    <w:p w14:paraId="634C4DA8" w14:textId="493FC482" w:rsidR="002B1D76" w:rsidRPr="00315769" w:rsidRDefault="002B1D76" w:rsidP="002B1D76">
      <w:pPr>
        <w:pStyle w:val="Notedebasdepage"/>
        <w:rPr>
          <w:lang w:val="en-US"/>
        </w:rPr>
      </w:pPr>
      <w:r w:rsidRPr="00315769">
        <w:rPr>
          <w:lang w:val="en-US"/>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315769">
        <w:rPr>
          <w:i/>
          <w:iCs/>
          <w:lang w:val="fr-FR"/>
        </w:rPr>
        <w:t>et al</w:t>
      </w:r>
      <w:r>
        <w:rPr>
          <w:lang w:val="fr-FR"/>
        </w:rPr>
        <w:t xml:space="preserve">. </w:t>
      </w:r>
      <w:r w:rsidRPr="00315769">
        <w:rPr>
          <w:lang w:val="en-US"/>
        </w:rPr>
        <w:t xml:space="preserve">(2023), « GHG emissions of all world countries </w:t>
      </w:r>
      <w:r w:rsidR="00315769" w:rsidRPr="00315769">
        <w:rPr>
          <w:lang w:val="en-US"/>
        </w:rPr>
        <w:t>−</w:t>
      </w:r>
      <w:r w:rsidRPr="00315769">
        <w:rPr>
          <w:lang w:val="en-US"/>
        </w:rPr>
        <w:t xml:space="preserve"> 2023 </w:t>
      </w:r>
      <w:r w:rsidRPr="00315769">
        <w:rPr>
          <w:spacing w:val="-2"/>
          <w:lang w:val="en-US"/>
        </w:rPr>
        <w:t xml:space="preserve">Report », disponible à </w:t>
      </w:r>
      <w:proofErr w:type="spellStart"/>
      <w:r w:rsidRPr="00315769">
        <w:rPr>
          <w:spacing w:val="-2"/>
          <w:lang w:val="en-US"/>
        </w:rPr>
        <w:t>l</w:t>
      </w:r>
      <w:r w:rsidRPr="00315769">
        <w:rPr>
          <w:spacing w:val="-2"/>
          <w:lang w:val="en-US"/>
        </w:rPr>
        <w:t>’</w:t>
      </w:r>
      <w:r w:rsidRPr="00315769">
        <w:rPr>
          <w:spacing w:val="-2"/>
          <w:lang w:val="en-US"/>
        </w:rPr>
        <w:t>adresse</w:t>
      </w:r>
      <w:proofErr w:type="spellEnd"/>
      <w:r w:rsidRPr="00315769">
        <w:rPr>
          <w:spacing w:val="-2"/>
          <w:lang w:val="en-US"/>
        </w:rPr>
        <w:t xml:space="preserve"> </w:t>
      </w:r>
      <w:proofErr w:type="spellStart"/>
      <w:r w:rsidRPr="00315769">
        <w:rPr>
          <w:spacing w:val="-2"/>
          <w:lang w:val="en-US"/>
        </w:rPr>
        <w:t>suivante</w:t>
      </w:r>
      <w:proofErr w:type="spellEnd"/>
      <w:r w:rsidRPr="00315769">
        <w:rPr>
          <w:spacing w:val="-2"/>
          <w:lang w:val="en-US"/>
        </w:rPr>
        <w:t> </w:t>
      </w:r>
      <w:r w:rsidRPr="00315769">
        <w:rPr>
          <w:spacing w:val="-2"/>
          <w:lang w:val="en-US"/>
        </w:rPr>
        <w:t xml:space="preserve">: </w:t>
      </w:r>
      <w:hyperlink r:id="rId23" w:history="1">
        <w:r w:rsidR="00315769" w:rsidRPr="00315769">
          <w:rPr>
            <w:rStyle w:val="Lienhypertexte"/>
            <w:spacing w:val="-2"/>
            <w:lang w:val="en-US"/>
          </w:rPr>
          <w:t>https://edgar.jrc.ec.europa.eu/report_2023</w:t>
        </w:r>
      </w:hyperlink>
      <w:r w:rsidRPr="00315769">
        <w:rPr>
          <w:spacing w:val="-2"/>
          <w:lang w:val="en-US"/>
        </w:rPr>
        <w:t>.</w:t>
      </w:r>
    </w:p>
  </w:footnote>
  <w:footnote w:id="26">
    <w:p w14:paraId="014C0D36" w14:textId="70105AF0" w:rsidR="002B1D76" w:rsidRPr="00501EF4" w:rsidRDefault="002B1D76" w:rsidP="002B1D76">
      <w:pPr>
        <w:pStyle w:val="Notedebasdepage"/>
        <w:rPr>
          <w:lang w:val="fr-FR"/>
        </w:rPr>
      </w:pPr>
      <w:r w:rsidRPr="00315769">
        <w:rPr>
          <w:lang w:val="en-US"/>
        </w:rPr>
        <w:tab/>
      </w:r>
      <w:r w:rsidRPr="002B1D76">
        <w:rPr>
          <w:rStyle w:val="Appelnotedebasdep"/>
        </w:rPr>
        <w:footnoteRef/>
      </w:r>
      <w:r>
        <w:rPr>
          <w:lang w:val="fr-FR"/>
        </w:rPr>
        <w:tab/>
        <w:t>Programme des Nations Unies pour l</w:t>
      </w:r>
      <w:r>
        <w:rPr>
          <w:lang w:val="fr-FR"/>
        </w:rPr>
        <w:t>’</w:t>
      </w:r>
      <w:r>
        <w:rPr>
          <w:lang w:val="fr-FR"/>
        </w:rPr>
        <w:t>environnement (PNUE), « </w:t>
      </w:r>
      <w:proofErr w:type="spellStart"/>
      <w:r>
        <w:rPr>
          <w:lang w:val="fr-FR"/>
        </w:rPr>
        <w:t>Restoring</w:t>
      </w:r>
      <w:proofErr w:type="spellEnd"/>
      <w:r>
        <w:rPr>
          <w:lang w:val="fr-FR"/>
        </w:rPr>
        <w:t xml:space="preserve"> Clean Air », disponible à l</w:t>
      </w:r>
      <w:r>
        <w:rPr>
          <w:lang w:val="fr-FR"/>
        </w:rPr>
        <w:t>’</w:t>
      </w:r>
      <w:r>
        <w:rPr>
          <w:lang w:val="fr-FR"/>
        </w:rPr>
        <w:t>adresse suivante</w:t>
      </w:r>
      <w:r>
        <w:rPr>
          <w:lang w:val="fr-FR"/>
        </w:rPr>
        <w:t> </w:t>
      </w:r>
      <w:r>
        <w:rPr>
          <w:lang w:val="fr-FR"/>
        </w:rPr>
        <w:t xml:space="preserve">: </w:t>
      </w:r>
      <w:hyperlink r:id="rId24" w:history="1">
        <w:r w:rsidR="00315769" w:rsidRPr="0078536E">
          <w:rPr>
            <w:rStyle w:val="Lienhypertexte"/>
            <w:lang w:val="fr-FR"/>
          </w:rPr>
          <w:t>https://www.unep.org/regions/asia-and-pacific/regional-initiatives/restoring-clean-air</w:t>
        </w:r>
      </w:hyperlink>
      <w:r>
        <w:rPr>
          <w:lang w:val="fr-FR"/>
        </w:rPr>
        <w:t xml:space="preserve"> (date de consultation</w:t>
      </w:r>
      <w:r>
        <w:rPr>
          <w:lang w:val="fr-FR"/>
        </w:rPr>
        <w:t> </w:t>
      </w:r>
      <w:r>
        <w:rPr>
          <w:lang w:val="fr-FR"/>
        </w:rPr>
        <w:t>: 7</w:t>
      </w:r>
      <w:r>
        <w:rPr>
          <w:lang w:val="fr-FR"/>
        </w:rPr>
        <w:t> </w:t>
      </w:r>
      <w:r>
        <w:rPr>
          <w:lang w:val="fr-FR"/>
        </w:rPr>
        <w:t>juillet 2023).</w:t>
      </w:r>
    </w:p>
  </w:footnote>
  <w:footnote w:id="27">
    <w:p w14:paraId="5DA388A9" w14:textId="610C9EBD" w:rsidR="002B1D76" w:rsidRPr="00315769" w:rsidRDefault="002B1D76" w:rsidP="002B1D76">
      <w:pPr>
        <w:pStyle w:val="Notedebasdepage"/>
        <w:rPr>
          <w:lang w:val="en-US"/>
        </w:rPr>
      </w:pPr>
      <w:r w:rsidRPr="00036F93">
        <w:rPr>
          <w:lang w:val="fr-FR"/>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315769">
        <w:rPr>
          <w:i/>
          <w:iCs/>
          <w:lang w:val="fr-FR"/>
        </w:rPr>
        <w:t>et al</w:t>
      </w:r>
      <w:r>
        <w:rPr>
          <w:lang w:val="fr-FR"/>
        </w:rPr>
        <w:t xml:space="preserve">. </w:t>
      </w:r>
      <w:r w:rsidRPr="00315769">
        <w:rPr>
          <w:lang w:val="en-US"/>
        </w:rPr>
        <w:t xml:space="preserve">(2023), « GHG emissions of all world countries </w:t>
      </w:r>
      <w:r w:rsidR="00315769" w:rsidRPr="00315769">
        <w:rPr>
          <w:lang w:val="en-US"/>
        </w:rPr>
        <w:t>−</w:t>
      </w:r>
      <w:r w:rsidRPr="00315769">
        <w:rPr>
          <w:lang w:val="en-US"/>
        </w:rPr>
        <w:t xml:space="preserve"> 2023 </w:t>
      </w:r>
      <w:r w:rsidRPr="00315769">
        <w:rPr>
          <w:spacing w:val="-2"/>
          <w:lang w:val="en-US"/>
        </w:rPr>
        <w:t xml:space="preserve">Report », disponible à </w:t>
      </w:r>
      <w:proofErr w:type="spellStart"/>
      <w:r w:rsidRPr="00315769">
        <w:rPr>
          <w:spacing w:val="-2"/>
          <w:lang w:val="en-US"/>
        </w:rPr>
        <w:t>l</w:t>
      </w:r>
      <w:r w:rsidRPr="00315769">
        <w:rPr>
          <w:spacing w:val="-2"/>
          <w:lang w:val="en-US"/>
        </w:rPr>
        <w:t>’</w:t>
      </w:r>
      <w:r w:rsidRPr="00315769">
        <w:rPr>
          <w:spacing w:val="-2"/>
          <w:lang w:val="en-US"/>
        </w:rPr>
        <w:t>adresse</w:t>
      </w:r>
      <w:proofErr w:type="spellEnd"/>
      <w:r w:rsidRPr="00315769">
        <w:rPr>
          <w:spacing w:val="-2"/>
          <w:lang w:val="en-US"/>
        </w:rPr>
        <w:t xml:space="preserve"> </w:t>
      </w:r>
      <w:proofErr w:type="spellStart"/>
      <w:r w:rsidRPr="00315769">
        <w:rPr>
          <w:spacing w:val="-2"/>
          <w:lang w:val="en-US"/>
        </w:rPr>
        <w:t>suivante</w:t>
      </w:r>
      <w:proofErr w:type="spellEnd"/>
      <w:r w:rsidRPr="00315769">
        <w:rPr>
          <w:spacing w:val="-2"/>
          <w:lang w:val="en-US"/>
        </w:rPr>
        <w:t> </w:t>
      </w:r>
      <w:r w:rsidRPr="00315769">
        <w:rPr>
          <w:spacing w:val="-2"/>
          <w:lang w:val="en-US"/>
        </w:rPr>
        <w:t xml:space="preserve">: </w:t>
      </w:r>
      <w:hyperlink r:id="rId25" w:history="1">
        <w:r w:rsidR="00315769" w:rsidRPr="00315769">
          <w:rPr>
            <w:rStyle w:val="Lienhypertexte"/>
            <w:spacing w:val="-2"/>
            <w:lang w:val="en-US"/>
          </w:rPr>
          <w:t>https://edgar.jrc.ec.europa.eu/report_2023</w:t>
        </w:r>
      </w:hyperlink>
      <w:r w:rsidRPr="00315769">
        <w:rPr>
          <w:spacing w:val="-2"/>
          <w:lang w:val="en-US"/>
        </w:rPr>
        <w:t>.</w:t>
      </w:r>
    </w:p>
  </w:footnote>
  <w:footnote w:id="28">
    <w:p w14:paraId="65BEB680" w14:textId="7664AA45" w:rsidR="002B1D76" w:rsidRPr="00501EF4" w:rsidRDefault="002B1D76" w:rsidP="002B1D76">
      <w:pPr>
        <w:pStyle w:val="Notedebasdepage"/>
        <w:rPr>
          <w:lang w:val="fr-FR"/>
        </w:rPr>
      </w:pPr>
      <w:r w:rsidRPr="00315769">
        <w:rPr>
          <w:lang w:val="en-US"/>
        </w:rPr>
        <w:tab/>
      </w:r>
      <w:r w:rsidRPr="002B1D76">
        <w:rPr>
          <w:rStyle w:val="Appelnotedebasdep"/>
        </w:rPr>
        <w:footnoteRef/>
      </w:r>
      <w:r>
        <w:rPr>
          <w:lang w:val="fr-FR"/>
        </w:rPr>
        <w:tab/>
      </w:r>
      <w:proofErr w:type="spellStart"/>
      <w:r>
        <w:rPr>
          <w:lang w:val="fr-FR"/>
        </w:rPr>
        <w:t>Destatis</w:t>
      </w:r>
      <w:proofErr w:type="spellEnd"/>
      <w:r>
        <w:rPr>
          <w:lang w:val="fr-FR"/>
        </w:rPr>
        <w:t xml:space="preserve">, 2022, « Road Transport: Car Dominance </w:t>
      </w:r>
      <w:proofErr w:type="spellStart"/>
      <w:r>
        <w:rPr>
          <w:lang w:val="fr-FR"/>
        </w:rPr>
        <w:t>Unbroken</w:t>
      </w:r>
      <w:proofErr w:type="spellEnd"/>
      <w:r>
        <w:rPr>
          <w:lang w:val="fr-FR"/>
        </w:rPr>
        <w:t> », disponible à l</w:t>
      </w:r>
      <w:r>
        <w:rPr>
          <w:lang w:val="fr-FR"/>
        </w:rPr>
        <w:t>’</w:t>
      </w:r>
      <w:r>
        <w:rPr>
          <w:lang w:val="fr-FR"/>
        </w:rPr>
        <w:t>adresse suivante</w:t>
      </w:r>
      <w:r>
        <w:rPr>
          <w:lang w:val="fr-FR"/>
        </w:rPr>
        <w:t> </w:t>
      </w:r>
      <w:r>
        <w:rPr>
          <w:lang w:val="fr-FR"/>
        </w:rPr>
        <w:t xml:space="preserve">: </w:t>
      </w:r>
      <w:hyperlink r:id="rId26" w:history="1">
        <w:r w:rsidR="00315769" w:rsidRPr="0078536E">
          <w:rPr>
            <w:rStyle w:val="Lienhypertexte"/>
            <w:lang w:val="fr-FR"/>
          </w:rPr>
          <w:t>https://www.destatis.de/Europa/EN/Topic/Transport/Car.html</w:t>
        </w:r>
      </w:hyperlink>
      <w:r>
        <w:rPr>
          <w:lang w:val="fr-FR"/>
        </w:rPr>
        <w:t>.</w:t>
      </w:r>
    </w:p>
  </w:footnote>
  <w:footnote w:id="29">
    <w:p w14:paraId="606C4283" w14:textId="1BE732E4"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 xml:space="preserve">Fédération routière internationale (FRI), op. </w:t>
      </w:r>
      <w:proofErr w:type="spellStart"/>
      <w:r>
        <w:rPr>
          <w:lang w:val="fr-FR"/>
        </w:rPr>
        <w:t>cit</w:t>
      </w:r>
      <w:proofErr w:type="spellEnd"/>
      <w:r>
        <w:rPr>
          <w:lang w:val="fr-FR"/>
        </w:rPr>
        <w:t>., note n</w:t>
      </w:r>
      <w:r>
        <w:rPr>
          <w:vertAlign w:val="superscript"/>
          <w:lang w:val="fr-FR"/>
        </w:rPr>
        <w:t>o</w:t>
      </w:r>
      <w:r>
        <w:rPr>
          <w:lang w:val="fr-FR"/>
        </w:rPr>
        <w:t xml:space="preserve"> 4. Eurostat, 2022, « Stock of </w:t>
      </w:r>
      <w:proofErr w:type="spellStart"/>
      <w:r>
        <w:rPr>
          <w:lang w:val="fr-FR"/>
        </w:rPr>
        <w:t>Vehicles</w:t>
      </w:r>
      <w:proofErr w:type="spellEnd"/>
      <w:r>
        <w:rPr>
          <w:lang w:val="fr-FR"/>
        </w:rPr>
        <w:t xml:space="preserve"> by </w:t>
      </w:r>
      <w:proofErr w:type="spellStart"/>
      <w:r>
        <w:rPr>
          <w:lang w:val="fr-FR"/>
        </w:rPr>
        <w:t>Category</w:t>
      </w:r>
      <w:proofErr w:type="spellEnd"/>
      <w:r>
        <w:rPr>
          <w:lang w:val="fr-FR"/>
        </w:rPr>
        <w:t xml:space="preserve"> and NUTS 2 </w:t>
      </w:r>
      <w:proofErr w:type="spellStart"/>
      <w:r>
        <w:rPr>
          <w:lang w:val="fr-FR"/>
        </w:rPr>
        <w:t>Regions</w:t>
      </w:r>
      <w:proofErr w:type="spellEnd"/>
      <w:r>
        <w:rPr>
          <w:lang w:val="fr-FR"/>
        </w:rPr>
        <w:t> », figure 1, disponible à l</w:t>
      </w:r>
      <w:r>
        <w:rPr>
          <w:lang w:val="fr-FR"/>
        </w:rPr>
        <w:t>’</w:t>
      </w:r>
      <w:r>
        <w:rPr>
          <w:lang w:val="fr-FR"/>
        </w:rPr>
        <w:t>adresse suivante</w:t>
      </w:r>
      <w:r>
        <w:rPr>
          <w:lang w:val="fr-FR"/>
        </w:rPr>
        <w:t> </w:t>
      </w:r>
      <w:r>
        <w:rPr>
          <w:lang w:val="fr-FR"/>
        </w:rPr>
        <w:t xml:space="preserve">: </w:t>
      </w:r>
      <w:hyperlink r:id="rId27" w:history="1">
        <w:r w:rsidR="00315769" w:rsidRPr="0078536E">
          <w:rPr>
            <w:rStyle w:val="Lienhypertexte"/>
            <w:lang w:val="fr-FR"/>
          </w:rPr>
          <w:t>https://ec.europa.eu/eurostat/databrowser/view/TRAN_R_VEHST__custom_3245293/default/table</w:t>
        </w:r>
      </w:hyperlink>
      <w:r>
        <w:rPr>
          <w:lang w:val="fr-FR"/>
        </w:rPr>
        <w:t> </w:t>
      </w:r>
      <w:r>
        <w:rPr>
          <w:lang w:val="fr-FR"/>
        </w:rPr>
        <w:t>; Gouvernement britannique, 2023, « </w:t>
      </w:r>
      <w:proofErr w:type="spellStart"/>
      <w:r>
        <w:rPr>
          <w:lang w:val="fr-FR"/>
        </w:rPr>
        <w:t>Vehicles</w:t>
      </w:r>
      <w:proofErr w:type="spellEnd"/>
      <w:r>
        <w:rPr>
          <w:lang w:val="fr-FR"/>
        </w:rPr>
        <w:t xml:space="preserve"> </w:t>
      </w:r>
      <w:proofErr w:type="spellStart"/>
      <w:r>
        <w:rPr>
          <w:lang w:val="fr-FR"/>
        </w:rPr>
        <w:t>Statistics</w:t>
      </w:r>
      <w:proofErr w:type="spellEnd"/>
      <w:r>
        <w:rPr>
          <w:lang w:val="fr-FR"/>
        </w:rPr>
        <w:t> », disponible à l</w:t>
      </w:r>
      <w:r>
        <w:rPr>
          <w:lang w:val="fr-FR"/>
        </w:rPr>
        <w:t>’</w:t>
      </w:r>
      <w:r>
        <w:rPr>
          <w:lang w:val="fr-FR"/>
        </w:rPr>
        <w:t>adresse suivante</w:t>
      </w:r>
      <w:r>
        <w:rPr>
          <w:lang w:val="fr-FR"/>
        </w:rPr>
        <w:t> </w:t>
      </w:r>
      <w:r>
        <w:rPr>
          <w:lang w:val="fr-FR"/>
        </w:rPr>
        <w:t xml:space="preserve">: </w:t>
      </w:r>
      <w:hyperlink r:id="rId28" w:history="1">
        <w:r w:rsidR="00315769" w:rsidRPr="0078536E">
          <w:rPr>
            <w:rStyle w:val="Lienhypertexte"/>
            <w:lang w:val="fr-FR"/>
          </w:rPr>
          <w:t>https://www.gov.uk/government/collections/vehicles-statistics</w:t>
        </w:r>
      </w:hyperlink>
      <w:r>
        <w:rPr>
          <w:lang w:val="fr-FR"/>
        </w:rPr>
        <w:t> </w:t>
      </w:r>
      <w:r>
        <w:rPr>
          <w:lang w:val="fr-FR"/>
        </w:rPr>
        <w:t xml:space="preserve">; FRI (2022), « World Road </w:t>
      </w:r>
      <w:proofErr w:type="spellStart"/>
      <w:r>
        <w:rPr>
          <w:lang w:val="fr-FR"/>
        </w:rPr>
        <w:t>Statistics</w:t>
      </w:r>
      <w:proofErr w:type="spellEnd"/>
      <w:r>
        <w:rPr>
          <w:lang w:val="fr-FR"/>
        </w:rPr>
        <w:t xml:space="preserve"> 2022 », disponible à l</w:t>
      </w:r>
      <w:r>
        <w:rPr>
          <w:lang w:val="fr-FR"/>
        </w:rPr>
        <w:t>’</w:t>
      </w:r>
      <w:r>
        <w:rPr>
          <w:lang w:val="fr-FR"/>
        </w:rPr>
        <w:t>adresse suivante</w:t>
      </w:r>
      <w:r>
        <w:rPr>
          <w:lang w:val="fr-FR"/>
        </w:rPr>
        <w:t> </w:t>
      </w:r>
      <w:r>
        <w:rPr>
          <w:lang w:val="fr-FR"/>
        </w:rPr>
        <w:t xml:space="preserve">: </w:t>
      </w:r>
      <w:hyperlink r:id="rId29" w:history="1">
        <w:r w:rsidR="00315769" w:rsidRPr="0078536E">
          <w:rPr>
            <w:rStyle w:val="Lienhypertexte"/>
            <w:lang w:val="fr-FR"/>
          </w:rPr>
          <w:t>https://datawarehouse.worldroadstatistics.org</w:t>
        </w:r>
      </w:hyperlink>
      <w:r>
        <w:rPr>
          <w:lang w:val="fr-FR"/>
        </w:rPr>
        <w:t> </w:t>
      </w:r>
      <w:r>
        <w:rPr>
          <w:lang w:val="fr-FR"/>
        </w:rPr>
        <w:t xml:space="preserve">; E. A. </w:t>
      </w:r>
      <w:proofErr w:type="spellStart"/>
      <w:r>
        <w:rPr>
          <w:lang w:val="fr-FR"/>
        </w:rPr>
        <w:t>Nanaki</w:t>
      </w:r>
      <w:proofErr w:type="spellEnd"/>
      <w:r>
        <w:rPr>
          <w:lang w:val="fr-FR"/>
        </w:rPr>
        <w:t>, 2018, « </w:t>
      </w:r>
      <w:proofErr w:type="spellStart"/>
      <w:r>
        <w:rPr>
          <w:lang w:val="fr-FR"/>
        </w:rPr>
        <w:t>Measuring</w:t>
      </w:r>
      <w:proofErr w:type="spellEnd"/>
      <w:r>
        <w:rPr>
          <w:lang w:val="fr-FR"/>
        </w:rPr>
        <w:t xml:space="preserve"> the Impact of </w:t>
      </w:r>
      <w:proofErr w:type="spellStart"/>
      <w:r>
        <w:rPr>
          <w:lang w:val="fr-FR"/>
        </w:rPr>
        <w:t>Economic</w:t>
      </w:r>
      <w:proofErr w:type="spellEnd"/>
      <w:r>
        <w:rPr>
          <w:lang w:val="fr-FR"/>
        </w:rPr>
        <w:t xml:space="preserve"> Crisis to the Greek </w:t>
      </w:r>
      <w:proofErr w:type="spellStart"/>
      <w:r>
        <w:rPr>
          <w:lang w:val="fr-FR"/>
        </w:rPr>
        <w:t>Vehicle</w:t>
      </w:r>
      <w:proofErr w:type="spellEnd"/>
      <w:r>
        <w:rPr>
          <w:lang w:val="fr-FR"/>
        </w:rPr>
        <w:t xml:space="preserve"> </w:t>
      </w:r>
      <w:proofErr w:type="spellStart"/>
      <w:r>
        <w:rPr>
          <w:lang w:val="fr-FR"/>
        </w:rPr>
        <w:t>Market</w:t>
      </w:r>
      <w:proofErr w:type="spellEnd"/>
      <w:r>
        <w:rPr>
          <w:lang w:val="fr-FR"/>
        </w:rPr>
        <w:t xml:space="preserve"> », </w:t>
      </w:r>
      <w:proofErr w:type="spellStart"/>
      <w:r>
        <w:rPr>
          <w:i/>
          <w:iCs/>
          <w:lang w:val="fr-FR"/>
        </w:rPr>
        <w:t>Sustainability</w:t>
      </w:r>
      <w:proofErr w:type="spellEnd"/>
      <w:r>
        <w:rPr>
          <w:lang w:val="fr-FR"/>
        </w:rPr>
        <w:t>, Vol.</w:t>
      </w:r>
      <w:r w:rsidR="00315769">
        <w:rPr>
          <w:lang w:val="fr-FR"/>
        </w:rPr>
        <w:t> </w:t>
      </w:r>
      <w:r>
        <w:rPr>
          <w:lang w:val="fr-FR"/>
        </w:rPr>
        <w:t>10, p. 510, disponible à l</w:t>
      </w:r>
      <w:r>
        <w:rPr>
          <w:lang w:val="fr-FR"/>
        </w:rPr>
        <w:t>’</w:t>
      </w:r>
      <w:r>
        <w:rPr>
          <w:lang w:val="fr-FR"/>
        </w:rPr>
        <w:t>adresse suivante</w:t>
      </w:r>
      <w:r>
        <w:rPr>
          <w:lang w:val="fr-FR"/>
        </w:rPr>
        <w:t> </w:t>
      </w:r>
      <w:r>
        <w:rPr>
          <w:lang w:val="fr-FR"/>
        </w:rPr>
        <w:t xml:space="preserve">: </w:t>
      </w:r>
      <w:hyperlink r:id="rId30" w:history="1">
        <w:r w:rsidR="00315769" w:rsidRPr="0078536E">
          <w:rPr>
            <w:rStyle w:val="Lienhypertexte"/>
            <w:lang w:val="fr-FR"/>
          </w:rPr>
          <w:t>https://doi.org/10.3390/su10020510</w:t>
        </w:r>
      </w:hyperlink>
      <w:r>
        <w:rPr>
          <w:lang w:val="fr-FR"/>
        </w:rPr>
        <w:t>.</w:t>
      </w:r>
    </w:p>
  </w:footnote>
  <w:footnote w:id="30">
    <w:p w14:paraId="344078A7" w14:textId="4714DF2A"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Banque interaméricaine de développement, 2021, « </w:t>
      </w:r>
      <w:proofErr w:type="spellStart"/>
      <w:r>
        <w:rPr>
          <w:lang w:val="fr-FR"/>
        </w:rPr>
        <w:t>Logistics</w:t>
      </w:r>
      <w:proofErr w:type="spellEnd"/>
      <w:r>
        <w:rPr>
          <w:lang w:val="fr-FR"/>
        </w:rPr>
        <w:t xml:space="preserve"> in Latin America and the Caribbean: </w:t>
      </w:r>
      <w:proofErr w:type="spellStart"/>
      <w:r>
        <w:rPr>
          <w:lang w:val="fr-FR"/>
        </w:rPr>
        <w:t>Opportunities</w:t>
      </w:r>
      <w:proofErr w:type="spellEnd"/>
      <w:r>
        <w:rPr>
          <w:lang w:val="fr-FR"/>
        </w:rPr>
        <w:t>, Challenges and Courses of Action », disponible à l</w:t>
      </w:r>
      <w:r>
        <w:rPr>
          <w:lang w:val="fr-FR"/>
        </w:rPr>
        <w:t>’</w:t>
      </w:r>
      <w:r>
        <w:rPr>
          <w:lang w:val="fr-FR"/>
        </w:rPr>
        <w:t>adresse suivante</w:t>
      </w:r>
      <w:r>
        <w:rPr>
          <w:lang w:val="fr-FR"/>
        </w:rPr>
        <w:t> </w:t>
      </w:r>
      <w:r>
        <w:rPr>
          <w:lang w:val="fr-FR"/>
        </w:rPr>
        <w:t xml:space="preserve">: </w:t>
      </w:r>
      <w:hyperlink r:id="rId31" w:history="1">
        <w:r w:rsidR="00315769" w:rsidRPr="0078536E">
          <w:rPr>
            <w:rStyle w:val="Lienhypertexte"/>
            <w:lang w:val="fr-FR"/>
          </w:rPr>
          <w:t>http://dx.doi.org/10.18235/0003278</w:t>
        </w:r>
      </w:hyperlink>
      <w:r>
        <w:rPr>
          <w:lang w:val="fr-FR"/>
        </w:rPr>
        <w:t>.</w:t>
      </w:r>
    </w:p>
  </w:footnote>
  <w:footnote w:id="31">
    <w:p w14:paraId="28616913" w14:textId="07E85EF7"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 xml:space="preserve">FRI (2022), « World Road </w:t>
      </w:r>
      <w:proofErr w:type="spellStart"/>
      <w:r>
        <w:rPr>
          <w:lang w:val="fr-FR"/>
        </w:rPr>
        <w:t>Statistics</w:t>
      </w:r>
      <w:proofErr w:type="spellEnd"/>
      <w:r>
        <w:rPr>
          <w:lang w:val="fr-FR"/>
        </w:rPr>
        <w:t xml:space="preserve"> 2022 », disponible à l</w:t>
      </w:r>
      <w:r>
        <w:rPr>
          <w:lang w:val="fr-FR"/>
        </w:rPr>
        <w:t>’</w:t>
      </w:r>
      <w:r>
        <w:rPr>
          <w:lang w:val="fr-FR"/>
        </w:rPr>
        <w:t>adresse suivante</w:t>
      </w:r>
      <w:r>
        <w:rPr>
          <w:lang w:val="fr-FR"/>
        </w:rPr>
        <w:t> </w:t>
      </w:r>
      <w:r>
        <w:rPr>
          <w:lang w:val="fr-FR"/>
        </w:rPr>
        <w:t xml:space="preserve">: </w:t>
      </w:r>
      <w:hyperlink r:id="rId32" w:history="1">
        <w:r w:rsidR="00315769" w:rsidRPr="0078536E">
          <w:rPr>
            <w:rStyle w:val="Lienhypertexte"/>
            <w:lang w:val="fr-FR"/>
          </w:rPr>
          <w:t>https://datawarehouse.worldroadstatistics.org</w:t>
        </w:r>
      </w:hyperlink>
      <w:r>
        <w:rPr>
          <w:lang w:val="fr-FR"/>
        </w:rPr>
        <w:t>.</w:t>
      </w:r>
    </w:p>
  </w:footnote>
  <w:footnote w:id="32">
    <w:p w14:paraId="3C08BF8A" w14:textId="441BA43E" w:rsidR="002B1D76" w:rsidRPr="00315769" w:rsidRDefault="002B1D76" w:rsidP="002B1D76">
      <w:pPr>
        <w:pStyle w:val="Notedebasdepage"/>
        <w:rPr>
          <w:lang w:val="en-US"/>
        </w:rPr>
      </w:pPr>
      <w:r w:rsidRPr="00036F93">
        <w:rPr>
          <w:lang w:val="fr-FR"/>
        </w:rPr>
        <w:tab/>
      </w:r>
      <w:r w:rsidRPr="002B1D76">
        <w:rPr>
          <w:rStyle w:val="Appelnotedebasdep"/>
        </w:rPr>
        <w:footnoteRef/>
      </w:r>
      <w:r>
        <w:rPr>
          <w:lang w:val="fr-FR"/>
        </w:rPr>
        <w:tab/>
        <w:t>Travaux d</w:t>
      </w:r>
      <w:r>
        <w:rPr>
          <w:lang w:val="fr-FR"/>
        </w:rPr>
        <w:t>’</w:t>
      </w:r>
      <w:r>
        <w:rPr>
          <w:lang w:val="fr-FR"/>
        </w:rPr>
        <w:t xml:space="preserve">analyse du </w:t>
      </w:r>
      <w:proofErr w:type="spellStart"/>
      <w:r>
        <w:rPr>
          <w:lang w:val="fr-FR"/>
        </w:rPr>
        <w:t>SLoCaT</w:t>
      </w:r>
      <w:proofErr w:type="spellEnd"/>
      <w:r>
        <w:rPr>
          <w:lang w:val="fr-FR"/>
        </w:rPr>
        <w:t>, d</w:t>
      </w:r>
      <w:r>
        <w:rPr>
          <w:lang w:val="fr-FR"/>
        </w:rPr>
        <w:t>’</w:t>
      </w:r>
      <w:r>
        <w:rPr>
          <w:lang w:val="fr-FR"/>
        </w:rPr>
        <w:t>après M.</w:t>
      </w:r>
      <w:r>
        <w:rPr>
          <w:lang w:val="fr-FR"/>
        </w:rPr>
        <w:t> </w:t>
      </w:r>
      <w:proofErr w:type="spellStart"/>
      <w:r>
        <w:rPr>
          <w:lang w:val="fr-FR"/>
        </w:rPr>
        <w:t>Crippa</w:t>
      </w:r>
      <w:proofErr w:type="spellEnd"/>
      <w:r>
        <w:rPr>
          <w:lang w:val="fr-FR"/>
        </w:rPr>
        <w:t xml:space="preserve"> </w:t>
      </w:r>
      <w:r w:rsidRPr="00315769">
        <w:rPr>
          <w:i/>
          <w:iCs/>
          <w:lang w:val="fr-FR"/>
        </w:rPr>
        <w:t>et al</w:t>
      </w:r>
      <w:r>
        <w:rPr>
          <w:lang w:val="fr-FR"/>
        </w:rPr>
        <w:t xml:space="preserve">. </w:t>
      </w:r>
      <w:r w:rsidRPr="00315769">
        <w:rPr>
          <w:lang w:val="en-US"/>
        </w:rPr>
        <w:t xml:space="preserve">(2023), « GHG emissions of all world countries </w:t>
      </w:r>
      <w:r w:rsidR="00315769" w:rsidRPr="00315769">
        <w:rPr>
          <w:lang w:val="en-US"/>
        </w:rPr>
        <w:t>−</w:t>
      </w:r>
      <w:r w:rsidRPr="00315769">
        <w:rPr>
          <w:lang w:val="en-US"/>
        </w:rPr>
        <w:t xml:space="preserve"> </w:t>
      </w:r>
      <w:r w:rsidRPr="00315769">
        <w:rPr>
          <w:spacing w:val="-2"/>
          <w:lang w:val="en-US"/>
        </w:rPr>
        <w:t xml:space="preserve">2023 Report », disponible à </w:t>
      </w:r>
      <w:proofErr w:type="spellStart"/>
      <w:r w:rsidRPr="00315769">
        <w:rPr>
          <w:spacing w:val="-2"/>
          <w:lang w:val="en-US"/>
        </w:rPr>
        <w:t>l</w:t>
      </w:r>
      <w:r w:rsidRPr="00315769">
        <w:rPr>
          <w:spacing w:val="-2"/>
          <w:lang w:val="en-US"/>
        </w:rPr>
        <w:t>’</w:t>
      </w:r>
      <w:r w:rsidRPr="00315769">
        <w:rPr>
          <w:spacing w:val="-2"/>
          <w:lang w:val="en-US"/>
        </w:rPr>
        <w:t>adresse</w:t>
      </w:r>
      <w:proofErr w:type="spellEnd"/>
      <w:r w:rsidRPr="00315769">
        <w:rPr>
          <w:spacing w:val="-2"/>
          <w:lang w:val="en-US"/>
        </w:rPr>
        <w:t xml:space="preserve"> </w:t>
      </w:r>
      <w:proofErr w:type="spellStart"/>
      <w:r w:rsidRPr="00315769">
        <w:rPr>
          <w:spacing w:val="-2"/>
          <w:lang w:val="en-US"/>
        </w:rPr>
        <w:t>suivante</w:t>
      </w:r>
      <w:proofErr w:type="spellEnd"/>
      <w:r w:rsidRPr="00315769">
        <w:rPr>
          <w:spacing w:val="-2"/>
          <w:lang w:val="en-US"/>
        </w:rPr>
        <w:t> </w:t>
      </w:r>
      <w:r w:rsidRPr="00315769">
        <w:rPr>
          <w:spacing w:val="-2"/>
          <w:lang w:val="en-US"/>
        </w:rPr>
        <w:t xml:space="preserve">: </w:t>
      </w:r>
      <w:hyperlink r:id="rId33" w:history="1">
        <w:r w:rsidR="00315769" w:rsidRPr="00315769">
          <w:rPr>
            <w:rStyle w:val="Lienhypertexte"/>
            <w:spacing w:val="-2"/>
            <w:lang w:val="en-US"/>
          </w:rPr>
          <w:t>https://edgar.jrc.ec.europa.eu/report_2023</w:t>
        </w:r>
      </w:hyperlink>
      <w:r w:rsidRPr="00315769">
        <w:rPr>
          <w:spacing w:val="-2"/>
          <w:lang w:val="en-US"/>
        </w:rPr>
        <w:t>.</w:t>
      </w:r>
    </w:p>
  </w:footnote>
  <w:footnote w:id="33">
    <w:p w14:paraId="36A8EF78" w14:textId="22EEBD22" w:rsidR="002B1D76" w:rsidRPr="00501EF4" w:rsidRDefault="002B1D76" w:rsidP="002B1D76">
      <w:pPr>
        <w:pStyle w:val="Notedebasdepage"/>
        <w:rPr>
          <w:lang w:val="fr-FR"/>
        </w:rPr>
      </w:pPr>
      <w:r w:rsidRPr="00315769">
        <w:rPr>
          <w:lang w:val="en-US"/>
        </w:rPr>
        <w:tab/>
      </w:r>
      <w:r w:rsidRPr="002B1D76">
        <w:rPr>
          <w:rStyle w:val="Appelnotedebasdep"/>
        </w:rPr>
        <w:footnoteRef/>
      </w:r>
      <w:r>
        <w:rPr>
          <w:lang w:val="fr-FR"/>
        </w:rPr>
        <w:tab/>
        <w:t xml:space="preserve">FRI (2022), « World Road </w:t>
      </w:r>
      <w:proofErr w:type="spellStart"/>
      <w:r>
        <w:rPr>
          <w:lang w:val="fr-FR"/>
        </w:rPr>
        <w:t>Statistics</w:t>
      </w:r>
      <w:proofErr w:type="spellEnd"/>
      <w:r>
        <w:rPr>
          <w:lang w:val="fr-FR"/>
        </w:rPr>
        <w:t xml:space="preserve"> 2022 », disponible à l</w:t>
      </w:r>
      <w:r>
        <w:rPr>
          <w:lang w:val="fr-FR"/>
        </w:rPr>
        <w:t>’</w:t>
      </w:r>
      <w:r>
        <w:rPr>
          <w:lang w:val="fr-FR"/>
        </w:rPr>
        <w:t>adresse suivante</w:t>
      </w:r>
      <w:r>
        <w:rPr>
          <w:lang w:val="fr-FR"/>
        </w:rPr>
        <w:t> </w:t>
      </w:r>
      <w:r>
        <w:rPr>
          <w:lang w:val="fr-FR"/>
        </w:rPr>
        <w:t xml:space="preserve">: </w:t>
      </w:r>
      <w:hyperlink r:id="rId34" w:history="1">
        <w:r w:rsidR="00315769" w:rsidRPr="0078536E">
          <w:rPr>
            <w:rStyle w:val="Lienhypertexte"/>
            <w:lang w:val="fr-FR"/>
          </w:rPr>
          <w:t>https://datawarehouse.worldroadstatistics.org</w:t>
        </w:r>
      </w:hyperlink>
      <w:r>
        <w:rPr>
          <w:lang w:val="fr-FR"/>
        </w:rPr>
        <w:t>.</w:t>
      </w:r>
    </w:p>
  </w:footnote>
  <w:footnote w:id="34">
    <w:p w14:paraId="09F79C5F" w14:textId="75AC9A50"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GIEC (2022), « </w:t>
      </w:r>
      <w:proofErr w:type="spellStart"/>
      <w:r>
        <w:rPr>
          <w:lang w:val="fr-FR"/>
        </w:rPr>
        <w:t>Climate</w:t>
      </w:r>
      <w:proofErr w:type="spellEnd"/>
      <w:r>
        <w:rPr>
          <w:lang w:val="fr-FR"/>
        </w:rPr>
        <w:t xml:space="preserve"> Change 2022: Mitigation of </w:t>
      </w:r>
      <w:proofErr w:type="spellStart"/>
      <w:r>
        <w:rPr>
          <w:lang w:val="fr-FR"/>
        </w:rPr>
        <w:t>Climate</w:t>
      </w:r>
      <w:proofErr w:type="spellEnd"/>
      <w:r>
        <w:rPr>
          <w:lang w:val="fr-FR"/>
        </w:rPr>
        <w:t xml:space="preserve"> Change », disponible à l</w:t>
      </w:r>
      <w:r>
        <w:rPr>
          <w:lang w:val="fr-FR"/>
        </w:rPr>
        <w:t>’</w:t>
      </w:r>
      <w:r>
        <w:rPr>
          <w:lang w:val="fr-FR"/>
        </w:rPr>
        <w:t>adresse suivante</w:t>
      </w:r>
      <w:r>
        <w:rPr>
          <w:lang w:val="fr-FR"/>
        </w:rPr>
        <w:t> </w:t>
      </w:r>
      <w:r>
        <w:rPr>
          <w:lang w:val="fr-FR"/>
        </w:rPr>
        <w:t xml:space="preserve">: </w:t>
      </w:r>
      <w:hyperlink r:id="rId35" w:history="1">
        <w:r w:rsidR="00315769" w:rsidRPr="0078536E">
          <w:rPr>
            <w:rStyle w:val="Lienhypertexte"/>
            <w:lang w:val="fr-FR"/>
          </w:rPr>
          <w:t>https://www.ipcc.ch/report/sixth-assessment-report-working-group-3</w:t>
        </w:r>
      </w:hyperlink>
      <w:r>
        <w:rPr>
          <w:lang w:val="fr-FR"/>
        </w:rPr>
        <w:t xml:space="preserve">. </w:t>
      </w:r>
    </w:p>
  </w:footnote>
  <w:footnote w:id="35">
    <w:p w14:paraId="7B36B0D0" w14:textId="1FEC16E1"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Forum international des transports (FIT) (2023), « ITF Transport Outlook 2023 », disponible à l</w:t>
      </w:r>
      <w:r>
        <w:rPr>
          <w:lang w:val="fr-FR"/>
        </w:rPr>
        <w:t>’</w:t>
      </w:r>
      <w:r>
        <w:rPr>
          <w:lang w:val="fr-FR"/>
        </w:rPr>
        <w:t>adresse suivante</w:t>
      </w:r>
      <w:r>
        <w:rPr>
          <w:lang w:val="fr-FR"/>
        </w:rPr>
        <w:t> </w:t>
      </w:r>
      <w:r>
        <w:rPr>
          <w:lang w:val="fr-FR"/>
        </w:rPr>
        <w:t xml:space="preserve">: </w:t>
      </w:r>
      <w:hyperlink r:id="rId36" w:history="1">
        <w:r w:rsidR="00315769" w:rsidRPr="0078536E">
          <w:rPr>
            <w:rStyle w:val="Lienhypertexte"/>
            <w:lang w:val="fr-FR"/>
          </w:rPr>
          <w:t>https://www.itf-oecd.org/itf-transport-outlook-2023</w:t>
        </w:r>
      </w:hyperlink>
      <w:r>
        <w:rPr>
          <w:lang w:val="fr-FR"/>
        </w:rPr>
        <w:t xml:space="preserve">. </w:t>
      </w:r>
    </w:p>
  </w:footnote>
  <w:footnote w:id="36">
    <w:p w14:paraId="7C2A26A0" w14:textId="30391EAA"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FIT (2023), « ITF Transport Outlook 2023 », disponible à l</w:t>
      </w:r>
      <w:r>
        <w:rPr>
          <w:lang w:val="fr-FR"/>
        </w:rPr>
        <w:t>’</w:t>
      </w:r>
      <w:r>
        <w:rPr>
          <w:lang w:val="fr-FR"/>
        </w:rPr>
        <w:t>adresse suivante</w:t>
      </w:r>
      <w:r>
        <w:rPr>
          <w:lang w:val="fr-FR"/>
        </w:rPr>
        <w:t> </w:t>
      </w:r>
      <w:r>
        <w:rPr>
          <w:lang w:val="fr-FR"/>
        </w:rPr>
        <w:t xml:space="preserve">: </w:t>
      </w:r>
      <w:hyperlink r:id="rId37" w:history="1">
        <w:r w:rsidR="00315769" w:rsidRPr="0078536E">
          <w:rPr>
            <w:rStyle w:val="Lienhypertexte"/>
            <w:lang w:val="fr-FR"/>
          </w:rPr>
          <w:t>https://www.itf-oecd.org/itf-transport-outlook-2023</w:t>
        </w:r>
      </w:hyperlink>
      <w:r>
        <w:rPr>
          <w:lang w:val="fr-FR"/>
        </w:rPr>
        <w:t xml:space="preserve">. </w:t>
      </w:r>
    </w:p>
  </w:footnote>
  <w:footnote w:id="37">
    <w:p w14:paraId="7818CD1F" w14:textId="49F755EA"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FIT (2023), « ITF Transport Outlook 2023 », disponible à l</w:t>
      </w:r>
      <w:r>
        <w:rPr>
          <w:lang w:val="fr-FR"/>
        </w:rPr>
        <w:t>’</w:t>
      </w:r>
      <w:r>
        <w:rPr>
          <w:lang w:val="fr-FR"/>
        </w:rPr>
        <w:t>adresse suivante</w:t>
      </w:r>
      <w:r>
        <w:rPr>
          <w:lang w:val="fr-FR"/>
        </w:rPr>
        <w:t> </w:t>
      </w:r>
      <w:r>
        <w:rPr>
          <w:lang w:val="fr-FR"/>
        </w:rPr>
        <w:t xml:space="preserve">: </w:t>
      </w:r>
      <w:hyperlink r:id="rId38" w:history="1">
        <w:r w:rsidR="00315769" w:rsidRPr="0078536E">
          <w:rPr>
            <w:rStyle w:val="Lienhypertexte"/>
            <w:lang w:val="fr-FR"/>
          </w:rPr>
          <w:t>https://www.itf-oecd.org/itf-transport-outlook-2023</w:t>
        </w:r>
      </w:hyperlink>
      <w:r>
        <w:rPr>
          <w:lang w:val="fr-FR"/>
        </w:rPr>
        <w:t xml:space="preserve">. </w:t>
      </w:r>
    </w:p>
  </w:footnote>
  <w:footnote w:id="38">
    <w:p w14:paraId="6A8207FC" w14:textId="554FD6E1"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OCDE-FIT, « Perspectives des transports FIT 2021 », chap</w:t>
      </w:r>
      <w:r w:rsidR="00315769">
        <w:rPr>
          <w:lang w:val="fr-FR"/>
        </w:rPr>
        <w:t>.</w:t>
      </w:r>
      <w:r>
        <w:rPr>
          <w:lang w:val="fr-FR"/>
        </w:rPr>
        <w:t> 2, fig</w:t>
      </w:r>
      <w:r w:rsidR="00315769">
        <w:rPr>
          <w:lang w:val="fr-FR"/>
        </w:rPr>
        <w:t>.</w:t>
      </w:r>
      <w:r>
        <w:rPr>
          <w:lang w:val="fr-FR"/>
        </w:rPr>
        <w:t xml:space="preserve"> 2.8, disponible à l</w:t>
      </w:r>
      <w:r>
        <w:rPr>
          <w:lang w:val="fr-FR"/>
        </w:rPr>
        <w:t>’</w:t>
      </w:r>
      <w:r>
        <w:rPr>
          <w:lang w:val="fr-FR"/>
        </w:rPr>
        <w:t>adresse suivante</w:t>
      </w:r>
      <w:r>
        <w:rPr>
          <w:lang w:val="fr-FR"/>
        </w:rPr>
        <w:t> </w:t>
      </w:r>
      <w:r>
        <w:rPr>
          <w:lang w:val="fr-FR"/>
        </w:rPr>
        <w:t xml:space="preserve">: </w:t>
      </w:r>
      <w:hyperlink r:id="rId39" w:history="1">
        <w:r w:rsidR="00AA06B2" w:rsidRPr="0078536E">
          <w:rPr>
            <w:rStyle w:val="Lienhypertexte"/>
            <w:lang w:val="fr-FR"/>
          </w:rPr>
          <w:t>https://www.oecd-ilibrary.org/tra</w:t>
        </w:r>
        <w:r w:rsidR="00AA06B2" w:rsidRPr="0078536E">
          <w:rPr>
            <w:rStyle w:val="Lienhypertexte"/>
            <w:lang w:val="fr-FR"/>
          </w:rPr>
          <w:t>n</w:t>
        </w:r>
        <w:r w:rsidR="00AA06B2" w:rsidRPr="0078536E">
          <w:rPr>
            <w:rStyle w:val="Lienhypertexte"/>
            <w:lang w:val="fr-FR"/>
          </w:rPr>
          <w:t>sport/perspectives-des-transports-fit_25202383</w:t>
        </w:r>
      </w:hyperlink>
      <w:r>
        <w:rPr>
          <w:lang w:val="fr-FR"/>
        </w:rPr>
        <w:t>.</w:t>
      </w:r>
    </w:p>
  </w:footnote>
  <w:footnote w:id="39">
    <w:p w14:paraId="197933C7" w14:textId="2846810F"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FIT (2021), « Perspectives des transports FIT 2021 », disponible à l</w:t>
      </w:r>
      <w:r>
        <w:rPr>
          <w:lang w:val="fr-FR"/>
        </w:rPr>
        <w:t>’</w:t>
      </w:r>
      <w:r>
        <w:rPr>
          <w:lang w:val="fr-FR"/>
        </w:rPr>
        <w:t>adresse suivante</w:t>
      </w:r>
      <w:r>
        <w:rPr>
          <w:lang w:val="fr-FR"/>
        </w:rPr>
        <w:t> </w:t>
      </w:r>
      <w:r>
        <w:rPr>
          <w:lang w:val="fr-FR"/>
        </w:rPr>
        <w:t xml:space="preserve">: </w:t>
      </w:r>
      <w:hyperlink r:id="rId40" w:history="1">
        <w:r w:rsidR="00AA06B2" w:rsidRPr="0078536E">
          <w:rPr>
            <w:rStyle w:val="Lienhypertexte"/>
            <w:lang w:val="fr-FR"/>
          </w:rPr>
          <w:t>https://ww</w:t>
        </w:r>
        <w:r w:rsidR="00AA06B2" w:rsidRPr="0078536E">
          <w:rPr>
            <w:rStyle w:val="Lienhypertexte"/>
            <w:lang w:val="fr-FR"/>
          </w:rPr>
          <w:t>w</w:t>
        </w:r>
        <w:r w:rsidR="00AA06B2" w:rsidRPr="0078536E">
          <w:rPr>
            <w:rStyle w:val="Lienhypertexte"/>
            <w:lang w:val="fr-FR"/>
          </w:rPr>
          <w:t>.itf-oecd.org/perspectives-transports-fit-2021</w:t>
        </w:r>
      </w:hyperlink>
      <w:r>
        <w:rPr>
          <w:lang w:val="fr-FR"/>
        </w:rPr>
        <w:t xml:space="preserve">. </w:t>
      </w:r>
    </w:p>
  </w:footnote>
  <w:footnote w:id="40">
    <w:p w14:paraId="59C41BFA" w14:textId="319847CF"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 xml:space="preserve">S. </w:t>
      </w:r>
      <w:proofErr w:type="spellStart"/>
      <w:r>
        <w:rPr>
          <w:lang w:val="fr-FR"/>
        </w:rPr>
        <w:t>Gota</w:t>
      </w:r>
      <w:proofErr w:type="spellEnd"/>
      <w:r>
        <w:rPr>
          <w:lang w:val="fr-FR"/>
        </w:rPr>
        <w:t xml:space="preserve"> et C.</w:t>
      </w:r>
      <w:r>
        <w:rPr>
          <w:lang w:val="fr-FR"/>
        </w:rPr>
        <w:t> </w:t>
      </w:r>
      <w:proofErr w:type="spellStart"/>
      <w:r>
        <w:rPr>
          <w:lang w:val="fr-FR"/>
        </w:rPr>
        <w:t>Huizenga</w:t>
      </w:r>
      <w:proofErr w:type="spellEnd"/>
      <w:r>
        <w:rPr>
          <w:lang w:val="fr-FR"/>
        </w:rPr>
        <w:t xml:space="preserve"> (2022), « Asian Transport 2030 Outlook », disponible à l</w:t>
      </w:r>
      <w:r>
        <w:rPr>
          <w:lang w:val="fr-FR"/>
        </w:rPr>
        <w:t>’</w:t>
      </w:r>
      <w:r>
        <w:rPr>
          <w:lang w:val="fr-FR"/>
        </w:rPr>
        <w:t>adresse suivante</w:t>
      </w:r>
      <w:r>
        <w:rPr>
          <w:lang w:val="fr-FR"/>
        </w:rPr>
        <w:t> </w:t>
      </w:r>
      <w:r>
        <w:rPr>
          <w:lang w:val="fr-FR"/>
        </w:rPr>
        <w:t xml:space="preserve">: </w:t>
      </w:r>
      <w:hyperlink r:id="rId41" w:history="1">
        <w:r w:rsidR="00AA06B2" w:rsidRPr="0078536E">
          <w:rPr>
            <w:rStyle w:val="Lienhypertexte"/>
            <w:lang w:val="fr-FR"/>
          </w:rPr>
          <w:t>https://asiantransportoutlook.com/analytical-outputs/asian-transport-2030-outlook</w:t>
        </w:r>
      </w:hyperlink>
      <w:r>
        <w:rPr>
          <w:lang w:val="fr-FR"/>
        </w:rPr>
        <w:t>.</w:t>
      </w:r>
    </w:p>
  </w:footnote>
  <w:footnote w:id="41">
    <w:p w14:paraId="537238FC" w14:textId="17B5C15C"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FIT (2023), « ITF Transport Outlook 2023 », disponible à l</w:t>
      </w:r>
      <w:r>
        <w:rPr>
          <w:lang w:val="fr-FR"/>
        </w:rPr>
        <w:t>’</w:t>
      </w:r>
      <w:r>
        <w:rPr>
          <w:lang w:val="fr-FR"/>
        </w:rPr>
        <w:t>adresse suivante</w:t>
      </w:r>
      <w:r>
        <w:rPr>
          <w:lang w:val="fr-FR"/>
        </w:rPr>
        <w:t> </w:t>
      </w:r>
      <w:r>
        <w:rPr>
          <w:lang w:val="fr-FR"/>
        </w:rPr>
        <w:t xml:space="preserve">: </w:t>
      </w:r>
      <w:hyperlink r:id="rId42" w:history="1">
        <w:r w:rsidR="00AA06B2" w:rsidRPr="0078536E">
          <w:rPr>
            <w:rStyle w:val="Lienhypertexte"/>
            <w:lang w:val="fr-FR"/>
          </w:rPr>
          <w:t>https://www.itf-oecd.org/itf-transport-outlook-2023</w:t>
        </w:r>
      </w:hyperlink>
      <w:r>
        <w:rPr>
          <w:lang w:val="fr-FR"/>
        </w:rPr>
        <w:t xml:space="preserve">. </w:t>
      </w:r>
    </w:p>
  </w:footnote>
  <w:footnote w:id="42">
    <w:p w14:paraId="6000FC5A" w14:textId="69392113" w:rsidR="002B1D76" w:rsidRPr="002B1D76" w:rsidRDefault="002B1D76" w:rsidP="002B1D76">
      <w:pPr>
        <w:pStyle w:val="Notedebasdepage"/>
        <w:rPr>
          <w:lang w:val="en-US"/>
        </w:rPr>
      </w:pPr>
      <w:r w:rsidRPr="00036F93">
        <w:rPr>
          <w:lang w:val="fr-FR"/>
        </w:rPr>
        <w:tab/>
      </w:r>
      <w:r w:rsidRPr="002B1D76">
        <w:rPr>
          <w:rStyle w:val="Appelnotedebasdep"/>
        </w:rPr>
        <w:footnoteRef/>
      </w:r>
      <w:r w:rsidRPr="00501EF4">
        <w:rPr>
          <w:lang w:val="en-US"/>
        </w:rPr>
        <w:tab/>
        <w:t xml:space="preserve">PNUE (2022), </w:t>
      </w:r>
      <w:r w:rsidRPr="0055524E">
        <w:rPr>
          <w:lang w:val="en-US"/>
        </w:rPr>
        <w:t>« </w:t>
      </w:r>
      <w:r w:rsidRPr="00501EF4">
        <w:rPr>
          <w:lang w:val="en-US"/>
        </w:rPr>
        <w:t xml:space="preserve">Emissions Gap Report 2022: The Closing Window </w:t>
      </w:r>
      <w:r w:rsidR="00AA06B2">
        <w:rPr>
          <w:lang w:val="en-US"/>
        </w:rPr>
        <w:t>−</w:t>
      </w:r>
      <w:r w:rsidRPr="00501EF4">
        <w:rPr>
          <w:lang w:val="en-US"/>
        </w:rPr>
        <w:t xml:space="preserve"> Climate Crisis Calls for Rapid Transformation of Societies</w:t>
      </w:r>
      <w:r>
        <w:rPr>
          <w:lang w:val="en-US"/>
        </w:rPr>
        <w:t> </w:t>
      </w:r>
      <w:r w:rsidRPr="0055524E">
        <w:rPr>
          <w:lang w:val="en-US"/>
        </w:rPr>
        <w:t>»</w:t>
      </w:r>
      <w:r w:rsidRPr="00501EF4">
        <w:rPr>
          <w:lang w:val="en-US"/>
        </w:rPr>
        <w:t xml:space="preserve">,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43" w:history="1">
        <w:r w:rsidR="00AA06B2" w:rsidRPr="0078536E">
          <w:rPr>
            <w:rStyle w:val="Lienhypertexte"/>
            <w:lang w:val="en-US"/>
          </w:rPr>
          <w:t>https://www.unep.org/emissions-gap-report-2022</w:t>
        </w:r>
      </w:hyperlink>
      <w:r w:rsidRPr="00501EF4">
        <w:rPr>
          <w:lang w:val="en-US"/>
        </w:rPr>
        <w:t>.</w:t>
      </w:r>
    </w:p>
  </w:footnote>
  <w:footnote w:id="43">
    <w:p w14:paraId="20DDFC9D" w14:textId="3F22C83D" w:rsidR="002B1D76" w:rsidRPr="00501EF4" w:rsidRDefault="002B1D76" w:rsidP="002B1D76">
      <w:pPr>
        <w:pStyle w:val="Notedebasdepage"/>
        <w:rPr>
          <w:lang w:val="fr-FR"/>
        </w:rPr>
      </w:pPr>
      <w:r w:rsidRPr="00501EF4">
        <w:rPr>
          <w:lang w:val="en-US"/>
        </w:rPr>
        <w:tab/>
      </w:r>
      <w:r w:rsidRPr="002B1D76">
        <w:rPr>
          <w:rStyle w:val="Appelnotedebasdep"/>
        </w:rPr>
        <w:footnoteRef/>
      </w:r>
      <w:r>
        <w:rPr>
          <w:lang w:val="fr-FR"/>
        </w:rPr>
        <w:tab/>
        <w:t>FIT (2023), « ITF Transport Outlook 2023 », disponible à l</w:t>
      </w:r>
      <w:r>
        <w:rPr>
          <w:lang w:val="fr-FR"/>
        </w:rPr>
        <w:t>’</w:t>
      </w:r>
      <w:r>
        <w:rPr>
          <w:lang w:val="fr-FR"/>
        </w:rPr>
        <w:t>adresse suivante</w:t>
      </w:r>
      <w:r>
        <w:rPr>
          <w:lang w:val="fr-FR"/>
        </w:rPr>
        <w:t> </w:t>
      </w:r>
      <w:r>
        <w:rPr>
          <w:lang w:val="fr-FR"/>
        </w:rPr>
        <w:t xml:space="preserve">: </w:t>
      </w:r>
      <w:hyperlink r:id="rId44" w:history="1">
        <w:r w:rsidR="00AA06B2" w:rsidRPr="0078536E">
          <w:rPr>
            <w:rStyle w:val="Lienhypertexte"/>
            <w:lang w:val="fr-FR"/>
          </w:rPr>
          <w:t>https://www.itf-oecd.org/itf-transport-outlook-2023</w:t>
        </w:r>
      </w:hyperlink>
      <w:r>
        <w:rPr>
          <w:lang w:val="fr-FR"/>
        </w:rPr>
        <w:t>.</w:t>
      </w:r>
    </w:p>
  </w:footnote>
  <w:footnote w:id="44">
    <w:p w14:paraId="7F30C66F" w14:textId="4D12C3D5" w:rsidR="002B1D76" w:rsidRPr="002B1D76" w:rsidRDefault="002B1D76" w:rsidP="002B1D76">
      <w:pPr>
        <w:pStyle w:val="Notedebasdepage"/>
        <w:rPr>
          <w:lang w:val="en-US"/>
        </w:rPr>
      </w:pPr>
      <w:r w:rsidRPr="00036F93">
        <w:rPr>
          <w:lang w:val="fr-FR"/>
        </w:rPr>
        <w:tab/>
      </w:r>
      <w:r w:rsidRPr="002B1D76">
        <w:rPr>
          <w:rStyle w:val="Appelnotedebasdep"/>
        </w:rPr>
        <w:footnoteRef/>
      </w:r>
      <w:r w:rsidRPr="00501EF4">
        <w:rPr>
          <w:lang w:val="en-US"/>
        </w:rPr>
        <w:tab/>
        <w:t xml:space="preserve">AIE (2023), </w:t>
      </w:r>
      <w:r w:rsidRPr="0055524E">
        <w:rPr>
          <w:lang w:val="en-US"/>
        </w:rPr>
        <w:t>« </w:t>
      </w:r>
      <w:r w:rsidRPr="00501EF4">
        <w:rPr>
          <w:lang w:val="en-US"/>
        </w:rPr>
        <w:t>Net Zero Roadmap: A Global Pathway to Keep the 1.5 °C Goal in Reach, 2023 Update</w:t>
      </w:r>
      <w:r>
        <w:rPr>
          <w:lang w:val="en-US"/>
        </w:rPr>
        <w:t> </w:t>
      </w:r>
      <w:r w:rsidRPr="0055524E">
        <w:rPr>
          <w:lang w:val="en-US"/>
        </w:rPr>
        <w:t>»</w:t>
      </w:r>
      <w:r w:rsidRPr="00501EF4">
        <w:rPr>
          <w:lang w:val="en-US"/>
        </w:rPr>
        <w:t xml:space="preserve">,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45" w:history="1">
        <w:r w:rsidR="00AA06B2" w:rsidRPr="0078536E">
          <w:rPr>
            <w:rStyle w:val="Lienhypertexte"/>
            <w:lang w:val="en-US"/>
          </w:rPr>
          <w:t>https://www.iea.org/reports/net-zero-roadmap-a-global-pathway-to-keep-the-15-0c-goal-in-reach</w:t>
        </w:r>
      </w:hyperlink>
      <w:r w:rsidRPr="00501EF4">
        <w:rPr>
          <w:lang w:val="en-US"/>
        </w:rPr>
        <w:t xml:space="preserve">. </w:t>
      </w:r>
    </w:p>
  </w:footnote>
  <w:footnote w:id="45">
    <w:p w14:paraId="0D398165" w14:textId="7A63329F" w:rsidR="002B1D76" w:rsidRPr="00501EF4" w:rsidRDefault="002B1D76" w:rsidP="002B1D76">
      <w:pPr>
        <w:pStyle w:val="Notedebasdepage"/>
        <w:rPr>
          <w:lang w:val="fr-FR"/>
        </w:rPr>
      </w:pPr>
      <w:r w:rsidRPr="00501EF4">
        <w:rPr>
          <w:lang w:val="en-US"/>
        </w:rPr>
        <w:tab/>
      </w:r>
      <w:r w:rsidRPr="002B1D76">
        <w:rPr>
          <w:rStyle w:val="Appelnotedebasdep"/>
        </w:rPr>
        <w:footnoteRef/>
      </w:r>
      <w:r>
        <w:rPr>
          <w:lang w:val="fr-FR"/>
        </w:rPr>
        <w:tab/>
        <w:t>P.</w:t>
      </w:r>
      <w:r>
        <w:rPr>
          <w:lang w:val="fr-FR"/>
        </w:rPr>
        <w:t> </w:t>
      </w:r>
      <w:proofErr w:type="spellStart"/>
      <w:r>
        <w:rPr>
          <w:lang w:val="fr-FR"/>
        </w:rPr>
        <w:t>Jaramillo</w:t>
      </w:r>
      <w:proofErr w:type="spellEnd"/>
      <w:r>
        <w:rPr>
          <w:lang w:val="fr-FR"/>
        </w:rPr>
        <w:t xml:space="preserve"> </w:t>
      </w:r>
      <w:r w:rsidRPr="00AA06B2">
        <w:rPr>
          <w:i/>
          <w:iCs/>
          <w:lang w:val="fr-FR"/>
        </w:rPr>
        <w:t>et al</w:t>
      </w:r>
      <w:r>
        <w:rPr>
          <w:lang w:val="fr-FR"/>
        </w:rPr>
        <w:t xml:space="preserve">. (2022), « Transport », </w:t>
      </w:r>
      <w:r w:rsidR="00AA06B2">
        <w:rPr>
          <w:lang w:val="fr-FR"/>
        </w:rPr>
        <w:t>dans</w:t>
      </w:r>
      <w:r>
        <w:rPr>
          <w:lang w:val="fr-FR"/>
        </w:rPr>
        <w:t xml:space="preserve"> GIEC (2022), « </w:t>
      </w:r>
      <w:proofErr w:type="spellStart"/>
      <w:r>
        <w:rPr>
          <w:lang w:val="fr-FR"/>
        </w:rPr>
        <w:t>Climate</w:t>
      </w:r>
      <w:proofErr w:type="spellEnd"/>
      <w:r>
        <w:rPr>
          <w:lang w:val="fr-FR"/>
        </w:rPr>
        <w:t xml:space="preserve"> Change 2022: Mitigation of </w:t>
      </w:r>
      <w:proofErr w:type="spellStart"/>
      <w:r>
        <w:rPr>
          <w:lang w:val="fr-FR"/>
        </w:rPr>
        <w:t>Climate</w:t>
      </w:r>
      <w:proofErr w:type="spellEnd"/>
      <w:r>
        <w:rPr>
          <w:lang w:val="fr-FR"/>
        </w:rPr>
        <w:t xml:space="preserve"> Change », disponible à l</w:t>
      </w:r>
      <w:r>
        <w:rPr>
          <w:lang w:val="fr-FR"/>
        </w:rPr>
        <w:t>’</w:t>
      </w:r>
      <w:r>
        <w:rPr>
          <w:lang w:val="fr-FR"/>
        </w:rPr>
        <w:t>adresse suivante</w:t>
      </w:r>
      <w:r>
        <w:rPr>
          <w:lang w:val="fr-FR"/>
        </w:rPr>
        <w:t> </w:t>
      </w:r>
      <w:r>
        <w:rPr>
          <w:lang w:val="fr-FR"/>
        </w:rPr>
        <w:t xml:space="preserve">: </w:t>
      </w:r>
      <w:hyperlink r:id="rId46" w:history="1">
        <w:r w:rsidR="00AA06B2" w:rsidRPr="0078536E">
          <w:rPr>
            <w:rStyle w:val="Lienhypertexte"/>
            <w:lang w:val="fr-FR"/>
          </w:rPr>
          <w:t>https://www.ipcc.ch/report/sixth-assessment-report-working-group-3</w:t>
        </w:r>
      </w:hyperlink>
      <w:r>
        <w:rPr>
          <w:lang w:val="fr-FR"/>
        </w:rPr>
        <w:t xml:space="preserve">. </w:t>
      </w:r>
    </w:p>
  </w:footnote>
  <w:footnote w:id="46">
    <w:p w14:paraId="7225B6E9" w14:textId="782186C8"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Agence internationale pour les énergies renouvelables (IRENA) (2022), « World Energy Transitions Outlook 2022 », disponible à l</w:t>
      </w:r>
      <w:r>
        <w:rPr>
          <w:lang w:val="fr-FR"/>
        </w:rPr>
        <w:t>’</w:t>
      </w:r>
      <w:r>
        <w:rPr>
          <w:lang w:val="fr-FR"/>
        </w:rPr>
        <w:t>adresse suivante</w:t>
      </w:r>
      <w:r>
        <w:rPr>
          <w:lang w:val="fr-FR"/>
        </w:rPr>
        <w:t> </w:t>
      </w:r>
      <w:r>
        <w:rPr>
          <w:lang w:val="fr-FR"/>
        </w:rPr>
        <w:t xml:space="preserve">: </w:t>
      </w:r>
      <w:hyperlink r:id="rId47" w:history="1">
        <w:r w:rsidR="00AA06B2" w:rsidRPr="0078536E">
          <w:rPr>
            <w:rStyle w:val="Lienhypertexte"/>
            <w:lang w:val="fr-FR"/>
          </w:rPr>
          <w:t>https://www.irena.org/Digital-Report/World-Energy-Transitions-Outlook-2022</w:t>
        </w:r>
      </w:hyperlink>
      <w:r>
        <w:rPr>
          <w:lang w:val="fr-FR"/>
        </w:rPr>
        <w:t xml:space="preserve">. </w:t>
      </w:r>
    </w:p>
  </w:footnote>
  <w:footnote w:id="47">
    <w:p w14:paraId="2BE703D4" w14:textId="5593C3CB"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P.</w:t>
      </w:r>
      <w:r>
        <w:rPr>
          <w:lang w:val="fr-FR"/>
        </w:rPr>
        <w:t> </w:t>
      </w:r>
      <w:proofErr w:type="spellStart"/>
      <w:r>
        <w:rPr>
          <w:lang w:val="fr-FR"/>
        </w:rPr>
        <w:t>Jaramillo</w:t>
      </w:r>
      <w:proofErr w:type="spellEnd"/>
      <w:r>
        <w:rPr>
          <w:lang w:val="fr-FR"/>
        </w:rPr>
        <w:t xml:space="preserve"> </w:t>
      </w:r>
      <w:r w:rsidRPr="00AA06B2">
        <w:rPr>
          <w:i/>
          <w:iCs/>
          <w:lang w:val="fr-FR"/>
        </w:rPr>
        <w:t>et al</w:t>
      </w:r>
      <w:r>
        <w:rPr>
          <w:lang w:val="fr-FR"/>
        </w:rPr>
        <w:t xml:space="preserve">. (2022), « Transport », </w:t>
      </w:r>
      <w:r w:rsidR="00AA06B2">
        <w:rPr>
          <w:lang w:val="fr-FR"/>
        </w:rPr>
        <w:t>dans</w:t>
      </w:r>
      <w:r>
        <w:rPr>
          <w:lang w:val="fr-FR"/>
        </w:rPr>
        <w:t xml:space="preserve"> GIEC (2022), « </w:t>
      </w:r>
      <w:proofErr w:type="spellStart"/>
      <w:r>
        <w:rPr>
          <w:lang w:val="fr-FR"/>
        </w:rPr>
        <w:t>Climate</w:t>
      </w:r>
      <w:proofErr w:type="spellEnd"/>
      <w:r>
        <w:rPr>
          <w:lang w:val="fr-FR"/>
        </w:rPr>
        <w:t xml:space="preserve"> Change 2022: Mitigation of </w:t>
      </w:r>
      <w:proofErr w:type="spellStart"/>
      <w:r>
        <w:rPr>
          <w:lang w:val="fr-FR"/>
        </w:rPr>
        <w:t>Climate</w:t>
      </w:r>
      <w:proofErr w:type="spellEnd"/>
      <w:r>
        <w:rPr>
          <w:lang w:val="fr-FR"/>
        </w:rPr>
        <w:t xml:space="preserve"> Change », disponible à l</w:t>
      </w:r>
      <w:r>
        <w:rPr>
          <w:lang w:val="fr-FR"/>
        </w:rPr>
        <w:t>’</w:t>
      </w:r>
      <w:r>
        <w:rPr>
          <w:lang w:val="fr-FR"/>
        </w:rPr>
        <w:t>adresse suivante</w:t>
      </w:r>
      <w:r>
        <w:rPr>
          <w:lang w:val="fr-FR"/>
        </w:rPr>
        <w:t> </w:t>
      </w:r>
      <w:r>
        <w:rPr>
          <w:lang w:val="fr-FR"/>
        </w:rPr>
        <w:t xml:space="preserve">: </w:t>
      </w:r>
      <w:hyperlink r:id="rId48" w:history="1">
        <w:r w:rsidR="00AA06B2" w:rsidRPr="0078536E">
          <w:rPr>
            <w:rStyle w:val="Lienhypertexte"/>
            <w:lang w:val="fr-FR"/>
          </w:rPr>
          <w:t>https://www.ipcc.ch/report/sixth-assessment-report-working-group-3</w:t>
        </w:r>
      </w:hyperlink>
      <w:r>
        <w:rPr>
          <w:lang w:val="fr-FR"/>
        </w:rPr>
        <w:t>.</w:t>
      </w:r>
    </w:p>
  </w:footnote>
  <w:footnote w:id="48">
    <w:p w14:paraId="588AA72B" w14:textId="11627CAC" w:rsidR="002B1D76" w:rsidRPr="00501EF4" w:rsidRDefault="002B1D76" w:rsidP="002B1D76">
      <w:pPr>
        <w:pStyle w:val="Notedebasdepage"/>
        <w:rPr>
          <w:lang w:val="fr-FR"/>
        </w:rPr>
      </w:pPr>
      <w:r w:rsidRPr="00F848BA">
        <w:rPr>
          <w:lang w:val="fr-FR"/>
        </w:rPr>
        <w:tab/>
      </w:r>
      <w:r w:rsidRPr="002B1D76">
        <w:rPr>
          <w:rStyle w:val="Appelnotedebasdep"/>
        </w:rPr>
        <w:footnoteRef/>
      </w:r>
      <w:r>
        <w:rPr>
          <w:lang w:val="fr-FR"/>
        </w:rPr>
        <w:tab/>
        <w:t xml:space="preserve">AIE (2021), « Net </w:t>
      </w:r>
      <w:proofErr w:type="spellStart"/>
      <w:r>
        <w:rPr>
          <w:lang w:val="fr-FR"/>
        </w:rPr>
        <w:t>Zero</w:t>
      </w:r>
      <w:proofErr w:type="spellEnd"/>
      <w:r>
        <w:rPr>
          <w:lang w:val="fr-FR"/>
        </w:rPr>
        <w:t xml:space="preserve"> by 2050 », disponible à l</w:t>
      </w:r>
      <w:r>
        <w:rPr>
          <w:lang w:val="fr-FR"/>
        </w:rPr>
        <w:t>’</w:t>
      </w:r>
      <w:r>
        <w:rPr>
          <w:lang w:val="fr-FR"/>
        </w:rPr>
        <w:t>adresse suivante</w:t>
      </w:r>
      <w:r>
        <w:rPr>
          <w:lang w:val="fr-FR"/>
        </w:rPr>
        <w:t> </w:t>
      </w:r>
      <w:r>
        <w:rPr>
          <w:lang w:val="fr-FR"/>
        </w:rPr>
        <w:t xml:space="preserve">: </w:t>
      </w:r>
      <w:hyperlink r:id="rId49" w:history="1">
        <w:r w:rsidR="00AA06B2" w:rsidRPr="0078536E">
          <w:rPr>
            <w:rStyle w:val="Lienhypertexte"/>
            <w:lang w:val="fr-FR"/>
          </w:rPr>
          <w:t>https://www.iea.org/reports/net-zero-by-2050</w:t>
        </w:r>
      </w:hyperlink>
      <w:r>
        <w:rPr>
          <w:lang w:val="fr-FR"/>
        </w:rPr>
        <w:t>.</w:t>
      </w:r>
    </w:p>
  </w:footnote>
  <w:footnote w:id="49">
    <w:p w14:paraId="5A3BFD94" w14:textId="06F1E9BC" w:rsidR="002B1D76" w:rsidRPr="00501EF4" w:rsidRDefault="002B1D76" w:rsidP="002B1D76">
      <w:pPr>
        <w:pStyle w:val="Notedebasdepage"/>
        <w:rPr>
          <w:lang w:val="fr-FR"/>
        </w:rPr>
      </w:pPr>
      <w:r w:rsidRPr="003C0519">
        <w:rPr>
          <w:lang w:val="fr-FR"/>
        </w:rPr>
        <w:tab/>
      </w:r>
      <w:r w:rsidRPr="002B1D76">
        <w:rPr>
          <w:rStyle w:val="Appelnotedebasdep"/>
        </w:rPr>
        <w:footnoteRef/>
      </w:r>
      <w:r>
        <w:rPr>
          <w:lang w:val="fr-FR"/>
        </w:rPr>
        <w:tab/>
        <w:t xml:space="preserve">AIE (2021), « Net </w:t>
      </w:r>
      <w:proofErr w:type="spellStart"/>
      <w:r>
        <w:rPr>
          <w:lang w:val="fr-FR"/>
        </w:rPr>
        <w:t>Zero</w:t>
      </w:r>
      <w:proofErr w:type="spellEnd"/>
      <w:r>
        <w:rPr>
          <w:lang w:val="fr-FR"/>
        </w:rPr>
        <w:t xml:space="preserve"> by 2050 », disponible à l</w:t>
      </w:r>
      <w:r>
        <w:rPr>
          <w:lang w:val="fr-FR"/>
        </w:rPr>
        <w:t>’</w:t>
      </w:r>
      <w:r>
        <w:rPr>
          <w:lang w:val="fr-FR"/>
        </w:rPr>
        <w:t>adresse suivante</w:t>
      </w:r>
      <w:r>
        <w:rPr>
          <w:lang w:val="fr-FR"/>
        </w:rPr>
        <w:t> </w:t>
      </w:r>
      <w:r>
        <w:rPr>
          <w:lang w:val="fr-FR"/>
        </w:rPr>
        <w:t xml:space="preserve">: </w:t>
      </w:r>
      <w:hyperlink r:id="rId50" w:history="1">
        <w:r w:rsidR="00AA06B2" w:rsidRPr="0078536E">
          <w:rPr>
            <w:rStyle w:val="Lienhypertexte"/>
            <w:lang w:val="fr-FR"/>
          </w:rPr>
          <w:t>https://www.iea.org/reports/net-zero-by-2050</w:t>
        </w:r>
      </w:hyperlink>
      <w:r>
        <w:rPr>
          <w:lang w:val="fr-FR"/>
        </w:rPr>
        <w:t>.</w:t>
      </w:r>
    </w:p>
  </w:footnote>
  <w:footnote w:id="50">
    <w:p w14:paraId="4A7BF241" w14:textId="61F72D8A" w:rsidR="002B1D76" w:rsidRPr="00501EF4" w:rsidRDefault="002B1D76" w:rsidP="002B1D76">
      <w:pPr>
        <w:pStyle w:val="Notedebasdepage"/>
        <w:rPr>
          <w:lang w:val="fr-FR"/>
        </w:rPr>
      </w:pPr>
      <w:r w:rsidRPr="003C0519">
        <w:rPr>
          <w:lang w:val="fr-FR"/>
        </w:rPr>
        <w:tab/>
      </w:r>
      <w:r w:rsidRPr="002B1D76">
        <w:rPr>
          <w:rStyle w:val="Appelnotedebasdep"/>
        </w:rPr>
        <w:footnoteRef/>
      </w:r>
      <w:r>
        <w:rPr>
          <w:lang w:val="fr-FR"/>
        </w:rPr>
        <w:tab/>
        <w:t xml:space="preserve">AIE (2021), « Net </w:t>
      </w:r>
      <w:proofErr w:type="spellStart"/>
      <w:r>
        <w:rPr>
          <w:lang w:val="fr-FR"/>
        </w:rPr>
        <w:t>Zero</w:t>
      </w:r>
      <w:proofErr w:type="spellEnd"/>
      <w:r>
        <w:rPr>
          <w:lang w:val="fr-FR"/>
        </w:rPr>
        <w:t xml:space="preserve"> by 2050 », disponible à l</w:t>
      </w:r>
      <w:r>
        <w:rPr>
          <w:lang w:val="fr-FR"/>
        </w:rPr>
        <w:t>’</w:t>
      </w:r>
      <w:r>
        <w:rPr>
          <w:lang w:val="fr-FR"/>
        </w:rPr>
        <w:t>adresse suivante</w:t>
      </w:r>
      <w:r>
        <w:rPr>
          <w:lang w:val="fr-FR"/>
        </w:rPr>
        <w:t> </w:t>
      </w:r>
      <w:r>
        <w:rPr>
          <w:lang w:val="fr-FR"/>
        </w:rPr>
        <w:t xml:space="preserve">: </w:t>
      </w:r>
      <w:hyperlink r:id="rId51" w:history="1">
        <w:r w:rsidR="00AA06B2" w:rsidRPr="0078536E">
          <w:rPr>
            <w:rStyle w:val="Lienhypertexte"/>
            <w:lang w:val="fr-FR"/>
          </w:rPr>
          <w:t>https://www.iea.org/reports/net-zero-by-2050</w:t>
        </w:r>
      </w:hyperlink>
      <w:r>
        <w:rPr>
          <w:lang w:val="fr-FR"/>
        </w:rPr>
        <w:t> </w:t>
      </w:r>
      <w:r>
        <w:rPr>
          <w:lang w:val="fr-FR"/>
        </w:rPr>
        <w:t xml:space="preserve">; AIE (2023), « Net </w:t>
      </w:r>
      <w:proofErr w:type="spellStart"/>
      <w:r>
        <w:rPr>
          <w:lang w:val="fr-FR"/>
        </w:rPr>
        <w:t>Zero</w:t>
      </w:r>
      <w:proofErr w:type="spellEnd"/>
      <w:r>
        <w:rPr>
          <w:lang w:val="fr-FR"/>
        </w:rPr>
        <w:t xml:space="preserve"> Roadmap: A Global </w:t>
      </w:r>
      <w:proofErr w:type="spellStart"/>
      <w:r>
        <w:rPr>
          <w:lang w:val="fr-FR"/>
        </w:rPr>
        <w:t>Pathway</w:t>
      </w:r>
      <w:proofErr w:type="spellEnd"/>
      <w:r>
        <w:rPr>
          <w:lang w:val="fr-FR"/>
        </w:rPr>
        <w:t xml:space="preserve"> to </w:t>
      </w:r>
      <w:proofErr w:type="spellStart"/>
      <w:r>
        <w:rPr>
          <w:lang w:val="fr-FR"/>
        </w:rPr>
        <w:t>Keep</w:t>
      </w:r>
      <w:proofErr w:type="spellEnd"/>
      <w:r>
        <w:rPr>
          <w:lang w:val="fr-FR"/>
        </w:rPr>
        <w:t xml:space="preserve"> the 1.5 °C Goal in </w:t>
      </w:r>
      <w:proofErr w:type="spellStart"/>
      <w:r>
        <w:rPr>
          <w:lang w:val="fr-FR"/>
        </w:rPr>
        <w:t>Reach</w:t>
      </w:r>
      <w:proofErr w:type="spellEnd"/>
      <w:r>
        <w:rPr>
          <w:lang w:val="fr-FR"/>
        </w:rPr>
        <w:t>, 2023 Update », disponible à l</w:t>
      </w:r>
      <w:r>
        <w:rPr>
          <w:lang w:val="fr-FR"/>
        </w:rPr>
        <w:t>’</w:t>
      </w:r>
      <w:r>
        <w:rPr>
          <w:lang w:val="fr-FR"/>
        </w:rPr>
        <w:t>adresse suivante</w:t>
      </w:r>
      <w:r>
        <w:rPr>
          <w:lang w:val="fr-FR"/>
        </w:rPr>
        <w:t> </w:t>
      </w:r>
      <w:r>
        <w:rPr>
          <w:lang w:val="fr-FR"/>
        </w:rPr>
        <w:t xml:space="preserve">: </w:t>
      </w:r>
      <w:hyperlink r:id="rId52" w:history="1">
        <w:r w:rsidR="00AA06B2" w:rsidRPr="0078536E">
          <w:rPr>
            <w:rStyle w:val="Lienhypertexte"/>
            <w:lang w:val="fr-FR"/>
          </w:rPr>
          <w:t>https://www.iea.org/reports/net-zero-roadmap-a-global-pathway-to-keep-the-15-0c-goal-in-reach</w:t>
        </w:r>
      </w:hyperlink>
      <w:r>
        <w:rPr>
          <w:lang w:val="fr-FR"/>
        </w:rPr>
        <w:t>.</w:t>
      </w:r>
    </w:p>
  </w:footnote>
  <w:footnote w:id="51">
    <w:p w14:paraId="10097923" w14:textId="103EAD1B"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FIT (2023), « ITF Transport Outlook 2023 », disponible à l</w:t>
      </w:r>
      <w:r>
        <w:rPr>
          <w:lang w:val="fr-FR"/>
        </w:rPr>
        <w:t>’</w:t>
      </w:r>
      <w:r>
        <w:rPr>
          <w:lang w:val="fr-FR"/>
        </w:rPr>
        <w:t>adresse suivante</w:t>
      </w:r>
      <w:r>
        <w:rPr>
          <w:lang w:val="fr-FR"/>
        </w:rPr>
        <w:t> </w:t>
      </w:r>
      <w:r>
        <w:rPr>
          <w:lang w:val="fr-FR"/>
        </w:rPr>
        <w:t xml:space="preserve">: </w:t>
      </w:r>
      <w:hyperlink r:id="rId53" w:history="1">
        <w:r w:rsidR="00AA06B2" w:rsidRPr="0078536E">
          <w:rPr>
            <w:rStyle w:val="Lienhypertexte"/>
            <w:lang w:val="fr-FR"/>
          </w:rPr>
          <w:t>https://www.itf-oecd.org/itf-transport-outlook-2023</w:t>
        </w:r>
      </w:hyperlink>
      <w:r>
        <w:rPr>
          <w:lang w:val="fr-FR"/>
        </w:rPr>
        <w:t xml:space="preserve">. </w:t>
      </w:r>
    </w:p>
  </w:footnote>
  <w:footnote w:id="52">
    <w:p w14:paraId="5678FF2B" w14:textId="280CD080"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FIT (2023), « ITF Transport Outlook 2023 », disponible à l</w:t>
      </w:r>
      <w:r>
        <w:rPr>
          <w:lang w:val="fr-FR"/>
        </w:rPr>
        <w:t>’</w:t>
      </w:r>
      <w:r>
        <w:rPr>
          <w:lang w:val="fr-FR"/>
        </w:rPr>
        <w:t>adresse suivante</w:t>
      </w:r>
      <w:r>
        <w:rPr>
          <w:lang w:val="fr-FR"/>
        </w:rPr>
        <w:t> </w:t>
      </w:r>
      <w:r>
        <w:rPr>
          <w:lang w:val="fr-FR"/>
        </w:rPr>
        <w:t xml:space="preserve">: </w:t>
      </w:r>
      <w:hyperlink r:id="rId54" w:history="1">
        <w:r w:rsidR="00AA06B2" w:rsidRPr="0078536E">
          <w:rPr>
            <w:rStyle w:val="Lienhypertexte"/>
            <w:lang w:val="fr-FR"/>
          </w:rPr>
          <w:t>https://www.itf-oecd.org/itf-transport-outlook-2023</w:t>
        </w:r>
      </w:hyperlink>
      <w:r>
        <w:rPr>
          <w:lang w:val="fr-FR"/>
        </w:rPr>
        <w:t>.</w:t>
      </w:r>
    </w:p>
  </w:footnote>
  <w:footnote w:id="53">
    <w:p w14:paraId="7AE1EB16" w14:textId="5462422F"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 xml:space="preserve">Asian Transport Outlook, 2021, « A New Perspective on Transport and </w:t>
      </w:r>
      <w:proofErr w:type="spellStart"/>
      <w:r>
        <w:rPr>
          <w:lang w:val="fr-FR"/>
        </w:rPr>
        <w:t>Climate</w:t>
      </w:r>
      <w:proofErr w:type="spellEnd"/>
      <w:r>
        <w:rPr>
          <w:lang w:val="fr-FR"/>
        </w:rPr>
        <w:t xml:space="preserve"> Change », disponible à l</w:t>
      </w:r>
      <w:r>
        <w:rPr>
          <w:lang w:val="fr-FR"/>
        </w:rPr>
        <w:t>’</w:t>
      </w:r>
      <w:r>
        <w:rPr>
          <w:lang w:val="fr-FR"/>
        </w:rPr>
        <w:t>adresse suivante</w:t>
      </w:r>
      <w:r>
        <w:rPr>
          <w:lang w:val="fr-FR"/>
        </w:rPr>
        <w:t> </w:t>
      </w:r>
      <w:r>
        <w:rPr>
          <w:lang w:val="fr-FR"/>
        </w:rPr>
        <w:t xml:space="preserve">: </w:t>
      </w:r>
      <w:hyperlink r:id="rId55" w:history="1">
        <w:r w:rsidR="00AA06B2" w:rsidRPr="0078536E">
          <w:rPr>
            <w:rStyle w:val="Lienhypertexte"/>
            <w:lang w:val="fr-FR"/>
          </w:rPr>
          <w:t>https://asiantransportoutlook.com/analytical-outputs/climate-change-in-asia</w:t>
        </w:r>
      </w:hyperlink>
      <w:r>
        <w:rPr>
          <w:lang w:val="fr-FR"/>
        </w:rPr>
        <w:t>.</w:t>
      </w:r>
    </w:p>
  </w:footnote>
  <w:footnote w:id="54">
    <w:p w14:paraId="48049C5C" w14:textId="2C3E280C"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Agence européenne pour l</w:t>
      </w:r>
      <w:r>
        <w:rPr>
          <w:lang w:val="fr-FR"/>
        </w:rPr>
        <w:t>’</w:t>
      </w:r>
      <w:r>
        <w:rPr>
          <w:lang w:val="fr-FR"/>
        </w:rPr>
        <w:t>environnement, « </w:t>
      </w:r>
      <w:proofErr w:type="spellStart"/>
      <w:r>
        <w:rPr>
          <w:lang w:val="fr-FR"/>
        </w:rPr>
        <w:t>Greenhouse</w:t>
      </w:r>
      <w:proofErr w:type="spellEnd"/>
      <w:r>
        <w:rPr>
          <w:lang w:val="fr-FR"/>
        </w:rPr>
        <w:t xml:space="preserve"> </w:t>
      </w:r>
      <w:proofErr w:type="spellStart"/>
      <w:r>
        <w:rPr>
          <w:lang w:val="fr-FR"/>
        </w:rPr>
        <w:t>gas</w:t>
      </w:r>
      <w:proofErr w:type="spellEnd"/>
      <w:r>
        <w:rPr>
          <w:lang w:val="fr-FR"/>
        </w:rPr>
        <w:t xml:space="preserve"> </w:t>
      </w:r>
      <w:proofErr w:type="spellStart"/>
      <w:r>
        <w:rPr>
          <w:lang w:val="fr-FR"/>
        </w:rPr>
        <w:t>emissions</w:t>
      </w:r>
      <w:proofErr w:type="spellEnd"/>
      <w:r>
        <w:rPr>
          <w:lang w:val="fr-FR"/>
        </w:rPr>
        <w:t xml:space="preserve"> </w:t>
      </w:r>
      <w:proofErr w:type="spellStart"/>
      <w:r>
        <w:rPr>
          <w:lang w:val="fr-FR"/>
        </w:rPr>
        <w:t>from</w:t>
      </w:r>
      <w:proofErr w:type="spellEnd"/>
      <w:r>
        <w:rPr>
          <w:lang w:val="fr-FR"/>
        </w:rPr>
        <w:t xml:space="preserve"> transport in Europe », </w:t>
      </w:r>
      <w:hyperlink r:id="rId56" w:history="1">
        <w:r w:rsidR="00AA06B2" w:rsidRPr="0078536E">
          <w:rPr>
            <w:rStyle w:val="Lienhypertexte"/>
            <w:lang w:val="fr-FR"/>
          </w:rPr>
          <w:t>https://www.eea.europa.eu/ims/greenhouse-gas-emissions-from-transport</w:t>
        </w:r>
      </w:hyperlink>
      <w:r>
        <w:rPr>
          <w:lang w:val="fr-FR"/>
        </w:rPr>
        <w:t xml:space="preserve"> (date de consultation</w:t>
      </w:r>
      <w:r>
        <w:rPr>
          <w:lang w:val="fr-FR"/>
        </w:rPr>
        <w:t> </w:t>
      </w:r>
      <w:r>
        <w:rPr>
          <w:lang w:val="fr-FR"/>
        </w:rPr>
        <w:t>: 10</w:t>
      </w:r>
      <w:r>
        <w:rPr>
          <w:lang w:val="fr-FR"/>
        </w:rPr>
        <w:t> </w:t>
      </w:r>
      <w:r>
        <w:rPr>
          <w:lang w:val="fr-FR"/>
        </w:rPr>
        <w:t>juillet 2023).</w:t>
      </w:r>
    </w:p>
  </w:footnote>
  <w:footnote w:id="55">
    <w:p w14:paraId="73EF4884" w14:textId="7B4C0592"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P.</w:t>
      </w:r>
      <w:r>
        <w:rPr>
          <w:lang w:val="fr-FR"/>
        </w:rPr>
        <w:t> </w:t>
      </w:r>
      <w:proofErr w:type="spellStart"/>
      <w:r>
        <w:rPr>
          <w:lang w:val="fr-FR"/>
        </w:rPr>
        <w:t>Jaramillo</w:t>
      </w:r>
      <w:proofErr w:type="spellEnd"/>
      <w:r>
        <w:rPr>
          <w:lang w:val="fr-FR"/>
        </w:rPr>
        <w:t xml:space="preserve"> </w:t>
      </w:r>
      <w:r w:rsidRPr="00AA06B2">
        <w:rPr>
          <w:i/>
          <w:iCs/>
          <w:lang w:val="fr-FR"/>
        </w:rPr>
        <w:t>et al</w:t>
      </w:r>
      <w:r>
        <w:rPr>
          <w:lang w:val="fr-FR"/>
        </w:rPr>
        <w:t xml:space="preserve">. (2022), « Transport », </w:t>
      </w:r>
      <w:r w:rsidR="00AA06B2">
        <w:rPr>
          <w:lang w:val="fr-FR"/>
        </w:rPr>
        <w:t>dans</w:t>
      </w:r>
      <w:r>
        <w:rPr>
          <w:lang w:val="fr-FR"/>
        </w:rPr>
        <w:t xml:space="preserve"> GIEC (2022), « </w:t>
      </w:r>
      <w:proofErr w:type="spellStart"/>
      <w:r>
        <w:rPr>
          <w:lang w:val="fr-FR"/>
        </w:rPr>
        <w:t>Climate</w:t>
      </w:r>
      <w:proofErr w:type="spellEnd"/>
      <w:r>
        <w:rPr>
          <w:lang w:val="fr-FR"/>
        </w:rPr>
        <w:t xml:space="preserve"> Change 2022: Mitigation of </w:t>
      </w:r>
      <w:proofErr w:type="spellStart"/>
      <w:r>
        <w:rPr>
          <w:lang w:val="fr-FR"/>
        </w:rPr>
        <w:t>Climate</w:t>
      </w:r>
      <w:proofErr w:type="spellEnd"/>
      <w:r>
        <w:rPr>
          <w:lang w:val="fr-FR"/>
        </w:rPr>
        <w:t xml:space="preserve"> Change », disponible à l</w:t>
      </w:r>
      <w:r>
        <w:rPr>
          <w:lang w:val="fr-FR"/>
        </w:rPr>
        <w:t>’</w:t>
      </w:r>
      <w:r>
        <w:rPr>
          <w:lang w:val="fr-FR"/>
        </w:rPr>
        <w:t>adresse suivante</w:t>
      </w:r>
      <w:r>
        <w:rPr>
          <w:lang w:val="fr-FR"/>
        </w:rPr>
        <w:t> </w:t>
      </w:r>
      <w:r>
        <w:rPr>
          <w:lang w:val="fr-FR"/>
        </w:rPr>
        <w:t xml:space="preserve">: </w:t>
      </w:r>
      <w:hyperlink r:id="rId57" w:history="1">
        <w:r w:rsidR="00AA06B2" w:rsidRPr="0078536E">
          <w:rPr>
            <w:rStyle w:val="Lienhypertexte"/>
            <w:lang w:val="fr-FR"/>
          </w:rPr>
          <w:t>https://www.ipcc.ch/report/sixth-assessment-report-working-group-3</w:t>
        </w:r>
      </w:hyperlink>
      <w:r>
        <w:rPr>
          <w:lang w:val="fr-FR"/>
        </w:rPr>
        <w:t>.</w:t>
      </w:r>
    </w:p>
  </w:footnote>
  <w:footnote w:id="56">
    <w:p w14:paraId="3DBDDAA7" w14:textId="5DD6520F" w:rsidR="002B1D76" w:rsidRPr="00501EF4" w:rsidRDefault="002B1D76" w:rsidP="002B1D76">
      <w:pPr>
        <w:pStyle w:val="Notedebasdepage"/>
        <w:rPr>
          <w:lang w:val="fr-FR"/>
        </w:rPr>
      </w:pPr>
      <w:r w:rsidRPr="00F848BA">
        <w:rPr>
          <w:lang w:val="fr-FR"/>
        </w:rPr>
        <w:tab/>
      </w:r>
      <w:r w:rsidRPr="002B1D76">
        <w:rPr>
          <w:rStyle w:val="Appelnotedebasdep"/>
        </w:rPr>
        <w:footnoteRef/>
      </w:r>
      <w:r>
        <w:rPr>
          <w:lang w:val="fr-FR"/>
        </w:rPr>
        <w:tab/>
        <w:t>D</w:t>
      </w:r>
      <w:r>
        <w:rPr>
          <w:lang w:val="fr-FR"/>
        </w:rPr>
        <w:t>’</w:t>
      </w:r>
      <w:r>
        <w:rPr>
          <w:lang w:val="fr-FR"/>
        </w:rPr>
        <w:t>après P.</w:t>
      </w:r>
      <w:r>
        <w:rPr>
          <w:lang w:val="fr-FR"/>
        </w:rPr>
        <w:t> </w:t>
      </w:r>
      <w:proofErr w:type="spellStart"/>
      <w:r>
        <w:rPr>
          <w:lang w:val="fr-FR"/>
        </w:rPr>
        <w:t>Jaramillo</w:t>
      </w:r>
      <w:proofErr w:type="spellEnd"/>
      <w:r>
        <w:rPr>
          <w:lang w:val="fr-FR"/>
        </w:rPr>
        <w:t xml:space="preserve"> </w:t>
      </w:r>
      <w:r w:rsidRPr="00AA06B2">
        <w:rPr>
          <w:i/>
          <w:iCs/>
          <w:lang w:val="fr-FR"/>
        </w:rPr>
        <w:t>et al</w:t>
      </w:r>
      <w:r>
        <w:rPr>
          <w:lang w:val="fr-FR"/>
        </w:rPr>
        <w:t xml:space="preserve">. (2022), « Transport », </w:t>
      </w:r>
      <w:r w:rsidR="00AA06B2">
        <w:rPr>
          <w:lang w:val="fr-FR"/>
        </w:rPr>
        <w:t>dans</w:t>
      </w:r>
      <w:r>
        <w:rPr>
          <w:lang w:val="fr-FR"/>
        </w:rPr>
        <w:t xml:space="preserve"> GIEC (2022), « </w:t>
      </w:r>
      <w:proofErr w:type="spellStart"/>
      <w:r>
        <w:rPr>
          <w:lang w:val="fr-FR"/>
        </w:rPr>
        <w:t>Climate</w:t>
      </w:r>
      <w:proofErr w:type="spellEnd"/>
      <w:r>
        <w:rPr>
          <w:lang w:val="fr-FR"/>
        </w:rPr>
        <w:t xml:space="preserve"> Change 2022: Mitigation of </w:t>
      </w:r>
      <w:proofErr w:type="spellStart"/>
      <w:r>
        <w:rPr>
          <w:lang w:val="fr-FR"/>
        </w:rPr>
        <w:t>Climate</w:t>
      </w:r>
      <w:proofErr w:type="spellEnd"/>
      <w:r>
        <w:rPr>
          <w:lang w:val="fr-FR"/>
        </w:rPr>
        <w:t xml:space="preserve"> Change », disponible à l</w:t>
      </w:r>
      <w:r>
        <w:rPr>
          <w:lang w:val="fr-FR"/>
        </w:rPr>
        <w:t>’</w:t>
      </w:r>
      <w:r>
        <w:rPr>
          <w:lang w:val="fr-FR"/>
        </w:rPr>
        <w:t>adresse suivante</w:t>
      </w:r>
      <w:r>
        <w:rPr>
          <w:lang w:val="fr-FR"/>
        </w:rPr>
        <w:t> </w:t>
      </w:r>
      <w:r>
        <w:rPr>
          <w:lang w:val="fr-FR"/>
        </w:rPr>
        <w:t xml:space="preserve">: </w:t>
      </w:r>
      <w:hyperlink r:id="rId58" w:history="1">
        <w:r w:rsidR="00AA06B2" w:rsidRPr="0078536E">
          <w:rPr>
            <w:rStyle w:val="Lienhypertexte"/>
            <w:lang w:val="fr-FR"/>
          </w:rPr>
          <w:t>https://www.ipcc.ch/report/sixth-assessment-report-working-group-3</w:t>
        </w:r>
      </w:hyperlink>
      <w:r>
        <w:rPr>
          <w:lang w:val="fr-FR"/>
        </w:rPr>
        <w:t>.</w:t>
      </w:r>
    </w:p>
  </w:footnote>
  <w:footnote w:id="57">
    <w:p w14:paraId="5F2AEDA8" w14:textId="46CB0E8B"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Convention-cadre des Nations Unies sur les changements climatiques (2021), « Pacte de Glasgow pour le climat », disponible à l</w:t>
      </w:r>
      <w:r>
        <w:rPr>
          <w:lang w:val="fr-FR"/>
        </w:rPr>
        <w:t>’</w:t>
      </w:r>
      <w:r>
        <w:rPr>
          <w:lang w:val="fr-FR"/>
        </w:rPr>
        <w:t>adresse suivante</w:t>
      </w:r>
      <w:r>
        <w:rPr>
          <w:lang w:val="fr-FR"/>
        </w:rPr>
        <w:t> </w:t>
      </w:r>
      <w:r>
        <w:rPr>
          <w:lang w:val="fr-FR"/>
        </w:rPr>
        <w:t xml:space="preserve">: </w:t>
      </w:r>
      <w:hyperlink r:id="rId59" w:history="1">
        <w:r w:rsidR="00AA06B2" w:rsidRPr="0078536E">
          <w:rPr>
            <w:rStyle w:val="Lienhypertexte"/>
            <w:lang w:val="fr-FR"/>
          </w:rPr>
          <w:t>https://unf</w:t>
        </w:r>
        <w:r w:rsidR="00AA06B2" w:rsidRPr="0078536E">
          <w:rPr>
            <w:rStyle w:val="Lienhypertexte"/>
            <w:lang w:val="fr-FR"/>
          </w:rPr>
          <w:t>c</w:t>
        </w:r>
        <w:r w:rsidR="00AA06B2" w:rsidRPr="0078536E">
          <w:rPr>
            <w:rStyle w:val="Lienhypertexte"/>
            <w:lang w:val="fr-FR"/>
          </w:rPr>
          <w:t>cc.int/sites/default/files/resource/cma2021_10a01F.pdf</w:t>
        </w:r>
      </w:hyperlink>
      <w:r>
        <w:rPr>
          <w:lang w:val="fr-FR"/>
        </w:rPr>
        <w:t>.</w:t>
      </w:r>
    </w:p>
  </w:footnote>
  <w:footnote w:id="58">
    <w:p w14:paraId="0CEC4231" w14:textId="58872DC5" w:rsidR="002B1D76" w:rsidRPr="00501EF4" w:rsidRDefault="002B1D76" w:rsidP="002B1D76">
      <w:pPr>
        <w:pStyle w:val="Notedebasdepage"/>
        <w:rPr>
          <w:lang w:val="fr-FR"/>
        </w:rPr>
      </w:pPr>
      <w:r>
        <w:rPr>
          <w:lang w:val="fr-FR"/>
        </w:rPr>
        <w:tab/>
      </w:r>
      <w:r w:rsidRPr="002B1D76">
        <w:rPr>
          <w:rStyle w:val="Appelnotedebasdep"/>
        </w:rPr>
        <w:footnoteRef/>
      </w:r>
      <w:r w:rsidRPr="00501EF4">
        <w:rPr>
          <w:lang w:val="en-US"/>
        </w:rPr>
        <w:tab/>
      </w:r>
      <w:r w:rsidRPr="00501EF4">
        <w:rPr>
          <w:lang w:val="en-US"/>
        </w:rPr>
        <w:tab/>
      </w:r>
      <w:proofErr w:type="spellStart"/>
      <w:r w:rsidRPr="00501EF4">
        <w:rPr>
          <w:lang w:val="en-US"/>
        </w:rPr>
        <w:t>SLoCaT</w:t>
      </w:r>
      <w:proofErr w:type="spellEnd"/>
      <w:r w:rsidRPr="00501EF4">
        <w:rPr>
          <w:lang w:val="en-US"/>
        </w:rPr>
        <w:t xml:space="preserve"> (2022), </w:t>
      </w:r>
      <w:r w:rsidRPr="0055524E">
        <w:rPr>
          <w:lang w:val="en-US"/>
        </w:rPr>
        <w:t>« </w:t>
      </w:r>
      <w:r w:rsidRPr="00501EF4">
        <w:rPr>
          <w:lang w:val="en-US"/>
        </w:rPr>
        <w:t xml:space="preserve">Are Nationally Determined Contributions aligned with the commitments and initiatives on transport announced on the occasion of COP26? </w:t>
      </w:r>
      <w:r>
        <w:rPr>
          <w:lang w:val="fr-FR"/>
        </w:rPr>
        <w:t xml:space="preserve">A Comparative </w:t>
      </w:r>
      <w:proofErr w:type="spellStart"/>
      <w:r>
        <w:rPr>
          <w:lang w:val="fr-FR"/>
        </w:rPr>
        <w:t>Analysis</w:t>
      </w:r>
      <w:proofErr w:type="spellEnd"/>
      <w:r>
        <w:rPr>
          <w:lang w:val="fr-FR"/>
        </w:rPr>
        <w:t xml:space="preserve"> by SLOCAT », disponible à l</w:t>
      </w:r>
      <w:r>
        <w:rPr>
          <w:lang w:val="fr-FR"/>
        </w:rPr>
        <w:t>’</w:t>
      </w:r>
      <w:r>
        <w:rPr>
          <w:lang w:val="fr-FR"/>
        </w:rPr>
        <w:t>adresse suivante</w:t>
      </w:r>
      <w:r>
        <w:rPr>
          <w:lang w:val="fr-FR"/>
        </w:rPr>
        <w:t> </w:t>
      </w:r>
      <w:r>
        <w:rPr>
          <w:lang w:val="fr-FR"/>
        </w:rPr>
        <w:t xml:space="preserve">: </w:t>
      </w:r>
      <w:hyperlink r:id="rId60" w:history="1">
        <w:r w:rsidR="004075AF" w:rsidRPr="0078536E">
          <w:rPr>
            <w:rStyle w:val="Lienhypertexte"/>
            <w:lang w:val="fr-FR"/>
          </w:rPr>
          <w:t>https://slocat.net/cop26-commitments-ndc-alignment-2022/</w:t>
        </w:r>
      </w:hyperlink>
      <w:r>
        <w:rPr>
          <w:lang w:val="fr-FR"/>
        </w:rPr>
        <w:t xml:space="preserve">. </w:t>
      </w:r>
    </w:p>
  </w:footnote>
  <w:footnote w:id="59">
    <w:p w14:paraId="5EB40473" w14:textId="0F2B085B"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r>
      <w:hyperlink r:id="rId61" w:history="1">
        <w:r w:rsidR="004075AF" w:rsidRPr="0078536E">
          <w:rPr>
            <w:rStyle w:val="Lienhypertexte"/>
            <w:lang w:val="fr-FR"/>
          </w:rPr>
          <w:t>https://climatechampions.unfccc.int/system/breakthrough-agenda/</w:t>
        </w:r>
      </w:hyperlink>
      <w:r>
        <w:rPr>
          <w:lang w:val="fr-FR"/>
        </w:rPr>
        <w:t>.</w:t>
      </w:r>
    </w:p>
  </w:footnote>
  <w:footnote w:id="60">
    <w:p w14:paraId="3B1BA7E3" w14:textId="20A487B0"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r>
      <w:hyperlink r:id="rId62" w:history="1">
        <w:r w:rsidR="004075AF" w:rsidRPr="0078536E">
          <w:rPr>
            <w:rStyle w:val="Lienhypertexte"/>
            <w:lang w:val="fr-FR"/>
          </w:rPr>
          <w:t>https://racetozero.unfccc.int/system/breakthroughs/</w:t>
        </w:r>
      </w:hyperlink>
      <w:r>
        <w:rPr>
          <w:lang w:val="fr-FR"/>
        </w:rPr>
        <w:t>.</w:t>
      </w:r>
    </w:p>
  </w:footnote>
  <w:footnote w:id="61">
    <w:p w14:paraId="2F048FD3" w14:textId="049D7E01"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 xml:space="preserve">AIE, IRENA et Champions de haut niveau pour l’action climatique (2023), « The </w:t>
      </w:r>
      <w:proofErr w:type="spellStart"/>
      <w:r>
        <w:rPr>
          <w:lang w:val="fr-FR"/>
        </w:rPr>
        <w:t>Breakthrough</w:t>
      </w:r>
      <w:proofErr w:type="spellEnd"/>
      <w:r>
        <w:rPr>
          <w:lang w:val="fr-FR"/>
        </w:rPr>
        <w:t xml:space="preserve"> Agenda Report 2023 », disponible à l</w:t>
      </w:r>
      <w:r>
        <w:rPr>
          <w:lang w:val="fr-FR"/>
        </w:rPr>
        <w:t>’</w:t>
      </w:r>
      <w:r>
        <w:rPr>
          <w:lang w:val="fr-FR"/>
        </w:rPr>
        <w:t>adresse suivante</w:t>
      </w:r>
      <w:r>
        <w:rPr>
          <w:lang w:val="fr-FR"/>
        </w:rPr>
        <w:t> </w:t>
      </w:r>
      <w:r>
        <w:rPr>
          <w:lang w:val="fr-FR"/>
        </w:rPr>
        <w:t xml:space="preserve">: </w:t>
      </w:r>
      <w:hyperlink r:id="rId63" w:history="1">
        <w:r w:rsidR="004075AF" w:rsidRPr="0078536E">
          <w:rPr>
            <w:rStyle w:val="Lienhypertexte"/>
            <w:lang w:val="fr-FR"/>
          </w:rPr>
          <w:t>https://climatechampions.unfccc.int/wp-content/uploads/2023/09/THEBREAKTHROUGHAGENDAREPORT2023.pdf</w:t>
        </w:r>
      </w:hyperlink>
      <w:r>
        <w:rPr>
          <w:lang w:val="fr-FR"/>
        </w:rPr>
        <w:t>.</w:t>
      </w:r>
    </w:p>
  </w:footnote>
  <w:footnote w:id="62">
    <w:p w14:paraId="5D0E5BC1" w14:textId="506ABE4B"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Organisation des Nations Unies (2021), « </w:t>
      </w:r>
      <w:proofErr w:type="spellStart"/>
      <w:r>
        <w:rPr>
          <w:lang w:val="fr-FR"/>
        </w:rPr>
        <w:t>Secretary-General's</w:t>
      </w:r>
      <w:proofErr w:type="spellEnd"/>
      <w:r>
        <w:rPr>
          <w:lang w:val="fr-FR"/>
        </w:rPr>
        <w:t xml:space="preserve"> </w:t>
      </w:r>
      <w:proofErr w:type="spellStart"/>
      <w:r>
        <w:rPr>
          <w:lang w:val="fr-FR"/>
        </w:rPr>
        <w:t>remarks</w:t>
      </w:r>
      <w:proofErr w:type="spellEnd"/>
      <w:r>
        <w:rPr>
          <w:lang w:val="fr-FR"/>
        </w:rPr>
        <w:t xml:space="preserve"> to the Second Global </w:t>
      </w:r>
      <w:proofErr w:type="spellStart"/>
      <w:r>
        <w:rPr>
          <w:lang w:val="fr-FR"/>
        </w:rPr>
        <w:t>Sustainable</w:t>
      </w:r>
      <w:proofErr w:type="spellEnd"/>
      <w:r>
        <w:rPr>
          <w:lang w:val="fr-FR"/>
        </w:rPr>
        <w:t xml:space="preserve"> Transport </w:t>
      </w:r>
      <w:proofErr w:type="spellStart"/>
      <w:r>
        <w:rPr>
          <w:lang w:val="fr-FR"/>
        </w:rPr>
        <w:t>Conference</w:t>
      </w:r>
      <w:proofErr w:type="spellEnd"/>
      <w:r>
        <w:rPr>
          <w:lang w:val="fr-FR"/>
        </w:rPr>
        <w:t xml:space="preserve"> [as </w:t>
      </w:r>
      <w:proofErr w:type="spellStart"/>
      <w:r>
        <w:rPr>
          <w:lang w:val="fr-FR"/>
        </w:rPr>
        <w:t>delivered</w:t>
      </w:r>
      <w:proofErr w:type="spellEnd"/>
      <w:r>
        <w:rPr>
          <w:lang w:val="fr-FR"/>
        </w:rPr>
        <w:t>] », disponible à l</w:t>
      </w:r>
      <w:r>
        <w:rPr>
          <w:lang w:val="fr-FR"/>
        </w:rPr>
        <w:t>’</w:t>
      </w:r>
      <w:r>
        <w:rPr>
          <w:lang w:val="fr-FR"/>
        </w:rPr>
        <w:t>adresse suivante</w:t>
      </w:r>
      <w:r>
        <w:rPr>
          <w:lang w:val="fr-FR"/>
        </w:rPr>
        <w:t> </w:t>
      </w:r>
      <w:r>
        <w:rPr>
          <w:lang w:val="fr-FR"/>
        </w:rPr>
        <w:t xml:space="preserve">: </w:t>
      </w:r>
      <w:hyperlink r:id="rId64" w:history="1">
        <w:r w:rsidR="004075AF" w:rsidRPr="0078536E">
          <w:rPr>
            <w:rStyle w:val="Lienhypertexte"/>
            <w:lang w:val="fr-FR"/>
          </w:rPr>
          <w:t>https://www.un.org/sg/en/content/sg/statement/2021-10-14/secretary-generals-remarks-the-second-global-sustainable-transport-conference-delivered</w:t>
        </w:r>
      </w:hyperlink>
      <w:r>
        <w:rPr>
          <w:lang w:val="fr-FR"/>
        </w:rPr>
        <w:t>.</w:t>
      </w:r>
    </w:p>
  </w:footnote>
  <w:footnote w:id="63">
    <w:p w14:paraId="0AE2ED9B" w14:textId="376B5A2C"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 xml:space="preserve">Deuxième Conférence mondiale sur les transports durables (2021), « Beijing </w:t>
      </w:r>
      <w:proofErr w:type="spellStart"/>
      <w:r>
        <w:rPr>
          <w:lang w:val="fr-FR"/>
        </w:rPr>
        <w:t>Statement</w:t>
      </w:r>
      <w:proofErr w:type="spellEnd"/>
      <w:r>
        <w:rPr>
          <w:lang w:val="fr-FR"/>
        </w:rPr>
        <w:t xml:space="preserve"> of the Second United Nations Global </w:t>
      </w:r>
      <w:proofErr w:type="spellStart"/>
      <w:r>
        <w:rPr>
          <w:lang w:val="fr-FR"/>
        </w:rPr>
        <w:t>Sustainable</w:t>
      </w:r>
      <w:proofErr w:type="spellEnd"/>
      <w:r>
        <w:rPr>
          <w:lang w:val="fr-FR"/>
        </w:rPr>
        <w:t xml:space="preserve"> Transport </w:t>
      </w:r>
      <w:proofErr w:type="spellStart"/>
      <w:r>
        <w:rPr>
          <w:lang w:val="fr-FR"/>
        </w:rPr>
        <w:t>Conference</w:t>
      </w:r>
      <w:proofErr w:type="spellEnd"/>
      <w:r>
        <w:rPr>
          <w:lang w:val="fr-FR"/>
        </w:rPr>
        <w:t> », disponible à l</w:t>
      </w:r>
      <w:r>
        <w:rPr>
          <w:lang w:val="fr-FR"/>
        </w:rPr>
        <w:t>’</w:t>
      </w:r>
      <w:r>
        <w:rPr>
          <w:lang w:val="fr-FR"/>
        </w:rPr>
        <w:t>adresse suivante</w:t>
      </w:r>
      <w:r>
        <w:rPr>
          <w:lang w:val="fr-FR"/>
        </w:rPr>
        <w:t> </w:t>
      </w:r>
      <w:r>
        <w:rPr>
          <w:lang w:val="fr-FR"/>
        </w:rPr>
        <w:t xml:space="preserve">: </w:t>
      </w:r>
      <w:hyperlink r:id="rId65" w:history="1">
        <w:r w:rsidR="004075AF" w:rsidRPr="0078536E">
          <w:rPr>
            <w:rStyle w:val="Lienhypertexte"/>
            <w:lang w:val="fr-FR"/>
          </w:rPr>
          <w:t>https://www.un.org/sites/un2.un.org/files/2021/10/gstc2_beijing_statement_16_oct_2021.pdf</w:t>
        </w:r>
      </w:hyperlink>
      <w:r>
        <w:rPr>
          <w:lang w:val="fr-FR"/>
        </w:rPr>
        <w:t>.</w:t>
      </w:r>
    </w:p>
  </w:footnote>
  <w:footnote w:id="64">
    <w:p w14:paraId="3EC21BC4" w14:textId="0F892A6C"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B.</w:t>
      </w:r>
      <w:r>
        <w:rPr>
          <w:lang w:val="fr-FR"/>
        </w:rPr>
        <w:t> </w:t>
      </w:r>
      <w:r>
        <w:rPr>
          <w:lang w:val="fr-FR"/>
        </w:rPr>
        <w:t xml:space="preserve">Buchner </w:t>
      </w:r>
      <w:r>
        <w:rPr>
          <w:i/>
          <w:iCs/>
          <w:lang w:val="fr-FR"/>
        </w:rPr>
        <w:t>et al</w:t>
      </w:r>
      <w:r>
        <w:rPr>
          <w:lang w:val="fr-FR"/>
        </w:rPr>
        <w:t xml:space="preserve">. (2019), « Global </w:t>
      </w:r>
      <w:proofErr w:type="spellStart"/>
      <w:r>
        <w:rPr>
          <w:lang w:val="fr-FR"/>
        </w:rPr>
        <w:t>Landscape</w:t>
      </w:r>
      <w:proofErr w:type="spellEnd"/>
      <w:r>
        <w:rPr>
          <w:lang w:val="fr-FR"/>
        </w:rPr>
        <w:t xml:space="preserve"> of </w:t>
      </w:r>
      <w:proofErr w:type="spellStart"/>
      <w:r>
        <w:rPr>
          <w:lang w:val="fr-FR"/>
        </w:rPr>
        <w:t>Climate</w:t>
      </w:r>
      <w:proofErr w:type="spellEnd"/>
      <w:r>
        <w:rPr>
          <w:lang w:val="fr-FR"/>
        </w:rPr>
        <w:t xml:space="preserve"> Finance 2019 », </w:t>
      </w:r>
      <w:proofErr w:type="spellStart"/>
      <w:r>
        <w:rPr>
          <w:lang w:val="fr-FR"/>
        </w:rPr>
        <w:t>Climate</w:t>
      </w:r>
      <w:proofErr w:type="spellEnd"/>
      <w:r>
        <w:rPr>
          <w:lang w:val="fr-FR"/>
        </w:rPr>
        <w:t xml:space="preserve"> Policy Initiative (CPI), disponible à l</w:t>
      </w:r>
      <w:r>
        <w:rPr>
          <w:lang w:val="fr-FR"/>
        </w:rPr>
        <w:t>’</w:t>
      </w:r>
      <w:r>
        <w:rPr>
          <w:lang w:val="fr-FR"/>
        </w:rPr>
        <w:t>adresse suivante</w:t>
      </w:r>
      <w:r>
        <w:rPr>
          <w:lang w:val="fr-FR"/>
        </w:rPr>
        <w:t> </w:t>
      </w:r>
      <w:r>
        <w:rPr>
          <w:lang w:val="fr-FR"/>
        </w:rPr>
        <w:t xml:space="preserve">: </w:t>
      </w:r>
      <w:hyperlink r:id="rId66" w:history="1">
        <w:r w:rsidR="004075AF" w:rsidRPr="0078536E">
          <w:rPr>
            <w:rStyle w:val="Lienhypertexte"/>
            <w:lang w:val="fr-FR"/>
          </w:rPr>
          <w:t>https://www.climatepolicyinitiative.org/wp-content/uploads/2019/11/2019-Global-Landscape-of-Climate-Finance.pdf</w:t>
        </w:r>
      </w:hyperlink>
      <w:r>
        <w:rPr>
          <w:lang w:val="fr-FR"/>
        </w:rPr>
        <w:t xml:space="preserve">. </w:t>
      </w:r>
    </w:p>
  </w:footnote>
  <w:footnote w:id="65">
    <w:p w14:paraId="37AFFA7B" w14:textId="307BC4F7"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 xml:space="preserve">MIT Energy Initiative (2019), « Insights </w:t>
      </w:r>
      <w:proofErr w:type="spellStart"/>
      <w:r>
        <w:rPr>
          <w:lang w:val="fr-FR"/>
        </w:rPr>
        <w:t>into</w:t>
      </w:r>
      <w:proofErr w:type="spellEnd"/>
      <w:r>
        <w:rPr>
          <w:lang w:val="fr-FR"/>
        </w:rPr>
        <w:t xml:space="preserve"> Future </w:t>
      </w:r>
      <w:proofErr w:type="spellStart"/>
      <w:r>
        <w:rPr>
          <w:lang w:val="fr-FR"/>
        </w:rPr>
        <w:t>Mobility</w:t>
      </w:r>
      <w:proofErr w:type="spellEnd"/>
      <w:r>
        <w:rPr>
          <w:lang w:val="fr-FR"/>
        </w:rPr>
        <w:t> », disponible à l</w:t>
      </w:r>
      <w:r>
        <w:rPr>
          <w:lang w:val="fr-FR"/>
        </w:rPr>
        <w:t>’</w:t>
      </w:r>
      <w:r>
        <w:rPr>
          <w:lang w:val="fr-FR"/>
        </w:rPr>
        <w:t>adresse suivante</w:t>
      </w:r>
      <w:r>
        <w:rPr>
          <w:lang w:val="fr-FR"/>
        </w:rPr>
        <w:t> </w:t>
      </w:r>
      <w:r>
        <w:rPr>
          <w:lang w:val="fr-FR"/>
        </w:rPr>
        <w:t xml:space="preserve">: </w:t>
      </w:r>
      <w:hyperlink r:id="rId67" w:history="1">
        <w:r w:rsidR="004075AF" w:rsidRPr="0078536E">
          <w:rPr>
            <w:rStyle w:val="Lienhypertexte"/>
            <w:lang w:val="fr-FR"/>
          </w:rPr>
          <w:t>http://energy.mit.edu/insightsintofuturemobility</w:t>
        </w:r>
      </w:hyperlink>
      <w:r>
        <w:rPr>
          <w:lang w:val="fr-FR"/>
        </w:rPr>
        <w:t>.</w:t>
      </w:r>
    </w:p>
  </w:footnote>
  <w:footnote w:id="66">
    <w:p w14:paraId="75291713" w14:textId="1C6B894A"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 xml:space="preserve">Oxford </w:t>
      </w:r>
      <w:proofErr w:type="spellStart"/>
      <w:r>
        <w:rPr>
          <w:lang w:val="fr-FR"/>
        </w:rPr>
        <w:t>Economics</w:t>
      </w:r>
      <w:proofErr w:type="spellEnd"/>
      <w:r>
        <w:rPr>
          <w:lang w:val="fr-FR"/>
        </w:rPr>
        <w:t xml:space="preserve"> (2023), « Global Infrastructure Outlook », disponible à l</w:t>
      </w:r>
      <w:r>
        <w:rPr>
          <w:lang w:val="fr-FR"/>
        </w:rPr>
        <w:t>’</w:t>
      </w:r>
      <w:r>
        <w:rPr>
          <w:lang w:val="fr-FR"/>
        </w:rPr>
        <w:t>adresse suivante</w:t>
      </w:r>
      <w:r>
        <w:rPr>
          <w:lang w:val="fr-FR"/>
        </w:rPr>
        <w:t> </w:t>
      </w:r>
      <w:r>
        <w:rPr>
          <w:lang w:val="fr-FR"/>
        </w:rPr>
        <w:t xml:space="preserve">: </w:t>
      </w:r>
      <w:hyperlink r:id="rId68" w:history="1">
        <w:r w:rsidR="004075AF" w:rsidRPr="0078536E">
          <w:rPr>
            <w:rStyle w:val="Lienhypertexte"/>
            <w:lang w:val="fr-FR"/>
          </w:rPr>
          <w:t>https://outlook.gihub.org</w:t>
        </w:r>
      </w:hyperlink>
      <w:r>
        <w:rPr>
          <w:lang w:val="fr-FR"/>
        </w:rPr>
        <w:t xml:space="preserve"> (date de consultation</w:t>
      </w:r>
      <w:r>
        <w:rPr>
          <w:lang w:val="fr-FR"/>
        </w:rPr>
        <w:t> </w:t>
      </w:r>
      <w:r>
        <w:rPr>
          <w:lang w:val="fr-FR"/>
        </w:rPr>
        <w:t>: 28</w:t>
      </w:r>
      <w:r>
        <w:rPr>
          <w:lang w:val="fr-FR"/>
        </w:rPr>
        <w:t> </w:t>
      </w:r>
      <w:r>
        <w:rPr>
          <w:lang w:val="fr-FR"/>
        </w:rPr>
        <w:t>août 2023).</w:t>
      </w:r>
    </w:p>
  </w:footnote>
  <w:footnote w:id="67">
    <w:p w14:paraId="44671E4D" w14:textId="1E9D5D45"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Global Infrastructure Hub, « Infra tracker », disponible à l</w:t>
      </w:r>
      <w:r>
        <w:rPr>
          <w:lang w:val="fr-FR"/>
        </w:rPr>
        <w:t>’</w:t>
      </w:r>
      <w:r>
        <w:rPr>
          <w:lang w:val="fr-FR"/>
        </w:rPr>
        <w:t>adresse suivante</w:t>
      </w:r>
      <w:r>
        <w:rPr>
          <w:lang w:val="fr-FR"/>
        </w:rPr>
        <w:t> </w:t>
      </w:r>
      <w:r>
        <w:rPr>
          <w:lang w:val="fr-FR"/>
        </w:rPr>
        <w:t xml:space="preserve">: </w:t>
      </w:r>
      <w:hyperlink r:id="rId69" w:history="1">
        <w:r w:rsidR="004075AF" w:rsidRPr="0078536E">
          <w:rPr>
            <w:rStyle w:val="Lienhypertexte"/>
            <w:lang w:val="fr-FR"/>
          </w:rPr>
          <w:t>https://infratracker.gihub.org</w:t>
        </w:r>
      </w:hyperlink>
      <w:r>
        <w:rPr>
          <w:lang w:val="fr-FR"/>
        </w:rPr>
        <w:t xml:space="preserve"> (date de consultation</w:t>
      </w:r>
      <w:r>
        <w:rPr>
          <w:lang w:val="fr-FR"/>
        </w:rPr>
        <w:t> </w:t>
      </w:r>
      <w:r>
        <w:rPr>
          <w:lang w:val="fr-FR"/>
        </w:rPr>
        <w:t>: 31</w:t>
      </w:r>
      <w:r>
        <w:rPr>
          <w:lang w:val="fr-FR"/>
        </w:rPr>
        <w:t> </w:t>
      </w:r>
      <w:r>
        <w:rPr>
          <w:lang w:val="fr-FR"/>
        </w:rPr>
        <w:t>juillet 2023).</w:t>
      </w:r>
    </w:p>
  </w:footnote>
  <w:footnote w:id="68">
    <w:p w14:paraId="4302471D" w14:textId="0271BF9D" w:rsidR="002B1D76" w:rsidRPr="002B1D76" w:rsidRDefault="002B1D76" w:rsidP="002B1D76">
      <w:pPr>
        <w:pStyle w:val="Notedebasdepage"/>
        <w:rPr>
          <w:lang w:val="en-US"/>
        </w:rPr>
      </w:pPr>
      <w:r>
        <w:rPr>
          <w:lang w:val="fr-FR"/>
        </w:rPr>
        <w:tab/>
      </w:r>
      <w:r w:rsidRPr="002B1D76">
        <w:rPr>
          <w:rStyle w:val="Appelnotedebasdep"/>
        </w:rPr>
        <w:footnoteRef/>
      </w:r>
      <w:r w:rsidRPr="00501EF4">
        <w:rPr>
          <w:lang w:val="en-US"/>
        </w:rPr>
        <w:tab/>
      </w:r>
      <w:r w:rsidRPr="00501EF4">
        <w:rPr>
          <w:lang w:val="en-US"/>
        </w:rPr>
        <w:tab/>
        <w:t xml:space="preserve">OCDE (2023), </w:t>
      </w:r>
      <w:r w:rsidRPr="000459AC">
        <w:rPr>
          <w:lang w:val="en-US"/>
        </w:rPr>
        <w:t>« </w:t>
      </w:r>
      <w:r w:rsidRPr="00501EF4">
        <w:rPr>
          <w:lang w:val="en-US"/>
        </w:rPr>
        <w:t>Government Support and Subsidies Portal</w:t>
      </w:r>
      <w:r>
        <w:rPr>
          <w:lang w:val="en-US"/>
        </w:rPr>
        <w:t> </w:t>
      </w:r>
      <w:r w:rsidRPr="000459AC">
        <w:rPr>
          <w:lang w:val="en-US"/>
        </w:rPr>
        <w:t>»</w:t>
      </w:r>
      <w:r w:rsidRPr="00501EF4">
        <w:rPr>
          <w:lang w:val="en-US"/>
        </w:rPr>
        <w:t xml:space="preserve">, </w:t>
      </w:r>
      <w:hyperlink r:id="rId70" w:history="1">
        <w:r w:rsidR="004075AF" w:rsidRPr="0078536E">
          <w:rPr>
            <w:rStyle w:val="Lienhypertexte"/>
            <w:lang w:val="en-US"/>
          </w:rPr>
          <w:t>https://www.oecd.org/subsidies</w:t>
        </w:r>
      </w:hyperlink>
      <w:r w:rsidRPr="00501EF4">
        <w:rPr>
          <w:lang w:val="en-US"/>
        </w:rPr>
        <w:t xml:space="preserve"> (date de consultation</w:t>
      </w:r>
      <w:r>
        <w:rPr>
          <w:lang w:val="en-US"/>
        </w:rPr>
        <w:t> </w:t>
      </w:r>
      <w:r w:rsidRPr="00501EF4">
        <w:rPr>
          <w:lang w:val="en-US"/>
        </w:rPr>
        <w:t>: 26</w:t>
      </w:r>
      <w:r>
        <w:rPr>
          <w:lang w:val="en-US"/>
        </w:rPr>
        <w:t> </w:t>
      </w:r>
      <w:proofErr w:type="spellStart"/>
      <w:r w:rsidRPr="00501EF4">
        <w:rPr>
          <w:lang w:val="en-US"/>
        </w:rPr>
        <w:t>août</w:t>
      </w:r>
      <w:proofErr w:type="spellEnd"/>
      <w:r w:rsidRPr="00501EF4">
        <w:rPr>
          <w:lang w:val="en-US"/>
        </w:rPr>
        <w:t xml:space="preserve"> 2023).</w:t>
      </w:r>
    </w:p>
  </w:footnote>
  <w:footnote w:id="69">
    <w:p w14:paraId="496F06E4" w14:textId="40C11F09" w:rsidR="002B1D76" w:rsidRPr="002B1D76" w:rsidRDefault="002B1D76" w:rsidP="002B1D76">
      <w:pPr>
        <w:pStyle w:val="Notedebasdepage"/>
        <w:rPr>
          <w:lang w:val="en-US"/>
        </w:rPr>
      </w:pPr>
      <w:r w:rsidRPr="00501EF4">
        <w:rPr>
          <w:lang w:val="en-US"/>
        </w:rPr>
        <w:tab/>
      </w:r>
      <w:r w:rsidRPr="002B1D76">
        <w:rPr>
          <w:rStyle w:val="Appelnotedebasdep"/>
        </w:rPr>
        <w:footnoteRef/>
      </w:r>
      <w:r w:rsidRPr="00501EF4">
        <w:rPr>
          <w:lang w:val="en-US"/>
        </w:rPr>
        <w:tab/>
      </w:r>
      <w:r w:rsidRPr="00501EF4">
        <w:rPr>
          <w:lang w:val="en-US"/>
        </w:rPr>
        <w:tab/>
      </w:r>
      <w:proofErr w:type="spellStart"/>
      <w:r w:rsidRPr="00501EF4">
        <w:rPr>
          <w:lang w:val="en-US"/>
        </w:rPr>
        <w:t>SLoCaT</w:t>
      </w:r>
      <w:proofErr w:type="spellEnd"/>
      <w:r w:rsidRPr="00501EF4">
        <w:rPr>
          <w:lang w:val="en-US"/>
        </w:rPr>
        <w:t xml:space="preserve"> Global Status Report, Spotlight 5: Capacity and Institutional Support to Achieve Sustainable, Low Carbon Transport.</w:t>
      </w:r>
    </w:p>
  </w:footnote>
  <w:footnote w:id="70">
    <w:p w14:paraId="43682D1F" w14:textId="797B1F42" w:rsidR="002B1D76" w:rsidRPr="002B1D76" w:rsidRDefault="002B1D76" w:rsidP="002B1D76">
      <w:pPr>
        <w:pStyle w:val="Notedebasdepage"/>
        <w:rPr>
          <w:lang w:val="en-US"/>
        </w:rPr>
      </w:pPr>
      <w:r w:rsidRPr="00501EF4">
        <w:rPr>
          <w:lang w:val="en-US"/>
        </w:rPr>
        <w:tab/>
      </w:r>
      <w:r w:rsidRPr="002B1D76">
        <w:rPr>
          <w:rStyle w:val="Appelnotedebasdep"/>
        </w:rPr>
        <w:footnoteRef/>
      </w:r>
      <w:r w:rsidRPr="00501EF4">
        <w:rPr>
          <w:lang w:val="en-US"/>
        </w:rPr>
        <w:tab/>
      </w:r>
      <w:r w:rsidRPr="00501EF4">
        <w:rPr>
          <w:lang w:val="en-US"/>
        </w:rPr>
        <w:tab/>
      </w:r>
      <w:proofErr w:type="spellStart"/>
      <w:r w:rsidRPr="00501EF4">
        <w:rPr>
          <w:lang w:val="en-US"/>
        </w:rPr>
        <w:t>Prizzon</w:t>
      </w:r>
      <w:proofErr w:type="spellEnd"/>
      <w:r w:rsidRPr="00501EF4">
        <w:rPr>
          <w:lang w:val="en-US"/>
        </w:rPr>
        <w:t xml:space="preserve">, A. et </w:t>
      </w:r>
      <w:proofErr w:type="spellStart"/>
      <w:r w:rsidRPr="00501EF4">
        <w:rPr>
          <w:lang w:val="en-US"/>
        </w:rPr>
        <w:t>Leautier</w:t>
      </w:r>
      <w:proofErr w:type="spellEnd"/>
      <w:r w:rsidRPr="00501EF4">
        <w:rPr>
          <w:lang w:val="en-US"/>
        </w:rPr>
        <w:t xml:space="preserve">, F. (2022), </w:t>
      </w:r>
      <w:r w:rsidRPr="0055524E">
        <w:rPr>
          <w:lang w:val="en-US"/>
        </w:rPr>
        <w:t>« </w:t>
      </w:r>
      <w:r w:rsidRPr="00501EF4">
        <w:rPr>
          <w:lang w:val="en-US"/>
        </w:rPr>
        <w:t>Multilateral development banks need a bolder vision and urgent reform to tackle the climate crisis</w:t>
      </w:r>
      <w:r>
        <w:rPr>
          <w:lang w:val="en-US"/>
        </w:rPr>
        <w:t> </w:t>
      </w:r>
      <w:r w:rsidRPr="0055524E">
        <w:rPr>
          <w:lang w:val="en-US"/>
        </w:rPr>
        <w:t>»</w:t>
      </w:r>
      <w:r w:rsidRPr="00501EF4">
        <w:rPr>
          <w:lang w:val="en-US"/>
        </w:rPr>
        <w:t xml:space="preserve">,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71" w:history="1">
        <w:r w:rsidR="004075AF" w:rsidRPr="0078536E">
          <w:rPr>
            <w:rStyle w:val="Lienhypertexte"/>
            <w:lang w:val="en-US"/>
          </w:rPr>
          <w:t>https://odi.org/en/insights/multilateral-development-banks-need-a-bolder-vision-and-urgent-reform-to-tackle-the-climate-crisis/</w:t>
        </w:r>
      </w:hyperlink>
      <w:r w:rsidRPr="00501EF4">
        <w:rPr>
          <w:lang w:val="en-US"/>
        </w:rPr>
        <w:t>.</w:t>
      </w:r>
    </w:p>
  </w:footnote>
  <w:footnote w:id="71">
    <w:p w14:paraId="7446F839" w14:textId="17F3D67A" w:rsidR="002B1D76" w:rsidRPr="004075AF" w:rsidRDefault="002B1D76" w:rsidP="002B1D76">
      <w:pPr>
        <w:pStyle w:val="Notedebasdepage"/>
        <w:rPr>
          <w:lang w:val="en-US"/>
        </w:rPr>
      </w:pPr>
      <w:r w:rsidRPr="00501EF4">
        <w:rPr>
          <w:lang w:val="en-US"/>
        </w:rPr>
        <w:tab/>
      </w:r>
      <w:r w:rsidRPr="002B1D76">
        <w:rPr>
          <w:rStyle w:val="Appelnotedebasdep"/>
        </w:rPr>
        <w:footnoteRef/>
      </w:r>
      <w:r w:rsidRPr="00501EF4">
        <w:rPr>
          <w:lang w:val="en-US"/>
        </w:rPr>
        <w:tab/>
      </w:r>
      <w:r w:rsidRPr="00501EF4">
        <w:rPr>
          <w:lang w:val="en-US"/>
        </w:rPr>
        <w:tab/>
        <w:t xml:space="preserve">Carbon Brief (2022), </w:t>
      </w:r>
      <w:r w:rsidRPr="0055524E">
        <w:rPr>
          <w:lang w:val="en-US"/>
        </w:rPr>
        <w:t>« </w:t>
      </w:r>
      <w:r w:rsidRPr="00501EF4">
        <w:rPr>
          <w:lang w:val="en-US"/>
        </w:rPr>
        <w:t>Explainer: How can climate finance be increased from ‘billions to trillions’?</w:t>
      </w:r>
      <w:r>
        <w:rPr>
          <w:lang w:val="en-US"/>
        </w:rPr>
        <w:t> </w:t>
      </w:r>
      <w:r w:rsidRPr="0055524E">
        <w:rPr>
          <w:lang w:val="en-US"/>
        </w:rPr>
        <w:t>»</w:t>
      </w:r>
      <w:r w:rsidRPr="00501EF4">
        <w:rPr>
          <w:lang w:val="en-US"/>
        </w:rPr>
        <w:t>,</w:t>
      </w:r>
      <w:r w:rsidR="004075AF">
        <w:rPr>
          <w:lang w:val="en-US"/>
        </w:rPr>
        <w:t xml:space="preserve"> </w:t>
      </w:r>
      <w:r w:rsidRPr="004075AF">
        <w:rPr>
          <w:lang w:val="en-US"/>
        </w:rPr>
        <w:t xml:space="preserve">disponible à </w:t>
      </w:r>
      <w:proofErr w:type="spellStart"/>
      <w:r w:rsidRPr="004075AF">
        <w:rPr>
          <w:lang w:val="en-US"/>
        </w:rPr>
        <w:t>l</w:t>
      </w:r>
      <w:r w:rsidRPr="004075AF">
        <w:rPr>
          <w:lang w:val="en-US"/>
        </w:rPr>
        <w:t>’</w:t>
      </w:r>
      <w:r w:rsidRPr="004075AF">
        <w:rPr>
          <w:lang w:val="en-US"/>
        </w:rPr>
        <w:t>adresse</w:t>
      </w:r>
      <w:proofErr w:type="spellEnd"/>
      <w:r w:rsidRPr="004075AF">
        <w:rPr>
          <w:lang w:val="en-US"/>
        </w:rPr>
        <w:t xml:space="preserve"> </w:t>
      </w:r>
      <w:proofErr w:type="spellStart"/>
      <w:r w:rsidRPr="004075AF">
        <w:rPr>
          <w:lang w:val="en-US"/>
        </w:rPr>
        <w:t>suivante</w:t>
      </w:r>
      <w:proofErr w:type="spellEnd"/>
      <w:r w:rsidRPr="004075AF">
        <w:rPr>
          <w:lang w:val="en-US"/>
        </w:rPr>
        <w:t> </w:t>
      </w:r>
      <w:r w:rsidRPr="004075AF">
        <w:rPr>
          <w:lang w:val="en-US"/>
        </w:rPr>
        <w:t xml:space="preserve">: </w:t>
      </w:r>
      <w:hyperlink r:id="rId72" w:history="1">
        <w:r w:rsidR="004075AF" w:rsidRPr="0078536E">
          <w:rPr>
            <w:rStyle w:val="Lienhypertexte"/>
            <w:lang w:val="en-US"/>
          </w:rPr>
          <w:t>https://www.carbonbrief.org/explainer-how-can-climate-finance-be-increased-from-billions-to-trillions/</w:t>
        </w:r>
      </w:hyperlink>
      <w:r w:rsidRPr="004075AF">
        <w:rPr>
          <w:lang w:val="en-US"/>
        </w:rPr>
        <w:t>.</w:t>
      </w:r>
    </w:p>
  </w:footnote>
  <w:footnote w:id="72">
    <w:p w14:paraId="61ADA1EF" w14:textId="0077B621" w:rsidR="002B1D76" w:rsidRPr="002B1D76" w:rsidRDefault="002B1D76" w:rsidP="002B1D76">
      <w:pPr>
        <w:pStyle w:val="Notedebasdepage"/>
        <w:rPr>
          <w:lang w:val="en-US"/>
        </w:rPr>
      </w:pPr>
      <w:r w:rsidRPr="004075AF">
        <w:rPr>
          <w:lang w:val="en-US"/>
        </w:rPr>
        <w:tab/>
      </w:r>
      <w:r w:rsidRPr="002B1D76">
        <w:rPr>
          <w:rStyle w:val="Appelnotedebasdep"/>
        </w:rPr>
        <w:footnoteRef/>
      </w:r>
      <w:r>
        <w:rPr>
          <w:lang w:val="fr-FR"/>
        </w:rPr>
        <w:tab/>
      </w:r>
      <w:r>
        <w:rPr>
          <w:lang w:val="fr-FR"/>
        </w:rPr>
        <w:tab/>
        <w:t>Institut des ressources mondiales (2018), « </w:t>
      </w:r>
      <w:proofErr w:type="spellStart"/>
      <w:r>
        <w:rPr>
          <w:lang w:val="fr-FR"/>
        </w:rPr>
        <w:t>Towards</w:t>
      </w:r>
      <w:proofErr w:type="spellEnd"/>
      <w:r>
        <w:rPr>
          <w:lang w:val="fr-FR"/>
        </w:rPr>
        <w:t xml:space="preserve"> Paris </w:t>
      </w:r>
      <w:proofErr w:type="spellStart"/>
      <w:r>
        <w:rPr>
          <w:lang w:val="fr-FR"/>
        </w:rPr>
        <w:t>Alignment</w:t>
      </w:r>
      <w:proofErr w:type="spellEnd"/>
      <w:r>
        <w:rPr>
          <w:lang w:val="fr-FR"/>
        </w:rPr>
        <w:t xml:space="preserve">. </w:t>
      </w:r>
      <w:r w:rsidRPr="00501EF4">
        <w:rPr>
          <w:lang w:val="en-US"/>
        </w:rPr>
        <w:t>How the Multilateral Development Banks Can Better Support the Paris Agreement</w:t>
      </w:r>
      <w:r>
        <w:rPr>
          <w:lang w:val="en-US"/>
        </w:rPr>
        <w:t> </w:t>
      </w:r>
      <w:r w:rsidRPr="0055524E">
        <w:rPr>
          <w:lang w:val="en-US"/>
        </w:rPr>
        <w:t>»</w:t>
      </w:r>
      <w:r w:rsidRPr="00501EF4">
        <w:rPr>
          <w:lang w:val="en-US"/>
        </w:rPr>
        <w:t>.</w:t>
      </w:r>
    </w:p>
  </w:footnote>
  <w:footnote w:id="73">
    <w:p w14:paraId="5D2A3825" w14:textId="2C005C9D" w:rsidR="002B1D76" w:rsidRPr="002B1D76" w:rsidRDefault="002B1D76" w:rsidP="002B1D76">
      <w:pPr>
        <w:pStyle w:val="Notedebasdepage"/>
        <w:rPr>
          <w:lang w:val="en-US"/>
        </w:rPr>
      </w:pPr>
      <w:r w:rsidRPr="00501EF4">
        <w:rPr>
          <w:lang w:val="en-US"/>
        </w:rPr>
        <w:tab/>
      </w:r>
      <w:r w:rsidRPr="002B1D76">
        <w:rPr>
          <w:rStyle w:val="Appelnotedebasdep"/>
        </w:rPr>
        <w:footnoteRef/>
      </w:r>
      <w:r w:rsidRPr="002B1D76">
        <w:rPr>
          <w:lang w:val="en-US"/>
        </w:rPr>
        <w:tab/>
      </w:r>
      <w:r w:rsidRPr="002B1D76">
        <w:rPr>
          <w:lang w:val="en-US"/>
        </w:rPr>
        <w:tab/>
        <w:t xml:space="preserve">CDP (2023), « Are companies developing credible climate transition plans? »,disponible à </w:t>
      </w:r>
      <w:proofErr w:type="spellStart"/>
      <w:r w:rsidRPr="002B1D76">
        <w:rPr>
          <w:lang w:val="en-US"/>
        </w:rPr>
        <w:t>l</w:t>
      </w:r>
      <w:r w:rsidRPr="002B1D76">
        <w:rPr>
          <w:lang w:val="en-US"/>
        </w:rPr>
        <w:t>’</w:t>
      </w:r>
      <w:r w:rsidRPr="002B1D76">
        <w:rPr>
          <w:lang w:val="en-US"/>
        </w:rPr>
        <w:t>adresse</w:t>
      </w:r>
      <w:proofErr w:type="spellEnd"/>
      <w:r w:rsidRPr="002B1D76">
        <w:rPr>
          <w:lang w:val="en-US"/>
        </w:rPr>
        <w:t xml:space="preserve"> </w:t>
      </w:r>
      <w:proofErr w:type="spellStart"/>
      <w:r w:rsidRPr="002B1D76">
        <w:rPr>
          <w:lang w:val="en-US"/>
        </w:rPr>
        <w:t>suivante</w:t>
      </w:r>
      <w:proofErr w:type="spellEnd"/>
      <w:r w:rsidRPr="002B1D76">
        <w:rPr>
          <w:lang w:val="en-US"/>
        </w:rPr>
        <w:t> </w:t>
      </w:r>
      <w:r w:rsidRPr="002B1D76">
        <w:rPr>
          <w:lang w:val="en-US"/>
        </w:rPr>
        <w:t xml:space="preserve">: </w:t>
      </w:r>
      <w:hyperlink r:id="rId73" w:history="1">
        <w:r w:rsidR="004075AF" w:rsidRPr="0078536E">
          <w:rPr>
            <w:rStyle w:val="Lienhypertexte"/>
            <w:lang w:val="en-US"/>
          </w:rPr>
          <w:t>https://www.cdp.net/en/articles/climate/new-cdp-data-shows-companies-are-recognizing-the-need-for-climate-transition-plans-but-are-not-moving-fast-enough-amidst-incoming-mandatory-disclosure</w:t>
        </w:r>
      </w:hyperlink>
      <w:r w:rsidRPr="002B1D76">
        <w:rPr>
          <w:lang w:val="en-US"/>
        </w:rPr>
        <w:t>.</w:t>
      </w:r>
    </w:p>
  </w:footnote>
  <w:footnote w:id="74">
    <w:p w14:paraId="37B8D9FB" w14:textId="4D79C198" w:rsidR="002B1D76" w:rsidRPr="00501EF4" w:rsidRDefault="002B1D76" w:rsidP="002B1D76">
      <w:pPr>
        <w:pStyle w:val="Notedebasdepage"/>
        <w:rPr>
          <w:lang w:val="fr-FR"/>
        </w:rPr>
      </w:pPr>
      <w:r w:rsidRPr="002B1D76">
        <w:rPr>
          <w:lang w:val="en-US"/>
        </w:rPr>
        <w:tab/>
      </w:r>
      <w:r w:rsidRPr="002B1D76">
        <w:rPr>
          <w:rStyle w:val="Appelnotedebasdep"/>
        </w:rPr>
        <w:footnoteRef/>
      </w:r>
      <w:r>
        <w:rPr>
          <w:lang w:val="fr-FR"/>
        </w:rPr>
        <w:tab/>
      </w:r>
      <w:r>
        <w:rPr>
          <w:lang w:val="fr-FR"/>
        </w:rPr>
        <w:tab/>
        <w:t xml:space="preserve">Science </w:t>
      </w:r>
      <w:proofErr w:type="spellStart"/>
      <w:r>
        <w:rPr>
          <w:lang w:val="fr-FR"/>
        </w:rPr>
        <w:t>Based</w:t>
      </w:r>
      <w:proofErr w:type="spellEnd"/>
      <w:r>
        <w:rPr>
          <w:lang w:val="fr-FR"/>
        </w:rPr>
        <w:t xml:space="preserve"> </w:t>
      </w:r>
      <w:proofErr w:type="spellStart"/>
      <w:r>
        <w:rPr>
          <w:lang w:val="fr-FR"/>
        </w:rPr>
        <w:t>Targets</w:t>
      </w:r>
      <w:proofErr w:type="spellEnd"/>
      <w:r>
        <w:rPr>
          <w:lang w:val="fr-FR"/>
        </w:rPr>
        <w:t xml:space="preserve">, op. </w:t>
      </w:r>
      <w:proofErr w:type="spellStart"/>
      <w:r>
        <w:rPr>
          <w:lang w:val="fr-FR"/>
        </w:rPr>
        <w:t>cit</w:t>
      </w:r>
      <w:proofErr w:type="spellEnd"/>
      <w:r>
        <w:rPr>
          <w:lang w:val="fr-FR"/>
        </w:rPr>
        <w:t>. note n</w:t>
      </w:r>
      <w:r>
        <w:rPr>
          <w:vertAlign w:val="superscript"/>
          <w:lang w:val="fr-FR"/>
        </w:rPr>
        <w:t>o</w:t>
      </w:r>
      <w:r>
        <w:rPr>
          <w:lang w:val="fr-FR"/>
        </w:rPr>
        <w:t> 2</w:t>
      </w:r>
      <w:r>
        <w:rPr>
          <w:lang w:val="fr-FR"/>
        </w:rPr>
        <w:t> </w:t>
      </w:r>
      <w:r>
        <w:rPr>
          <w:lang w:val="fr-FR"/>
        </w:rPr>
        <w:t xml:space="preserve">; Science </w:t>
      </w:r>
      <w:proofErr w:type="spellStart"/>
      <w:r>
        <w:rPr>
          <w:lang w:val="fr-FR"/>
        </w:rPr>
        <w:t>Based</w:t>
      </w:r>
      <w:proofErr w:type="spellEnd"/>
      <w:r>
        <w:rPr>
          <w:lang w:val="fr-FR"/>
        </w:rPr>
        <w:t xml:space="preserve"> </w:t>
      </w:r>
      <w:proofErr w:type="spellStart"/>
      <w:r>
        <w:rPr>
          <w:lang w:val="fr-FR"/>
        </w:rPr>
        <w:t>Targets</w:t>
      </w:r>
      <w:proofErr w:type="spellEnd"/>
      <w:r>
        <w:rPr>
          <w:lang w:val="fr-FR"/>
        </w:rPr>
        <w:t>, « Transport », disponible à l</w:t>
      </w:r>
      <w:r>
        <w:rPr>
          <w:lang w:val="fr-FR"/>
        </w:rPr>
        <w:t>’</w:t>
      </w:r>
      <w:r>
        <w:rPr>
          <w:lang w:val="fr-FR"/>
        </w:rPr>
        <w:t>adresse suivante</w:t>
      </w:r>
      <w:r>
        <w:rPr>
          <w:lang w:val="fr-FR"/>
        </w:rPr>
        <w:t> </w:t>
      </w:r>
      <w:r>
        <w:rPr>
          <w:lang w:val="fr-FR"/>
        </w:rPr>
        <w:t xml:space="preserve">: </w:t>
      </w:r>
      <w:hyperlink r:id="rId74" w:history="1">
        <w:r w:rsidR="004075AF" w:rsidRPr="0078536E">
          <w:rPr>
            <w:rStyle w:val="Lienhypertexte"/>
            <w:lang w:val="fr-FR"/>
          </w:rPr>
          <w:t>https://sciencebasedtargets.org/sectors/transport#our-updated-oems-policy</w:t>
        </w:r>
      </w:hyperlink>
      <w:r>
        <w:rPr>
          <w:lang w:val="fr-FR"/>
        </w:rPr>
        <w:t xml:space="preserve"> (date de consultation</w:t>
      </w:r>
      <w:r>
        <w:rPr>
          <w:lang w:val="fr-FR"/>
        </w:rPr>
        <w:t> </w:t>
      </w:r>
      <w:r>
        <w:rPr>
          <w:lang w:val="fr-FR"/>
        </w:rPr>
        <w:t>: 25</w:t>
      </w:r>
      <w:r>
        <w:rPr>
          <w:lang w:val="fr-FR"/>
        </w:rPr>
        <w:t> </w:t>
      </w:r>
      <w:r>
        <w:rPr>
          <w:lang w:val="fr-FR"/>
        </w:rPr>
        <w:t>février 2023).</w:t>
      </w:r>
    </w:p>
  </w:footnote>
  <w:footnote w:id="75">
    <w:p w14:paraId="498F334C" w14:textId="4A99DD8A" w:rsidR="002B1D76" w:rsidRPr="002B1D76" w:rsidRDefault="002B1D76" w:rsidP="002B1D76">
      <w:pPr>
        <w:pStyle w:val="Notedebasdepage"/>
        <w:rPr>
          <w:lang w:val="en-US"/>
        </w:rPr>
      </w:pPr>
      <w:r>
        <w:rPr>
          <w:lang w:val="fr-FR"/>
        </w:rPr>
        <w:tab/>
      </w:r>
      <w:r w:rsidRPr="002B1D76">
        <w:rPr>
          <w:rStyle w:val="Appelnotedebasdep"/>
        </w:rPr>
        <w:footnoteRef/>
      </w:r>
      <w:r w:rsidRPr="00501EF4">
        <w:rPr>
          <w:lang w:val="en-US"/>
        </w:rPr>
        <w:tab/>
      </w:r>
      <w:r w:rsidRPr="00501EF4">
        <w:rPr>
          <w:lang w:val="en-US"/>
        </w:rPr>
        <w:tab/>
        <w:t xml:space="preserve">World Benchmarking Alliance (WBA) (2021), </w:t>
      </w:r>
      <w:r w:rsidRPr="0055524E">
        <w:rPr>
          <w:lang w:val="en-US"/>
        </w:rPr>
        <w:t>« </w:t>
      </w:r>
      <w:r w:rsidRPr="00501EF4">
        <w:rPr>
          <w:lang w:val="en-US"/>
        </w:rPr>
        <w:t>2021 Automotive Benchmark</w:t>
      </w:r>
      <w:r>
        <w:rPr>
          <w:lang w:val="en-US"/>
        </w:rPr>
        <w:t> </w:t>
      </w:r>
      <w:r w:rsidRPr="0055524E">
        <w:rPr>
          <w:lang w:val="en-US"/>
        </w:rPr>
        <w:t>»</w:t>
      </w:r>
      <w:r w:rsidRPr="00501EF4">
        <w:rPr>
          <w:lang w:val="en-US"/>
        </w:rPr>
        <w:t xml:space="preserve">, Climate and Energy Benchmark,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75" w:history="1">
        <w:r w:rsidR="004075AF" w:rsidRPr="0078536E">
          <w:rPr>
            <w:rStyle w:val="Lienhypertexte"/>
            <w:lang w:val="en-US"/>
          </w:rPr>
          <w:t>https://www.worldbenchmarkingalliance.org/publication/automotive</w:t>
        </w:r>
      </w:hyperlink>
      <w:r w:rsidRPr="00501EF4">
        <w:rPr>
          <w:lang w:val="en-US"/>
        </w:rPr>
        <w:t>.</w:t>
      </w:r>
    </w:p>
  </w:footnote>
  <w:footnote w:id="76">
    <w:p w14:paraId="15AFBE88" w14:textId="130076A1" w:rsidR="002B1D76" w:rsidRPr="00501EF4" w:rsidRDefault="002B1D76" w:rsidP="002B1D76">
      <w:pPr>
        <w:pStyle w:val="Notedebasdepage"/>
        <w:rPr>
          <w:lang w:val="fr-FR"/>
        </w:rPr>
      </w:pPr>
      <w:r w:rsidRPr="00501EF4">
        <w:rPr>
          <w:lang w:val="en-US"/>
        </w:rPr>
        <w:tab/>
      </w:r>
      <w:r w:rsidRPr="002B1D76">
        <w:rPr>
          <w:rStyle w:val="Appelnotedebasdep"/>
        </w:rPr>
        <w:footnoteRef/>
      </w:r>
      <w:r>
        <w:rPr>
          <w:lang w:val="fr-FR"/>
        </w:rPr>
        <w:tab/>
      </w:r>
      <w:r>
        <w:rPr>
          <w:lang w:val="fr-FR"/>
        </w:rPr>
        <w:tab/>
        <w:t>L.</w:t>
      </w:r>
      <w:r>
        <w:rPr>
          <w:lang w:val="fr-FR"/>
        </w:rPr>
        <w:t> </w:t>
      </w:r>
      <w:r>
        <w:rPr>
          <w:lang w:val="fr-FR"/>
        </w:rPr>
        <w:t>Paoli, A.</w:t>
      </w:r>
      <w:r>
        <w:rPr>
          <w:lang w:val="fr-FR"/>
        </w:rPr>
        <w:t> </w:t>
      </w:r>
      <w:r>
        <w:rPr>
          <w:lang w:val="fr-FR"/>
        </w:rPr>
        <w:t>Dasgupta et S.</w:t>
      </w:r>
      <w:r>
        <w:rPr>
          <w:lang w:val="fr-FR"/>
        </w:rPr>
        <w:t> </w:t>
      </w:r>
      <w:proofErr w:type="spellStart"/>
      <w:r>
        <w:rPr>
          <w:lang w:val="fr-FR"/>
        </w:rPr>
        <w:t>McBain</w:t>
      </w:r>
      <w:proofErr w:type="spellEnd"/>
      <w:r>
        <w:rPr>
          <w:lang w:val="fr-FR"/>
        </w:rPr>
        <w:t xml:space="preserve"> (2022), « Electric </w:t>
      </w:r>
      <w:proofErr w:type="spellStart"/>
      <w:r>
        <w:rPr>
          <w:lang w:val="fr-FR"/>
        </w:rPr>
        <w:t>Vehicles</w:t>
      </w:r>
      <w:proofErr w:type="spellEnd"/>
      <w:r>
        <w:rPr>
          <w:lang w:val="fr-FR"/>
        </w:rPr>
        <w:t> », AIE, disponible à l</w:t>
      </w:r>
      <w:r>
        <w:rPr>
          <w:lang w:val="fr-FR"/>
        </w:rPr>
        <w:t>’</w:t>
      </w:r>
      <w:r>
        <w:rPr>
          <w:lang w:val="fr-FR"/>
        </w:rPr>
        <w:t>adresse suivante</w:t>
      </w:r>
      <w:r>
        <w:rPr>
          <w:lang w:val="fr-FR"/>
        </w:rPr>
        <w:t> </w:t>
      </w:r>
      <w:r>
        <w:rPr>
          <w:lang w:val="fr-FR"/>
        </w:rPr>
        <w:t xml:space="preserve">: </w:t>
      </w:r>
      <w:hyperlink r:id="rId76" w:history="1">
        <w:r w:rsidR="004075AF" w:rsidRPr="0078536E">
          <w:rPr>
            <w:rStyle w:val="Lienhypertexte"/>
            <w:lang w:val="fr-FR"/>
          </w:rPr>
          <w:t>https://www.iea.org/reports/electric-vehicles</w:t>
        </w:r>
      </w:hyperlink>
      <w:r>
        <w:rPr>
          <w:lang w:val="fr-FR"/>
        </w:rPr>
        <w:t>.</w:t>
      </w:r>
    </w:p>
  </w:footnote>
  <w:footnote w:id="77">
    <w:p w14:paraId="122D2BAB" w14:textId="6DB8321A"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r>
      <w:proofErr w:type="spellStart"/>
      <w:r>
        <w:rPr>
          <w:lang w:val="fr-FR"/>
        </w:rPr>
        <w:t>InfluenceMap</w:t>
      </w:r>
      <w:proofErr w:type="spellEnd"/>
      <w:r>
        <w:rPr>
          <w:lang w:val="fr-FR"/>
        </w:rPr>
        <w:t xml:space="preserve"> (2023), « Automotive </w:t>
      </w:r>
      <w:proofErr w:type="spellStart"/>
      <w:r>
        <w:rPr>
          <w:lang w:val="fr-FR"/>
        </w:rPr>
        <w:t>Climate</w:t>
      </w:r>
      <w:proofErr w:type="spellEnd"/>
      <w:r>
        <w:rPr>
          <w:lang w:val="fr-FR"/>
        </w:rPr>
        <w:t xml:space="preserve"> Tool », disponible à l</w:t>
      </w:r>
      <w:r>
        <w:rPr>
          <w:lang w:val="fr-FR"/>
        </w:rPr>
        <w:t>’</w:t>
      </w:r>
      <w:r>
        <w:rPr>
          <w:lang w:val="fr-FR"/>
        </w:rPr>
        <w:t>adresse suivante</w:t>
      </w:r>
      <w:r>
        <w:rPr>
          <w:lang w:val="fr-FR"/>
        </w:rPr>
        <w:t> </w:t>
      </w:r>
      <w:r>
        <w:rPr>
          <w:lang w:val="fr-FR"/>
        </w:rPr>
        <w:t xml:space="preserve">: </w:t>
      </w:r>
      <w:hyperlink r:id="rId77" w:history="1">
        <w:r w:rsidR="004075AF" w:rsidRPr="0078536E">
          <w:rPr>
            <w:rStyle w:val="Lienhypertexte"/>
            <w:lang w:val="fr-FR"/>
          </w:rPr>
          <w:t>https://automotive.influencemap.org</w:t>
        </w:r>
      </w:hyperlink>
      <w:r>
        <w:rPr>
          <w:lang w:val="fr-FR"/>
        </w:rPr>
        <w:t xml:space="preserve"> (date d</w:t>
      </w:r>
      <w:r>
        <w:rPr>
          <w:lang w:val="fr-FR"/>
        </w:rPr>
        <w:t>’</w:t>
      </w:r>
      <w:r>
        <w:rPr>
          <w:lang w:val="fr-FR"/>
        </w:rPr>
        <w:t>actualisation</w:t>
      </w:r>
      <w:r>
        <w:rPr>
          <w:lang w:val="fr-FR"/>
        </w:rPr>
        <w:t> </w:t>
      </w:r>
      <w:r>
        <w:rPr>
          <w:lang w:val="fr-FR"/>
        </w:rPr>
        <w:t>: janvier 2023).</w:t>
      </w:r>
    </w:p>
  </w:footnote>
  <w:footnote w:id="78">
    <w:p w14:paraId="69F104CD" w14:textId="0156DCF4" w:rsidR="002B1D76" w:rsidRPr="002B1D76" w:rsidRDefault="002B1D76" w:rsidP="002B1D76">
      <w:pPr>
        <w:pStyle w:val="Notedebasdepage"/>
        <w:rPr>
          <w:lang w:val="en-US"/>
        </w:rPr>
      </w:pPr>
      <w:r>
        <w:rPr>
          <w:lang w:val="fr-FR"/>
        </w:rPr>
        <w:tab/>
      </w:r>
      <w:r w:rsidRPr="002B1D76">
        <w:rPr>
          <w:rStyle w:val="Appelnotedebasdep"/>
        </w:rPr>
        <w:footnoteRef/>
      </w:r>
      <w:r w:rsidRPr="00501EF4">
        <w:rPr>
          <w:lang w:val="en-US"/>
        </w:rPr>
        <w:tab/>
      </w:r>
      <w:r w:rsidRPr="00501EF4">
        <w:rPr>
          <w:lang w:val="en-US"/>
        </w:rPr>
        <w:tab/>
        <w:t xml:space="preserve">We Mean Business Coalition </w:t>
      </w:r>
      <w:r w:rsidRPr="00501EF4">
        <w:rPr>
          <w:i/>
          <w:iCs/>
          <w:lang w:val="en-US"/>
        </w:rPr>
        <w:t>et al</w:t>
      </w:r>
      <w:r w:rsidRPr="00501EF4">
        <w:rPr>
          <w:lang w:val="en-US"/>
        </w:rPr>
        <w:t xml:space="preserve">. (2022), </w:t>
      </w:r>
      <w:r w:rsidRPr="0055524E">
        <w:rPr>
          <w:lang w:val="en-US"/>
        </w:rPr>
        <w:t>« </w:t>
      </w:r>
      <w:r w:rsidRPr="00501EF4">
        <w:rPr>
          <w:lang w:val="en-US"/>
        </w:rPr>
        <w:t xml:space="preserve">Climate Transition Action Plans </w:t>
      </w:r>
      <w:r w:rsidR="004075AF">
        <w:rPr>
          <w:lang w:val="en-US"/>
        </w:rPr>
        <w:t>−</w:t>
      </w:r>
      <w:r w:rsidRPr="00501EF4">
        <w:rPr>
          <w:lang w:val="en-US"/>
        </w:rPr>
        <w:t xml:space="preserve"> Activate your journey to climate leadership</w:t>
      </w:r>
      <w:r>
        <w:rPr>
          <w:lang w:val="en-US"/>
        </w:rPr>
        <w:t> </w:t>
      </w:r>
      <w:r w:rsidRPr="0055524E">
        <w:rPr>
          <w:lang w:val="en-US"/>
        </w:rPr>
        <w:t>»</w:t>
      </w:r>
      <w:r w:rsidRPr="00501EF4">
        <w:rPr>
          <w:lang w:val="en-US"/>
        </w:rPr>
        <w:t xml:space="preserve">, disponible à </w:t>
      </w:r>
      <w:proofErr w:type="spellStart"/>
      <w:r w:rsidRPr="00501EF4">
        <w:rPr>
          <w:lang w:val="en-US"/>
        </w:rPr>
        <w:t>l</w:t>
      </w:r>
      <w:r>
        <w:rPr>
          <w:lang w:val="en-US"/>
        </w:rPr>
        <w:t>’</w:t>
      </w:r>
      <w:r w:rsidRPr="00501EF4">
        <w:rPr>
          <w:lang w:val="en-US"/>
        </w:rPr>
        <w:t>adresse</w:t>
      </w:r>
      <w:proofErr w:type="spellEnd"/>
      <w:r w:rsidRPr="00501EF4">
        <w:rPr>
          <w:lang w:val="en-US"/>
        </w:rPr>
        <w:t xml:space="preserve"> </w:t>
      </w:r>
      <w:proofErr w:type="spellStart"/>
      <w:r w:rsidRPr="00501EF4">
        <w:rPr>
          <w:lang w:val="en-US"/>
        </w:rPr>
        <w:t>suivante</w:t>
      </w:r>
      <w:proofErr w:type="spellEnd"/>
      <w:r>
        <w:rPr>
          <w:lang w:val="en-US"/>
        </w:rPr>
        <w:t> </w:t>
      </w:r>
      <w:r w:rsidRPr="00501EF4">
        <w:rPr>
          <w:lang w:val="en-US"/>
        </w:rPr>
        <w:t xml:space="preserve">: </w:t>
      </w:r>
      <w:hyperlink r:id="rId78" w:history="1">
        <w:r w:rsidR="004075AF" w:rsidRPr="0078536E">
          <w:rPr>
            <w:rStyle w:val="Lienhypertexte"/>
            <w:lang w:val="en-US"/>
          </w:rPr>
          <w:t>https://www.wemeanbusinesscoalition.org/</w:t>
        </w:r>
        <w:r w:rsidR="004075AF" w:rsidRPr="0078536E">
          <w:rPr>
            <w:rStyle w:val="Lienhypertexte"/>
            <w:lang w:val="en-US"/>
          </w:rPr>
          <w:br/>
          <w:t>blog/climate-transition-action-plans-activate-your-journey-to-climate-leadership</w:t>
        </w:r>
      </w:hyperlink>
      <w:r w:rsidRPr="00501EF4">
        <w:rPr>
          <w:lang w:val="en-US"/>
        </w:rPr>
        <w:t xml:space="preserve">. </w:t>
      </w:r>
    </w:p>
  </w:footnote>
  <w:footnote w:id="79">
    <w:p w14:paraId="5E5229D3" w14:textId="60089651" w:rsidR="002B1D76" w:rsidRPr="00501EF4" w:rsidRDefault="002B1D76" w:rsidP="002B1D76">
      <w:pPr>
        <w:pStyle w:val="Notedebasdepage"/>
        <w:rPr>
          <w:lang w:val="fr-FR"/>
        </w:rPr>
      </w:pPr>
      <w:r w:rsidRPr="00501EF4">
        <w:rPr>
          <w:lang w:val="en-US"/>
        </w:rPr>
        <w:tab/>
      </w:r>
      <w:r w:rsidRPr="002B1D76">
        <w:rPr>
          <w:rStyle w:val="Appelnotedebasdep"/>
        </w:rPr>
        <w:footnoteRef/>
      </w:r>
      <w:r>
        <w:rPr>
          <w:lang w:val="fr-FR"/>
        </w:rPr>
        <w:tab/>
      </w:r>
      <w:r>
        <w:rPr>
          <w:lang w:val="fr-FR"/>
        </w:rPr>
        <w:tab/>
        <w:t xml:space="preserve">Science </w:t>
      </w:r>
      <w:proofErr w:type="spellStart"/>
      <w:r>
        <w:rPr>
          <w:lang w:val="fr-FR"/>
        </w:rPr>
        <w:t>based</w:t>
      </w:r>
      <w:proofErr w:type="spellEnd"/>
      <w:r>
        <w:rPr>
          <w:lang w:val="fr-FR"/>
        </w:rPr>
        <w:t xml:space="preserve"> Target Initiative (2023), « </w:t>
      </w:r>
      <w:proofErr w:type="spellStart"/>
      <w:r>
        <w:rPr>
          <w:lang w:val="fr-FR"/>
        </w:rPr>
        <w:t>Ambitious</w:t>
      </w:r>
      <w:proofErr w:type="spellEnd"/>
      <w:r>
        <w:rPr>
          <w:lang w:val="fr-FR"/>
        </w:rPr>
        <w:t xml:space="preserve"> </w:t>
      </w:r>
      <w:proofErr w:type="spellStart"/>
      <w:r>
        <w:rPr>
          <w:lang w:val="fr-FR"/>
        </w:rPr>
        <w:t>corporate</w:t>
      </w:r>
      <w:proofErr w:type="spellEnd"/>
      <w:r>
        <w:rPr>
          <w:lang w:val="fr-FR"/>
        </w:rPr>
        <w:t xml:space="preserve"> </w:t>
      </w:r>
      <w:proofErr w:type="spellStart"/>
      <w:r>
        <w:rPr>
          <w:lang w:val="fr-FR"/>
        </w:rPr>
        <w:t>climate</w:t>
      </w:r>
      <w:proofErr w:type="spellEnd"/>
      <w:r>
        <w:rPr>
          <w:lang w:val="fr-FR"/>
        </w:rPr>
        <w:t xml:space="preserve"> action », disponible à l</w:t>
      </w:r>
      <w:r>
        <w:rPr>
          <w:lang w:val="fr-FR"/>
        </w:rPr>
        <w:t>’</w:t>
      </w:r>
      <w:r>
        <w:rPr>
          <w:lang w:val="fr-FR"/>
        </w:rPr>
        <w:t>adresse suivante</w:t>
      </w:r>
      <w:r>
        <w:rPr>
          <w:lang w:val="fr-FR"/>
        </w:rPr>
        <w:t> </w:t>
      </w:r>
      <w:r>
        <w:rPr>
          <w:lang w:val="fr-FR"/>
        </w:rPr>
        <w:t xml:space="preserve">: </w:t>
      </w:r>
      <w:hyperlink r:id="rId79" w:history="1">
        <w:r w:rsidR="004075AF" w:rsidRPr="0078536E">
          <w:rPr>
            <w:rStyle w:val="Lienhypertexte"/>
            <w:lang w:val="fr-FR"/>
          </w:rPr>
          <w:t>https://sciencebasedtargets.org/</w:t>
        </w:r>
      </w:hyperlink>
      <w:r>
        <w:rPr>
          <w:lang w:val="fr-FR"/>
        </w:rPr>
        <w:t> </w:t>
      </w:r>
      <w:r>
        <w:rPr>
          <w:lang w:val="fr-FR"/>
        </w:rPr>
        <w:t>; Fondation des normes internationales d</w:t>
      </w:r>
      <w:r>
        <w:rPr>
          <w:lang w:val="fr-FR"/>
        </w:rPr>
        <w:t>’</w:t>
      </w:r>
      <w:r>
        <w:rPr>
          <w:lang w:val="fr-FR"/>
        </w:rPr>
        <w:t xml:space="preserve">information financière, « About the International </w:t>
      </w:r>
      <w:proofErr w:type="spellStart"/>
      <w:r>
        <w:rPr>
          <w:lang w:val="fr-FR"/>
        </w:rPr>
        <w:t>Sustainability</w:t>
      </w:r>
      <w:proofErr w:type="spellEnd"/>
      <w:r>
        <w:rPr>
          <w:lang w:val="fr-FR"/>
        </w:rPr>
        <w:t xml:space="preserve"> Standards </w:t>
      </w:r>
      <w:proofErr w:type="spellStart"/>
      <w:r>
        <w:rPr>
          <w:lang w:val="fr-FR"/>
        </w:rPr>
        <w:t>Board</w:t>
      </w:r>
      <w:proofErr w:type="spellEnd"/>
      <w:r>
        <w:rPr>
          <w:lang w:val="fr-FR"/>
        </w:rPr>
        <w:t> », disponible à l</w:t>
      </w:r>
      <w:r>
        <w:rPr>
          <w:lang w:val="fr-FR"/>
        </w:rPr>
        <w:t>’</w:t>
      </w:r>
      <w:r>
        <w:rPr>
          <w:lang w:val="fr-FR"/>
        </w:rPr>
        <w:t>adresse suivante</w:t>
      </w:r>
      <w:r>
        <w:rPr>
          <w:lang w:val="fr-FR"/>
        </w:rPr>
        <w:t> </w:t>
      </w:r>
      <w:r>
        <w:rPr>
          <w:lang w:val="fr-FR"/>
        </w:rPr>
        <w:t xml:space="preserve">: </w:t>
      </w:r>
      <w:hyperlink r:id="rId80" w:history="1">
        <w:r w:rsidR="004075AF" w:rsidRPr="0078536E">
          <w:rPr>
            <w:rStyle w:val="Lienhypertexte"/>
            <w:lang w:val="fr-FR"/>
          </w:rPr>
          <w:t>https://www.ifrs.org/groups/international-sustainability-standards-board</w:t>
        </w:r>
      </w:hyperlink>
      <w:r>
        <w:rPr>
          <w:lang w:val="fr-FR"/>
        </w:rPr>
        <w:t> </w:t>
      </w:r>
      <w:r>
        <w:rPr>
          <w:lang w:val="fr-FR"/>
        </w:rPr>
        <w:t>; Conseil de l</w:t>
      </w:r>
      <w:r>
        <w:rPr>
          <w:lang w:val="fr-FR"/>
        </w:rPr>
        <w:t>’</w:t>
      </w:r>
      <w:r>
        <w:rPr>
          <w:lang w:val="fr-FR"/>
        </w:rPr>
        <w:t>Union européenne (2022), « Le Conseil donne son feu vert définitif à la directive sur la publication d</w:t>
      </w:r>
      <w:r>
        <w:rPr>
          <w:lang w:val="fr-FR"/>
        </w:rPr>
        <w:t>’</w:t>
      </w:r>
      <w:r>
        <w:rPr>
          <w:lang w:val="fr-FR"/>
        </w:rPr>
        <w:t>informations en matière de durabilité par les entreprises », disponible à l</w:t>
      </w:r>
      <w:r>
        <w:rPr>
          <w:lang w:val="fr-FR"/>
        </w:rPr>
        <w:t>’</w:t>
      </w:r>
      <w:r>
        <w:rPr>
          <w:lang w:val="fr-FR"/>
        </w:rPr>
        <w:t>adresse suivante</w:t>
      </w:r>
      <w:r>
        <w:rPr>
          <w:lang w:val="fr-FR"/>
        </w:rPr>
        <w:t> </w:t>
      </w:r>
      <w:r>
        <w:rPr>
          <w:lang w:val="fr-FR"/>
        </w:rPr>
        <w:t xml:space="preserve">: </w:t>
      </w:r>
      <w:hyperlink r:id="rId81" w:history="1">
        <w:r w:rsidR="004075AF" w:rsidRPr="0078536E">
          <w:rPr>
            <w:rStyle w:val="Lienhypertexte"/>
            <w:lang w:val="fr-FR"/>
          </w:rPr>
          <w:t>https://www.consilium.europa.eu/f</w:t>
        </w:r>
        <w:r w:rsidR="004075AF" w:rsidRPr="0078536E">
          <w:rPr>
            <w:rStyle w:val="Lienhypertexte"/>
            <w:lang w:val="fr-FR"/>
          </w:rPr>
          <w:t>r</w:t>
        </w:r>
        <w:r w:rsidR="004075AF" w:rsidRPr="0078536E">
          <w:rPr>
            <w:rStyle w:val="Lienhypertexte"/>
            <w:lang w:val="fr-FR"/>
          </w:rPr>
          <w:t>/press/press-releases/2022/11/28/council-gives-final-green-light-to-corporate-sustainability-reporting-directive/</w:t>
        </w:r>
      </w:hyperlink>
      <w:r>
        <w:rPr>
          <w:lang w:val="fr-FR"/>
        </w:rPr>
        <w:t xml:space="preserve">. </w:t>
      </w:r>
    </w:p>
  </w:footnote>
  <w:footnote w:id="80">
    <w:p w14:paraId="111B7F70" w14:textId="131099A8" w:rsidR="002B1D76" w:rsidRPr="00501EF4" w:rsidRDefault="002B1D76" w:rsidP="002B1D76">
      <w:pPr>
        <w:pStyle w:val="Notedebasdepage"/>
        <w:rPr>
          <w:lang w:val="fr-FR"/>
        </w:rPr>
      </w:pPr>
      <w:r>
        <w:rPr>
          <w:lang w:val="fr-FR"/>
        </w:rPr>
        <w:tab/>
      </w:r>
      <w:r w:rsidRPr="002B1D76">
        <w:rPr>
          <w:rStyle w:val="Appelnotedebasdep"/>
        </w:rPr>
        <w:footnoteRef/>
      </w:r>
      <w:r>
        <w:rPr>
          <w:lang w:val="fr-FR"/>
        </w:rPr>
        <w:tab/>
      </w:r>
      <w:r>
        <w:rPr>
          <w:lang w:val="fr-FR"/>
        </w:rPr>
        <w:tab/>
        <w:t>Groupe d</w:t>
      </w:r>
      <w:r>
        <w:rPr>
          <w:lang w:val="fr-FR"/>
        </w:rPr>
        <w:t>’</w:t>
      </w:r>
      <w:r>
        <w:rPr>
          <w:lang w:val="fr-FR"/>
        </w:rPr>
        <w:t>experts de haut niveau sur les engagements des entités non étatiques en faveur du zéro émission nette (2022), « </w:t>
      </w:r>
      <w:proofErr w:type="spellStart"/>
      <w:r>
        <w:rPr>
          <w:lang w:val="fr-FR"/>
        </w:rPr>
        <w:t>Integrity</w:t>
      </w:r>
      <w:proofErr w:type="spellEnd"/>
      <w:r>
        <w:rPr>
          <w:lang w:val="fr-FR"/>
        </w:rPr>
        <w:t xml:space="preserve"> </w:t>
      </w:r>
      <w:proofErr w:type="spellStart"/>
      <w:r>
        <w:rPr>
          <w:lang w:val="fr-FR"/>
        </w:rPr>
        <w:t>Matters</w:t>
      </w:r>
      <w:proofErr w:type="spellEnd"/>
      <w:r>
        <w:rPr>
          <w:lang w:val="fr-FR"/>
        </w:rPr>
        <w:t xml:space="preserve">: Net </w:t>
      </w:r>
      <w:proofErr w:type="spellStart"/>
      <w:r>
        <w:rPr>
          <w:lang w:val="fr-FR"/>
        </w:rPr>
        <w:t>zero</w:t>
      </w:r>
      <w:proofErr w:type="spellEnd"/>
      <w:r>
        <w:rPr>
          <w:lang w:val="fr-FR"/>
        </w:rPr>
        <w:t xml:space="preserve"> </w:t>
      </w:r>
      <w:proofErr w:type="spellStart"/>
      <w:r>
        <w:rPr>
          <w:lang w:val="fr-FR"/>
        </w:rPr>
        <w:t>commitments</w:t>
      </w:r>
      <w:proofErr w:type="spellEnd"/>
      <w:r>
        <w:rPr>
          <w:lang w:val="fr-FR"/>
        </w:rPr>
        <w:t xml:space="preserve"> by businesses, </w:t>
      </w:r>
      <w:proofErr w:type="spellStart"/>
      <w:r>
        <w:rPr>
          <w:lang w:val="fr-FR"/>
        </w:rPr>
        <w:t>financial</w:t>
      </w:r>
      <w:proofErr w:type="spellEnd"/>
      <w:r>
        <w:rPr>
          <w:lang w:val="fr-FR"/>
        </w:rPr>
        <w:t xml:space="preserve"> institutions, </w:t>
      </w:r>
      <w:proofErr w:type="spellStart"/>
      <w:r>
        <w:rPr>
          <w:lang w:val="fr-FR"/>
        </w:rPr>
        <w:t>cities</w:t>
      </w:r>
      <w:proofErr w:type="spellEnd"/>
      <w:r>
        <w:rPr>
          <w:lang w:val="fr-FR"/>
        </w:rPr>
        <w:t xml:space="preserve"> and </w:t>
      </w:r>
      <w:proofErr w:type="spellStart"/>
      <w:r>
        <w:rPr>
          <w:lang w:val="fr-FR"/>
        </w:rPr>
        <w:t>regions</w:t>
      </w:r>
      <w:proofErr w:type="spellEnd"/>
      <w:r>
        <w:rPr>
          <w:lang w:val="fr-FR"/>
        </w:rPr>
        <w:t> », disponible à l</w:t>
      </w:r>
      <w:r>
        <w:rPr>
          <w:lang w:val="fr-FR"/>
        </w:rPr>
        <w:t>’</w:t>
      </w:r>
      <w:r>
        <w:rPr>
          <w:lang w:val="fr-FR"/>
        </w:rPr>
        <w:t>adresse suivante</w:t>
      </w:r>
      <w:r>
        <w:rPr>
          <w:lang w:val="fr-FR"/>
        </w:rPr>
        <w:t> </w:t>
      </w:r>
      <w:r>
        <w:rPr>
          <w:lang w:val="fr-FR"/>
        </w:rPr>
        <w:t xml:space="preserve">: </w:t>
      </w:r>
      <w:hyperlink r:id="rId82" w:history="1">
        <w:r w:rsidR="00614099" w:rsidRPr="0078536E">
          <w:rPr>
            <w:rStyle w:val="Lienhypertexte"/>
            <w:lang w:val="fr-FR"/>
          </w:rPr>
          <w:t>https://www.un.org/sites/un2.un.org/files/high-level_expert_group_n7b.pdf</w:t>
        </w:r>
      </w:hyperlink>
      <w:r>
        <w:rPr>
          <w:lang w:val="fr-FR"/>
        </w:rPr>
        <w:t>.</w:t>
      </w:r>
    </w:p>
  </w:footnote>
  <w:footnote w:id="81">
    <w:p w14:paraId="16B57A6C" w14:textId="7685D81E" w:rsidR="00B4781B" w:rsidRPr="00501EF4" w:rsidRDefault="00B4781B" w:rsidP="00B4781B">
      <w:pPr>
        <w:pStyle w:val="Notedebasdepage"/>
        <w:rPr>
          <w:lang w:val="fr-FR"/>
        </w:rPr>
      </w:pPr>
      <w:r>
        <w:rPr>
          <w:lang w:val="fr-FR"/>
        </w:rPr>
        <w:tab/>
      </w:r>
      <w:r w:rsidRPr="002B1D76">
        <w:rPr>
          <w:rStyle w:val="Appelnotedebasdep"/>
        </w:rPr>
        <w:footnoteRef/>
      </w:r>
      <w:r>
        <w:rPr>
          <w:lang w:val="fr-FR"/>
        </w:rPr>
        <w:tab/>
      </w:r>
      <w:r>
        <w:rPr>
          <w:lang w:val="fr-FR"/>
        </w:rPr>
        <w:tab/>
        <w:t>Groupe d’experts de haut niveau sur les engagements des entités non étatiques en faveur du zéro émission nette (2022), « </w:t>
      </w:r>
      <w:proofErr w:type="spellStart"/>
      <w:r>
        <w:rPr>
          <w:lang w:val="fr-FR"/>
        </w:rPr>
        <w:t>Integrity</w:t>
      </w:r>
      <w:proofErr w:type="spellEnd"/>
      <w:r>
        <w:rPr>
          <w:lang w:val="fr-FR"/>
        </w:rPr>
        <w:t xml:space="preserve"> </w:t>
      </w:r>
      <w:proofErr w:type="spellStart"/>
      <w:r>
        <w:rPr>
          <w:lang w:val="fr-FR"/>
        </w:rPr>
        <w:t>Matters</w:t>
      </w:r>
      <w:proofErr w:type="spellEnd"/>
      <w:r>
        <w:rPr>
          <w:lang w:val="fr-FR"/>
        </w:rPr>
        <w:t xml:space="preserve">: Net </w:t>
      </w:r>
      <w:proofErr w:type="spellStart"/>
      <w:r>
        <w:rPr>
          <w:lang w:val="fr-FR"/>
        </w:rPr>
        <w:t>zero</w:t>
      </w:r>
      <w:proofErr w:type="spellEnd"/>
      <w:r>
        <w:rPr>
          <w:lang w:val="fr-FR"/>
        </w:rPr>
        <w:t xml:space="preserve"> </w:t>
      </w:r>
      <w:proofErr w:type="spellStart"/>
      <w:r>
        <w:rPr>
          <w:lang w:val="fr-FR"/>
        </w:rPr>
        <w:t>commitments</w:t>
      </w:r>
      <w:proofErr w:type="spellEnd"/>
      <w:r>
        <w:rPr>
          <w:lang w:val="fr-FR"/>
        </w:rPr>
        <w:t xml:space="preserve"> by businesses, </w:t>
      </w:r>
      <w:proofErr w:type="spellStart"/>
      <w:r>
        <w:rPr>
          <w:lang w:val="fr-FR"/>
        </w:rPr>
        <w:t>financial</w:t>
      </w:r>
      <w:proofErr w:type="spellEnd"/>
      <w:r>
        <w:rPr>
          <w:lang w:val="fr-FR"/>
        </w:rPr>
        <w:t xml:space="preserve"> institutions, </w:t>
      </w:r>
      <w:proofErr w:type="spellStart"/>
      <w:r>
        <w:rPr>
          <w:lang w:val="fr-FR"/>
        </w:rPr>
        <w:t>cities</w:t>
      </w:r>
      <w:proofErr w:type="spellEnd"/>
      <w:r>
        <w:rPr>
          <w:lang w:val="fr-FR"/>
        </w:rPr>
        <w:t xml:space="preserve"> and </w:t>
      </w:r>
      <w:proofErr w:type="spellStart"/>
      <w:r>
        <w:rPr>
          <w:lang w:val="fr-FR"/>
        </w:rPr>
        <w:t>regions</w:t>
      </w:r>
      <w:proofErr w:type="spellEnd"/>
      <w:r>
        <w:rPr>
          <w:lang w:val="fr-FR"/>
        </w:rPr>
        <w:t xml:space="preserve"> », disponible à l’adresse suivante : </w:t>
      </w:r>
      <w:hyperlink r:id="rId83" w:history="1">
        <w:r w:rsidR="00614099" w:rsidRPr="0078536E">
          <w:rPr>
            <w:rStyle w:val="Lienhypertexte"/>
            <w:lang w:val="fr-FR"/>
          </w:rPr>
          <w:t>https://www.un.org/sites/un2.un.org/files/high-level_expert_group_n7b.pdf</w:t>
        </w:r>
      </w:hyperlink>
      <w:r>
        <w:rPr>
          <w:lang w:val="fr-FR"/>
        </w:rPr>
        <w:t>.</w:t>
      </w:r>
    </w:p>
  </w:footnote>
  <w:footnote w:id="82">
    <w:p w14:paraId="51F25B46" w14:textId="24DB3F3F"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r>
      <w:proofErr w:type="spellStart"/>
      <w:r>
        <w:rPr>
          <w:lang w:val="fr-FR"/>
        </w:rPr>
        <w:t>SLoCaT</w:t>
      </w:r>
      <w:proofErr w:type="spellEnd"/>
      <w:r>
        <w:rPr>
          <w:lang w:val="fr-FR"/>
        </w:rPr>
        <w:t xml:space="preserve"> (2021), « </w:t>
      </w:r>
      <w:proofErr w:type="spellStart"/>
      <w:r>
        <w:rPr>
          <w:lang w:val="fr-FR"/>
        </w:rPr>
        <w:t>Avoid</w:t>
      </w:r>
      <w:proofErr w:type="spellEnd"/>
      <w:r>
        <w:rPr>
          <w:lang w:val="fr-FR"/>
        </w:rPr>
        <w:t>-Shift-</w:t>
      </w:r>
      <w:proofErr w:type="spellStart"/>
      <w:r>
        <w:rPr>
          <w:lang w:val="fr-FR"/>
        </w:rPr>
        <w:t>Improve</w:t>
      </w:r>
      <w:proofErr w:type="spellEnd"/>
      <w:r>
        <w:rPr>
          <w:lang w:val="fr-FR"/>
        </w:rPr>
        <w:t xml:space="preserve"> </w:t>
      </w:r>
      <w:proofErr w:type="spellStart"/>
      <w:r>
        <w:rPr>
          <w:lang w:val="fr-FR"/>
        </w:rPr>
        <w:t>Refocusing</w:t>
      </w:r>
      <w:proofErr w:type="spellEnd"/>
      <w:r>
        <w:rPr>
          <w:lang w:val="fr-FR"/>
        </w:rPr>
        <w:t> », disponible à l</w:t>
      </w:r>
      <w:r>
        <w:rPr>
          <w:lang w:val="fr-FR"/>
        </w:rPr>
        <w:t>’</w:t>
      </w:r>
      <w:r>
        <w:rPr>
          <w:lang w:val="fr-FR"/>
        </w:rPr>
        <w:t>adresse suivante</w:t>
      </w:r>
      <w:r>
        <w:rPr>
          <w:lang w:val="fr-FR"/>
        </w:rPr>
        <w:t> </w:t>
      </w:r>
      <w:r>
        <w:rPr>
          <w:lang w:val="fr-FR"/>
        </w:rPr>
        <w:t xml:space="preserve">: </w:t>
      </w:r>
      <w:hyperlink r:id="rId84" w:history="1">
        <w:r w:rsidR="00614099" w:rsidRPr="0078536E">
          <w:rPr>
            <w:rStyle w:val="Lienhypertexte"/>
            <w:lang w:val="fr-FR"/>
          </w:rPr>
          <w:t>https://slocat.net/asi/</w:t>
        </w:r>
      </w:hyperlink>
      <w:r>
        <w:rPr>
          <w:lang w:val="fr-FR"/>
        </w:rPr>
        <w:t>.</w:t>
      </w:r>
    </w:p>
  </w:footnote>
  <w:footnote w:id="83">
    <w:p w14:paraId="59A46AEA" w14:textId="0A3A70E1" w:rsidR="002B1D76" w:rsidRPr="00501EF4" w:rsidRDefault="002B1D76" w:rsidP="002B1D76">
      <w:pPr>
        <w:pStyle w:val="Notedebasdepage"/>
        <w:rPr>
          <w:lang w:val="fr-FR"/>
        </w:rPr>
      </w:pPr>
      <w:r w:rsidRPr="00036F93">
        <w:rPr>
          <w:lang w:val="fr-FR"/>
        </w:rPr>
        <w:tab/>
      </w:r>
      <w:r w:rsidRPr="002B1D76">
        <w:rPr>
          <w:rStyle w:val="Appelnotedebasdep"/>
        </w:rPr>
        <w:footnoteRef/>
      </w:r>
      <w:r>
        <w:rPr>
          <w:lang w:val="fr-FR"/>
        </w:rPr>
        <w:tab/>
        <w:t>F.</w:t>
      </w:r>
      <w:r>
        <w:rPr>
          <w:lang w:val="fr-FR"/>
        </w:rPr>
        <w:t> </w:t>
      </w:r>
      <w:proofErr w:type="spellStart"/>
      <w:r>
        <w:rPr>
          <w:lang w:val="fr-FR"/>
        </w:rPr>
        <w:t>Creutzig</w:t>
      </w:r>
      <w:proofErr w:type="spellEnd"/>
      <w:r>
        <w:rPr>
          <w:lang w:val="fr-FR"/>
        </w:rPr>
        <w:t xml:space="preserve"> </w:t>
      </w:r>
      <w:r w:rsidRPr="00614099">
        <w:rPr>
          <w:i/>
          <w:iCs/>
          <w:lang w:val="fr-FR"/>
        </w:rPr>
        <w:t>et al</w:t>
      </w:r>
      <w:r>
        <w:rPr>
          <w:lang w:val="fr-FR"/>
        </w:rPr>
        <w:t>. (2022), « </w:t>
      </w:r>
      <w:proofErr w:type="spellStart"/>
      <w:r>
        <w:rPr>
          <w:lang w:val="fr-FR"/>
        </w:rPr>
        <w:t>Demand-side</w:t>
      </w:r>
      <w:proofErr w:type="spellEnd"/>
      <w:r>
        <w:rPr>
          <w:lang w:val="fr-FR"/>
        </w:rPr>
        <w:t xml:space="preserve"> solutions to </w:t>
      </w:r>
      <w:proofErr w:type="spellStart"/>
      <w:r>
        <w:rPr>
          <w:lang w:val="fr-FR"/>
        </w:rPr>
        <w:t>climate</w:t>
      </w:r>
      <w:proofErr w:type="spellEnd"/>
      <w:r>
        <w:rPr>
          <w:lang w:val="fr-FR"/>
        </w:rPr>
        <w:t xml:space="preserve"> change mitigation consistent </w:t>
      </w:r>
      <w:proofErr w:type="spellStart"/>
      <w:r>
        <w:rPr>
          <w:lang w:val="fr-FR"/>
        </w:rPr>
        <w:t>with</w:t>
      </w:r>
      <w:proofErr w:type="spellEnd"/>
      <w:r>
        <w:rPr>
          <w:lang w:val="fr-FR"/>
        </w:rPr>
        <w:t xml:space="preserve"> high </w:t>
      </w:r>
      <w:proofErr w:type="spellStart"/>
      <w:r>
        <w:rPr>
          <w:lang w:val="fr-FR"/>
        </w:rPr>
        <w:t>levels</w:t>
      </w:r>
      <w:proofErr w:type="spellEnd"/>
      <w:r>
        <w:rPr>
          <w:lang w:val="fr-FR"/>
        </w:rPr>
        <w:t xml:space="preserve"> of </w:t>
      </w:r>
      <w:proofErr w:type="spellStart"/>
      <w:r>
        <w:rPr>
          <w:lang w:val="fr-FR"/>
        </w:rPr>
        <w:t>well-being</w:t>
      </w:r>
      <w:proofErr w:type="spellEnd"/>
      <w:r>
        <w:rPr>
          <w:lang w:val="fr-FR"/>
        </w:rPr>
        <w:t xml:space="preserve"> », </w:t>
      </w:r>
      <w:r>
        <w:rPr>
          <w:i/>
          <w:iCs/>
          <w:lang w:val="fr-FR"/>
        </w:rPr>
        <w:t>Nature C</w:t>
      </w:r>
      <w:proofErr w:type="spellStart"/>
      <w:r>
        <w:rPr>
          <w:i/>
          <w:iCs/>
          <w:lang w:val="fr-FR"/>
        </w:rPr>
        <w:t>limate</w:t>
      </w:r>
      <w:proofErr w:type="spellEnd"/>
      <w:r>
        <w:rPr>
          <w:i/>
          <w:iCs/>
          <w:lang w:val="fr-FR"/>
        </w:rPr>
        <w:t xml:space="preserve"> Change</w:t>
      </w:r>
      <w:r>
        <w:rPr>
          <w:lang w:val="fr-FR"/>
        </w:rPr>
        <w:t>, Vol. 12, p. 36 à 46, disponible à l</w:t>
      </w:r>
      <w:r>
        <w:rPr>
          <w:lang w:val="fr-FR"/>
        </w:rPr>
        <w:t>’</w:t>
      </w:r>
      <w:r>
        <w:rPr>
          <w:lang w:val="fr-FR"/>
        </w:rPr>
        <w:t>adresse suivante</w:t>
      </w:r>
      <w:r>
        <w:rPr>
          <w:lang w:val="fr-FR"/>
        </w:rPr>
        <w:t> </w:t>
      </w:r>
      <w:r>
        <w:rPr>
          <w:lang w:val="fr-FR"/>
        </w:rPr>
        <w:t xml:space="preserve">: </w:t>
      </w:r>
      <w:hyperlink r:id="rId85" w:history="1">
        <w:r w:rsidR="00614099" w:rsidRPr="0078536E">
          <w:rPr>
            <w:rStyle w:val="Lienhypertexte"/>
            <w:lang w:val="fr-FR"/>
          </w:rPr>
          <w:t>https://doi.org/10.1038/s41558-021-01219-y</w:t>
        </w:r>
      </w:hyperlink>
      <w:r>
        <w:rPr>
          <w:lang w:val="fr-FR"/>
        </w:rPr>
        <w:t>.</w:t>
      </w:r>
    </w:p>
  </w:footnote>
  <w:footnote w:id="84">
    <w:p w14:paraId="13A66EB9" w14:textId="2DD8F7D2" w:rsidR="002B1D76" w:rsidRPr="00501EF4" w:rsidRDefault="002B1D76" w:rsidP="002B1D76">
      <w:pPr>
        <w:pStyle w:val="Notedebasdepage"/>
        <w:rPr>
          <w:lang w:val="fr-FR"/>
        </w:rPr>
      </w:pPr>
      <w:r w:rsidRPr="00F848BA">
        <w:rPr>
          <w:lang w:val="fr-FR"/>
        </w:rPr>
        <w:tab/>
      </w:r>
      <w:r w:rsidRPr="002B1D76">
        <w:rPr>
          <w:rStyle w:val="Appelnotedebasdep"/>
        </w:rPr>
        <w:footnoteRef/>
      </w:r>
      <w:r>
        <w:rPr>
          <w:lang w:val="fr-FR"/>
        </w:rPr>
        <w:tab/>
        <w:t xml:space="preserve">AIE (2021), « Net </w:t>
      </w:r>
      <w:proofErr w:type="spellStart"/>
      <w:r>
        <w:rPr>
          <w:lang w:val="fr-FR"/>
        </w:rPr>
        <w:t>Zero</w:t>
      </w:r>
      <w:proofErr w:type="spellEnd"/>
      <w:r>
        <w:rPr>
          <w:lang w:val="fr-FR"/>
        </w:rPr>
        <w:t xml:space="preserve"> by 2050 », disponible à l</w:t>
      </w:r>
      <w:r>
        <w:rPr>
          <w:lang w:val="fr-FR"/>
        </w:rPr>
        <w:t>’</w:t>
      </w:r>
      <w:r>
        <w:rPr>
          <w:lang w:val="fr-FR"/>
        </w:rPr>
        <w:t>adresse suivante</w:t>
      </w:r>
      <w:r>
        <w:rPr>
          <w:lang w:val="fr-FR"/>
        </w:rPr>
        <w:t> </w:t>
      </w:r>
      <w:r>
        <w:rPr>
          <w:lang w:val="fr-FR"/>
        </w:rPr>
        <w:t xml:space="preserve">: </w:t>
      </w:r>
      <w:hyperlink r:id="rId86" w:history="1">
        <w:r w:rsidR="00614099" w:rsidRPr="0078536E">
          <w:rPr>
            <w:rStyle w:val="Lienhypertexte"/>
            <w:lang w:val="fr-FR"/>
          </w:rPr>
          <w:t>https://www.iea.org/reports/net-zero-by-2050</w:t>
        </w:r>
      </w:hyperlink>
      <w:r>
        <w:rPr>
          <w:lang w:val="fr-FR"/>
        </w:rPr>
        <w:t>.</w:t>
      </w:r>
    </w:p>
  </w:footnote>
  <w:footnote w:id="85">
    <w:p w14:paraId="72F26F45" w14:textId="72E7482A" w:rsidR="002B1D76" w:rsidRPr="00501EF4" w:rsidRDefault="002B1D76" w:rsidP="002B1D76">
      <w:pPr>
        <w:pStyle w:val="Notedebasdepage"/>
        <w:rPr>
          <w:lang w:val="fr-FR"/>
        </w:rPr>
      </w:pPr>
      <w:r>
        <w:rPr>
          <w:lang w:val="fr-FR"/>
        </w:rPr>
        <w:tab/>
        <w:t>*</w:t>
      </w:r>
      <w:r w:rsidRPr="00614099">
        <w:rPr>
          <w:spacing w:val="-4"/>
          <w:lang w:val="fr-FR"/>
        </w:rPr>
        <w:tab/>
        <w:t>D</w:t>
      </w:r>
      <w:r w:rsidRPr="00614099">
        <w:rPr>
          <w:spacing w:val="-4"/>
          <w:lang w:val="fr-FR"/>
        </w:rPr>
        <w:t>’</w:t>
      </w:r>
      <w:r w:rsidRPr="00614099">
        <w:rPr>
          <w:spacing w:val="-4"/>
          <w:lang w:val="fr-FR"/>
        </w:rPr>
        <w:t>après la classification M49 de la Division de statistique</w:t>
      </w:r>
      <w:r w:rsidRPr="00614099">
        <w:rPr>
          <w:spacing w:val="-4"/>
          <w:lang w:val="fr-FR"/>
        </w:rPr>
        <w:t> </w:t>
      </w:r>
      <w:r w:rsidRPr="00614099">
        <w:rPr>
          <w:spacing w:val="-4"/>
          <w:lang w:val="fr-FR"/>
        </w:rPr>
        <w:t xml:space="preserve">: </w:t>
      </w:r>
      <w:hyperlink r:id="rId87" w:history="1">
        <w:r w:rsidR="00614099" w:rsidRPr="00614099">
          <w:rPr>
            <w:rStyle w:val="Lienhypertexte"/>
            <w:spacing w:val="-4"/>
            <w:lang w:val="fr-FR"/>
          </w:rPr>
          <w:t>https://unstats.un.org/unsd/methodology/m49/</w:t>
        </w:r>
      </w:hyperlink>
      <w:r w:rsidRPr="00614099">
        <w:rPr>
          <w:spacing w:val="-4"/>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DFC6" w14:textId="5D719089" w:rsidR="002B1D76" w:rsidRPr="002B1D76" w:rsidRDefault="002B1D76">
    <w:pPr>
      <w:pStyle w:val="En-tte"/>
    </w:pPr>
    <w:fldSimple w:instr=" TITLE  \* MERGEFORMAT ">
      <w:r w:rsidR="00D807F5">
        <w:t>ECE/TRANS/2024/4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131C" w14:textId="110A7500" w:rsidR="002B1D76" w:rsidRPr="002B1D76" w:rsidRDefault="002B1D76" w:rsidP="002B1D76">
    <w:pPr>
      <w:pStyle w:val="En-tte"/>
      <w:jc w:val="right"/>
    </w:pPr>
    <w:fldSimple w:instr=" TITLE  \* MERGEFORMAT ">
      <w:r w:rsidR="00D807F5">
        <w:t>ECE/TRANS/2024/4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4E63"/>
    <w:multiLevelType w:val="hybridMultilevel"/>
    <w:tmpl w:val="71962AFE"/>
    <w:lvl w:ilvl="0" w:tplc="7696E5EE">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0984F91"/>
    <w:multiLevelType w:val="hybridMultilevel"/>
    <w:tmpl w:val="BAE4467A"/>
    <w:lvl w:ilvl="0" w:tplc="CE2AB0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3647F"/>
    <w:multiLevelType w:val="hybridMultilevel"/>
    <w:tmpl w:val="0F5CAB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B507F"/>
    <w:multiLevelType w:val="hybridMultilevel"/>
    <w:tmpl w:val="CE3C605E"/>
    <w:styleLink w:val="CurrentList1"/>
    <w:lvl w:ilvl="0" w:tplc="42122B18">
      <w:start w:val="3"/>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5"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15:restartNumberingAfterBreak="0">
    <w:nsid w:val="5BC567F3"/>
    <w:multiLevelType w:val="hybridMultilevel"/>
    <w:tmpl w:val="B7FCBE36"/>
    <w:lvl w:ilvl="0" w:tplc="2C56261E">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270549348">
    <w:abstractNumId w:val="7"/>
  </w:num>
  <w:num w:numId="2" w16cid:durableId="751976042">
    <w:abstractNumId w:val="5"/>
  </w:num>
  <w:num w:numId="3" w16cid:durableId="24405892">
    <w:abstractNumId w:val="1"/>
  </w:num>
  <w:num w:numId="4" w16cid:durableId="1569337326">
    <w:abstractNumId w:val="4"/>
  </w:num>
  <w:num w:numId="5" w16cid:durableId="1732579786">
    <w:abstractNumId w:val="7"/>
  </w:num>
  <w:num w:numId="6" w16cid:durableId="947735577">
    <w:abstractNumId w:val="7"/>
  </w:num>
  <w:num w:numId="7" w16cid:durableId="949237075">
    <w:abstractNumId w:val="7"/>
  </w:num>
  <w:num w:numId="8" w16cid:durableId="517277038">
    <w:abstractNumId w:val="7"/>
  </w:num>
  <w:num w:numId="9" w16cid:durableId="1230772179">
    <w:abstractNumId w:val="7"/>
  </w:num>
  <w:num w:numId="10" w16cid:durableId="1205288949">
    <w:abstractNumId w:val="7"/>
  </w:num>
  <w:num w:numId="11" w16cid:durableId="584461983">
    <w:abstractNumId w:val="7"/>
  </w:num>
  <w:num w:numId="12" w16cid:durableId="669676613">
    <w:abstractNumId w:val="7"/>
  </w:num>
  <w:num w:numId="13" w16cid:durableId="2079471912">
    <w:abstractNumId w:val="7"/>
  </w:num>
  <w:num w:numId="14" w16cid:durableId="731082301">
    <w:abstractNumId w:val="7"/>
  </w:num>
  <w:num w:numId="15" w16cid:durableId="183593075">
    <w:abstractNumId w:val="7"/>
  </w:num>
  <w:num w:numId="16" w16cid:durableId="684795766">
    <w:abstractNumId w:val="7"/>
  </w:num>
  <w:num w:numId="17" w16cid:durableId="1181118526">
    <w:abstractNumId w:val="7"/>
  </w:num>
  <w:num w:numId="18" w16cid:durableId="627005833">
    <w:abstractNumId w:val="7"/>
  </w:num>
  <w:num w:numId="19" w16cid:durableId="78597204">
    <w:abstractNumId w:val="7"/>
  </w:num>
  <w:num w:numId="20" w16cid:durableId="726538738">
    <w:abstractNumId w:val="7"/>
  </w:num>
  <w:num w:numId="21" w16cid:durableId="1711803341">
    <w:abstractNumId w:val="7"/>
  </w:num>
  <w:num w:numId="22" w16cid:durableId="1671786756">
    <w:abstractNumId w:val="7"/>
  </w:num>
  <w:num w:numId="23" w16cid:durableId="1359046970">
    <w:abstractNumId w:val="7"/>
  </w:num>
  <w:num w:numId="24" w16cid:durableId="70352196">
    <w:abstractNumId w:val="7"/>
  </w:num>
  <w:num w:numId="25" w16cid:durableId="1632243865">
    <w:abstractNumId w:val="7"/>
  </w:num>
  <w:num w:numId="26" w16cid:durableId="60569500">
    <w:abstractNumId w:val="7"/>
  </w:num>
  <w:num w:numId="27" w16cid:durableId="2051878434">
    <w:abstractNumId w:val="7"/>
  </w:num>
  <w:num w:numId="28" w16cid:durableId="1800611490">
    <w:abstractNumId w:val="7"/>
  </w:num>
  <w:num w:numId="29" w16cid:durableId="1648969551">
    <w:abstractNumId w:val="2"/>
  </w:num>
  <w:num w:numId="30" w16cid:durableId="368190270">
    <w:abstractNumId w:val="7"/>
  </w:num>
  <w:num w:numId="31" w16cid:durableId="639306709">
    <w:abstractNumId w:val="7"/>
  </w:num>
  <w:num w:numId="32" w16cid:durableId="1230118223">
    <w:abstractNumId w:val="7"/>
  </w:num>
  <w:num w:numId="33" w16cid:durableId="1669409435">
    <w:abstractNumId w:val="7"/>
  </w:num>
  <w:num w:numId="34" w16cid:durableId="2021392697">
    <w:abstractNumId w:val="7"/>
  </w:num>
  <w:num w:numId="35" w16cid:durableId="55665248">
    <w:abstractNumId w:val="7"/>
  </w:num>
  <w:num w:numId="36" w16cid:durableId="457534485">
    <w:abstractNumId w:val="7"/>
  </w:num>
  <w:num w:numId="37" w16cid:durableId="2096975157">
    <w:abstractNumId w:val="7"/>
  </w:num>
  <w:num w:numId="38" w16cid:durableId="940645020">
    <w:abstractNumId w:val="7"/>
  </w:num>
  <w:num w:numId="39" w16cid:durableId="359865365">
    <w:abstractNumId w:val="7"/>
  </w:num>
  <w:num w:numId="40" w16cid:durableId="701587654">
    <w:abstractNumId w:val="7"/>
  </w:num>
  <w:num w:numId="41" w16cid:durableId="1223835276">
    <w:abstractNumId w:val="0"/>
  </w:num>
  <w:num w:numId="42" w16cid:durableId="1269970730">
    <w:abstractNumId w:val="3"/>
  </w:num>
  <w:num w:numId="43" w16cid:durableId="118436892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567"/>
  <w:hyphenationZone w:val="425"/>
  <w:evenAndOddHeaders/>
  <w:characterSpacingControl w:val="doNotCompress"/>
  <w:hdrShapeDefaults>
    <o:shapedefaults v:ext="edit" spidmax="213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7D4"/>
    <w:rsid w:val="00017F94"/>
    <w:rsid w:val="00023842"/>
    <w:rsid w:val="000244D0"/>
    <w:rsid w:val="000334F9"/>
    <w:rsid w:val="00045FEB"/>
    <w:rsid w:val="00075BC0"/>
    <w:rsid w:val="0007796D"/>
    <w:rsid w:val="000B7790"/>
    <w:rsid w:val="00111F2F"/>
    <w:rsid w:val="00137BB3"/>
    <w:rsid w:val="0014365E"/>
    <w:rsid w:val="00143C66"/>
    <w:rsid w:val="00170620"/>
    <w:rsid w:val="00176178"/>
    <w:rsid w:val="001C6F26"/>
    <w:rsid w:val="001F525A"/>
    <w:rsid w:val="00201148"/>
    <w:rsid w:val="00205DEC"/>
    <w:rsid w:val="00223272"/>
    <w:rsid w:val="00225419"/>
    <w:rsid w:val="0024779E"/>
    <w:rsid w:val="00257168"/>
    <w:rsid w:val="002744B8"/>
    <w:rsid w:val="002832AC"/>
    <w:rsid w:val="002A285F"/>
    <w:rsid w:val="002B1D76"/>
    <w:rsid w:val="002D7C93"/>
    <w:rsid w:val="00305801"/>
    <w:rsid w:val="00315769"/>
    <w:rsid w:val="003324AA"/>
    <w:rsid w:val="00335A70"/>
    <w:rsid w:val="00363829"/>
    <w:rsid w:val="003916DE"/>
    <w:rsid w:val="003A6AED"/>
    <w:rsid w:val="00401A98"/>
    <w:rsid w:val="004075AF"/>
    <w:rsid w:val="00421996"/>
    <w:rsid w:val="00441C3B"/>
    <w:rsid w:val="00446FE5"/>
    <w:rsid w:val="00447BE4"/>
    <w:rsid w:val="00450275"/>
    <w:rsid w:val="00452396"/>
    <w:rsid w:val="00477EB2"/>
    <w:rsid w:val="00481AEE"/>
    <w:rsid w:val="004837D8"/>
    <w:rsid w:val="004E2EED"/>
    <w:rsid w:val="004E468C"/>
    <w:rsid w:val="005505B7"/>
    <w:rsid w:val="00573BE5"/>
    <w:rsid w:val="00586ED3"/>
    <w:rsid w:val="00596AA9"/>
    <w:rsid w:val="005B6267"/>
    <w:rsid w:val="005B6CA1"/>
    <w:rsid w:val="00614099"/>
    <w:rsid w:val="00636CA8"/>
    <w:rsid w:val="00674322"/>
    <w:rsid w:val="0071601D"/>
    <w:rsid w:val="007A0F95"/>
    <w:rsid w:val="007A62E6"/>
    <w:rsid w:val="007B20DF"/>
    <w:rsid w:val="007C6376"/>
    <w:rsid w:val="007F20FA"/>
    <w:rsid w:val="0080684C"/>
    <w:rsid w:val="00871C75"/>
    <w:rsid w:val="008776DC"/>
    <w:rsid w:val="008D5EF9"/>
    <w:rsid w:val="009446C0"/>
    <w:rsid w:val="009705C8"/>
    <w:rsid w:val="009C1CF4"/>
    <w:rsid w:val="009F6B74"/>
    <w:rsid w:val="00A26B9F"/>
    <w:rsid w:val="00A3029F"/>
    <w:rsid w:val="00A30353"/>
    <w:rsid w:val="00AA06B2"/>
    <w:rsid w:val="00AC3823"/>
    <w:rsid w:val="00AE323C"/>
    <w:rsid w:val="00AF0CB5"/>
    <w:rsid w:val="00B00181"/>
    <w:rsid w:val="00B00B0D"/>
    <w:rsid w:val="00B30DDA"/>
    <w:rsid w:val="00B45F2E"/>
    <w:rsid w:val="00B4781B"/>
    <w:rsid w:val="00B737D4"/>
    <w:rsid w:val="00B765F7"/>
    <w:rsid w:val="00B77993"/>
    <w:rsid w:val="00BA0CA9"/>
    <w:rsid w:val="00BA5952"/>
    <w:rsid w:val="00BF629C"/>
    <w:rsid w:val="00C02897"/>
    <w:rsid w:val="00C62270"/>
    <w:rsid w:val="00C97039"/>
    <w:rsid w:val="00D3439C"/>
    <w:rsid w:val="00D35EA3"/>
    <w:rsid w:val="00D7622E"/>
    <w:rsid w:val="00D807F5"/>
    <w:rsid w:val="00DB1831"/>
    <w:rsid w:val="00DD3BFD"/>
    <w:rsid w:val="00DF6678"/>
    <w:rsid w:val="00E0299A"/>
    <w:rsid w:val="00E3250A"/>
    <w:rsid w:val="00E85C74"/>
    <w:rsid w:val="00EA6547"/>
    <w:rsid w:val="00ED723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2"/>
    </o:shapelayout>
  </w:shapeDefaults>
  <w:decimalSymbol w:val=","/>
  <w:listSeparator w:val=";"/>
  <w14:docId w14:val="7A30EF93"/>
  <w15:docId w15:val="{DEA41C66-B009-4B3A-81D7-35D975BE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B77993"/>
    <w:pPr>
      <w:numPr>
        <w:numId w:val="3"/>
      </w:numPr>
      <w:tabs>
        <w:tab w:val="clear" w:pos="1701"/>
      </w:tabs>
      <w:spacing w:after="120"/>
      <w:ind w:right="1134"/>
      <w:jc w:val="both"/>
    </w:pPr>
  </w:style>
  <w:style w:type="character" w:styleId="Appelnotedebasdep">
    <w:name w:val="footnote reference"/>
    <w:aliases w:val="4_G,4_GR,ftref,16 Point,Superscript 6 Point,Ref,de nota al pie,Fußnotenzeichen DISS,fr,Numbering - Footnote,-E Fußnotenzeichen,Odwołanie przypisu,Times 10 Point,Exposant 3 Point,Footnote symbol,Footnote reference number,number"/>
    <w:basedOn w:val="Policepardfaut"/>
    <w:uiPriority w:val="99"/>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5_GR,Footnote Creating"/>
    <w:basedOn w:val="Normal"/>
    <w:link w:val="NotedebasdepageCar"/>
    <w:uiPriority w:val="99"/>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5_GR Car,Footnote Creating Car"/>
    <w:basedOn w:val="Policepardfaut"/>
    <w:link w:val="Notedebasdepage"/>
    <w:uiPriority w:val="99"/>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35BAF"/>
    <w:rPr>
      <w:rFonts w:ascii="Tahoma" w:hAnsi="Tahoma" w:cs="Tahoma"/>
      <w:sz w:val="16"/>
      <w:szCs w:val="16"/>
      <w:lang w:eastAsia="en-US"/>
    </w:rPr>
  </w:style>
  <w:style w:type="character" w:customStyle="1" w:styleId="HChGChar">
    <w:name w:val="_ H _Ch_G Char"/>
    <w:link w:val="HChG"/>
    <w:rsid w:val="002B1D76"/>
    <w:rPr>
      <w:rFonts w:ascii="Times New Roman" w:eastAsiaTheme="minorHAnsi" w:hAnsi="Times New Roman" w:cs="Times New Roman"/>
      <w:b/>
      <w:sz w:val="28"/>
      <w:szCs w:val="20"/>
      <w:lang w:eastAsia="en-US"/>
    </w:rPr>
  </w:style>
  <w:style w:type="character" w:customStyle="1" w:styleId="H1GChar">
    <w:name w:val="_ H_1_G Char"/>
    <w:link w:val="H1G"/>
    <w:rsid w:val="002B1D76"/>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rsid w:val="002B1D76"/>
    <w:rPr>
      <w:rFonts w:ascii="Times New Roman" w:eastAsiaTheme="minorHAnsi" w:hAnsi="Times New Roman" w:cs="Times New Roman"/>
      <w:sz w:val="20"/>
      <w:szCs w:val="20"/>
      <w:lang w:eastAsia="en-US"/>
    </w:rPr>
  </w:style>
  <w:style w:type="character" w:styleId="Marquedecommentaire">
    <w:name w:val="annotation reference"/>
    <w:basedOn w:val="Policepardfaut"/>
    <w:semiHidden/>
    <w:unhideWhenUsed/>
    <w:rsid w:val="002B1D76"/>
    <w:rPr>
      <w:sz w:val="16"/>
      <w:szCs w:val="16"/>
    </w:rPr>
  </w:style>
  <w:style w:type="paragraph" w:styleId="Commentaire">
    <w:name w:val="annotation text"/>
    <w:basedOn w:val="Normal"/>
    <w:link w:val="CommentaireCar"/>
    <w:unhideWhenUsed/>
    <w:rsid w:val="002B1D76"/>
    <w:pPr>
      <w:kinsoku/>
      <w:overflowPunct/>
      <w:autoSpaceDE/>
      <w:autoSpaceDN/>
      <w:adjustRightInd/>
      <w:snapToGrid/>
      <w:spacing w:line="240" w:lineRule="auto"/>
    </w:pPr>
    <w:rPr>
      <w:rFonts w:eastAsia="Times New Roman"/>
      <w:lang w:val="en-GB" w:eastAsia="fr-FR"/>
    </w:rPr>
  </w:style>
  <w:style w:type="character" w:customStyle="1" w:styleId="CommentaireCar">
    <w:name w:val="Commentaire Car"/>
    <w:basedOn w:val="Policepardfaut"/>
    <w:link w:val="Commentaire"/>
    <w:rsid w:val="002B1D76"/>
    <w:rPr>
      <w:rFonts w:ascii="Times New Roman" w:hAnsi="Times New Roman" w:cs="Times New Roman"/>
      <w:sz w:val="20"/>
      <w:szCs w:val="20"/>
      <w:lang w:val="en-GB" w:eastAsia="fr-FR"/>
    </w:rPr>
  </w:style>
  <w:style w:type="paragraph" w:styleId="Objetducommentaire">
    <w:name w:val="annotation subject"/>
    <w:basedOn w:val="Commentaire"/>
    <w:next w:val="Commentaire"/>
    <w:link w:val="ObjetducommentaireCar"/>
    <w:semiHidden/>
    <w:unhideWhenUsed/>
    <w:rsid w:val="002B1D76"/>
    <w:rPr>
      <w:b/>
      <w:bCs/>
    </w:rPr>
  </w:style>
  <w:style w:type="character" w:customStyle="1" w:styleId="ObjetducommentaireCar">
    <w:name w:val="Objet du commentaire Car"/>
    <w:basedOn w:val="CommentaireCar"/>
    <w:link w:val="Objetducommentaire"/>
    <w:semiHidden/>
    <w:rsid w:val="002B1D76"/>
    <w:rPr>
      <w:rFonts w:ascii="Times New Roman" w:hAnsi="Times New Roman" w:cs="Times New Roman"/>
      <w:b/>
      <w:bCs/>
      <w:sz w:val="20"/>
      <w:szCs w:val="20"/>
      <w:lang w:val="en-GB" w:eastAsia="fr-FR"/>
    </w:rPr>
  </w:style>
  <w:style w:type="paragraph" w:styleId="Rvision">
    <w:name w:val="Revision"/>
    <w:hidden/>
    <w:uiPriority w:val="99"/>
    <w:semiHidden/>
    <w:rsid w:val="002B1D76"/>
    <w:pPr>
      <w:spacing w:after="0" w:line="240" w:lineRule="auto"/>
    </w:pPr>
    <w:rPr>
      <w:rFonts w:ascii="Times New Roman" w:hAnsi="Times New Roman" w:cs="Times New Roman"/>
      <w:sz w:val="20"/>
      <w:szCs w:val="20"/>
      <w:lang w:val="en-GB" w:eastAsia="fr-FR"/>
    </w:rPr>
  </w:style>
  <w:style w:type="paragraph" w:styleId="Paragraphedeliste">
    <w:name w:val="List Paragraph"/>
    <w:basedOn w:val="Normal"/>
    <w:uiPriority w:val="34"/>
    <w:semiHidden/>
    <w:qFormat/>
    <w:rsid w:val="002B1D76"/>
    <w:pPr>
      <w:kinsoku/>
      <w:overflowPunct/>
      <w:autoSpaceDE/>
      <w:autoSpaceDN/>
      <w:adjustRightInd/>
      <w:snapToGrid/>
      <w:ind w:left="720"/>
      <w:contextualSpacing/>
    </w:pPr>
    <w:rPr>
      <w:rFonts w:eastAsia="Times New Roman"/>
      <w:lang w:val="en-GB" w:eastAsia="fr-FR"/>
    </w:rPr>
  </w:style>
  <w:style w:type="numbering" w:customStyle="1" w:styleId="CurrentList1">
    <w:name w:val="Current List1"/>
    <w:uiPriority w:val="99"/>
    <w:rsid w:val="002B1D76"/>
    <w:pPr>
      <w:numPr>
        <w:numId w:val="4"/>
      </w:numPr>
    </w:pPr>
  </w:style>
  <w:style w:type="character" w:styleId="Mentionnonrsolue">
    <w:name w:val="Unresolved Mention"/>
    <w:basedOn w:val="Policepardfaut"/>
    <w:uiPriority w:val="99"/>
    <w:semiHidden/>
    <w:unhideWhenUsed/>
    <w:rsid w:val="002B1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7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globaldrivetozero.org/mou-nation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yperlink" Target="https://racetozero.unfccc.int/system/breakthrough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acceleratingtozero.org/signatories-views/"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cop27.eg/assets/files/initiatives/LOTUS-BR-01-EGY-10-22-EN.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edgar.jrc.ec.europa.eu/report_2022" TargetMode="External"/><Relationship Id="rId18" Type="http://schemas.openxmlformats.org/officeDocument/2006/relationships/hyperlink" Target="https://datahelpdesk.worldbank.org/knowledgebase/articles/906519" TargetMode="External"/><Relationship Id="rId26" Type="http://schemas.openxmlformats.org/officeDocument/2006/relationships/hyperlink" Target="https://www.destatis.de/Europa/EN/Topic/Transport/Car.html" TargetMode="External"/><Relationship Id="rId39" Type="http://schemas.openxmlformats.org/officeDocument/2006/relationships/hyperlink" Target="https://www.oecd-ilibrary.org/transport/perspectives-des-transports-fit_25202383" TargetMode="External"/><Relationship Id="rId21" Type="http://schemas.openxmlformats.org/officeDocument/2006/relationships/hyperlink" Target="https://edgar.jrc.ec.europa.eu/report_2023" TargetMode="External"/><Relationship Id="rId34" Type="http://schemas.openxmlformats.org/officeDocument/2006/relationships/hyperlink" Target="https://datawarehouse.worldroadstatistics.org" TargetMode="External"/><Relationship Id="rId42" Type="http://schemas.openxmlformats.org/officeDocument/2006/relationships/hyperlink" Target="https://www.itf-oecd.org/itf-transport-outlook-2023" TargetMode="External"/><Relationship Id="rId47" Type="http://schemas.openxmlformats.org/officeDocument/2006/relationships/hyperlink" Target="https://www.irena.org/Digital-Report/World-Energy-Transitions-Outlook-2022" TargetMode="External"/><Relationship Id="rId50" Type="http://schemas.openxmlformats.org/officeDocument/2006/relationships/hyperlink" Target="https://www.iea.org/reports/net-zero-by-2050" TargetMode="External"/><Relationship Id="rId55" Type="http://schemas.openxmlformats.org/officeDocument/2006/relationships/hyperlink" Target="https://asiantransportoutlook.com/analytical-outputs/climate-change-in-asia" TargetMode="External"/><Relationship Id="rId63" Type="http://schemas.openxmlformats.org/officeDocument/2006/relationships/hyperlink" Target="https://climatechampions.unfccc.int/wp-content/uploads/2023/09/THEBREAKTHROUGHAGENDAREPORT2023.pdf" TargetMode="External"/><Relationship Id="rId68" Type="http://schemas.openxmlformats.org/officeDocument/2006/relationships/hyperlink" Target="https://outlook.gihub.org" TargetMode="External"/><Relationship Id="rId76" Type="http://schemas.openxmlformats.org/officeDocument/2006/relationships/hyperlink" Target="https://www.iea.org/reports/electric-vehicles" TargetMode="External"/><Relationship Id="rId84" Type="http://schemas.openxmlformats.org/officeDocument/2006/relationships/hyperlink" Target="https://slocat.net/asi/" TargetMode="External"/><Relationship Id="rId7" Type="http://schemas.openxmlformats.org/officeDocument/2006/relationships/hyperlink" Target="https://bit.ly/3qtgdQT" TargetMode="External"/><Relationship Id="rId71" Type="http://schemas.openxmlformats.org/officeDocument/2006/relationships/hyperlink" Target="https://odi.org/en/insights/multilateral-development-banks-need-a-bolder-vision-and-urgent-reform-to-tackle-the-climate-crisis/" TargetMode="External"/><Relationship Id="rId2" Type="http://schemas.openxmlformats.org/officeDocument/2006/relationships/hyperlink" Target="https://data.giss.nasa.gov/gistemp/graphs_v4" TargetMode="External"/><Relationship Id="rId16" Type="http://schemas.openxmlformats.org/officeDocument/2006/relationships/hyperlink" Target="https://www.shell.com/energy-and-innovation/the-energy-future/scenarios/the-energy-transformation-scenarios.html" TargetMode="External"/><Relationship Id="rId29" Type="http://schemas.openxmlformats.org/officeDocument/2006/relationships/hyperlink" Target="https://datawarehouse.worldroadstatistics.org" TargetMode="External"/><Relationship Id="rId11" Type="http://schemas.openxmlformats.org/officeDocument/2006/relationships/hyperlink" Target="https://www.nature.com/articles/s41467-019-10442-3" TargetMode="External"/><Relationship Id="rId24" Type="http://schemas.openxmlformats.org/officeDocument/2006/relationships/hyperlink" Target="https://www.unep.org/regions/asia-and-pacific/regional-initiatives/restoring-clean-air" TargetMode="External"/><Relationship Id="rId32" Type="http://schemas.openxmlformats.org/officeDocument/2006/relationships/hyperlink" Target="https://datawarehouse.worldroadstatistics.org" TargetMode="External"/><Relationship Id="rId37" Type="http://schemas.openxmlformats.org/officeDocument/2006/relationships/hyperlink" Target="https://www.itf-oecd.org/itf-transport-outlook-2023" TargetMode="External"/><Relationship Id="rId40" Type="http://schemas.openxmlformats.org/officeDocument/2006/relationships/hyperlink" Target="https://www.itf-oecd.org/perspectives-transports-fit-2021" TargetMode="External"/><Relationship Id="rId45" Type="http://schemas.openxmlformats.org/officeDocument/2006/relationships/hyperlink" Target="https://www.iea.org/reports/net-zero-roadmap-a-global-pathway-to-keep-the-15-0c-goal-in-reach" TargetMode="External"/><Relationship Id="rId53" Type="http://schemas.openxmlformats.org/officeDocument/2006/relationships/hyperlink" Target="https://www.itf-oecd.org/itf-transport-outlook-2023" TargetMode="External"/><Relationship Id="rId58" Type="http://schemas.openxmlformats.org/officeDocument/2006/relationships/hyperlink" Target="https://www.ipcc.ch/report/sixth-assessment-report-working-group-3" TargetMode="External"/><Relationship Id="rId66" Type="http://schemas.openxmlformats.org/officeDocument/2006/relationships/hyperlink" Target="https://www.climatepolicyinitiative.org/wp-content/uploads/2019/11/2019-Global-Landscape-of-Climate-Finance.pdf" TargetMode="External"/><Relationship Id="rId74" Type="http://schemas.openxmlformats.org/officeDocument/2006/relationships/hyperlink" Target="https://sciencebasedtargets.org/sectors/transport#our-updated-oems-policy" TargetMode="External"/><Relationship Id="rId79" Type="http://schemas.openxmlformats.org/officeDocument/2006/relationships/hyperlink" Target="https://sciencebasedtargets.org/" TargetMode="External"/><Relationship Id="rId87" Type="http://schemas.openxmlformats.org/officeDocument/2006/relationships/hyperlink" Target="https://unstats.un.org/unsd/methodology/m49/" TargetMode="External"/><Relationship Id="rId5" Type="http://schemas.openxmlformats.org/officeDocument/2006/relationships/hyperlink" Target="https://edgar.jrc.ec.europa.eu/report_2023" TargetMode="External"/><Relationship Id="rId61" Type="http://schemas.openxmlformats.org/officeDocument/2006/relationships/hyperlink" Target="https://climatechampions.unfccc.int/system/breakthrough-agenda/" TargetMode="External"/><Relationship Id="rId82" Type="http://schemas.openxmlformats.org/officeDocument/2006/relationships/hyperlink" Target="https://www.un.org/sites/un2.un.org/files/high-level_expert_group_n7b.pdf" TargetMode="External"/><Relationship Id="rId19" Type="http://schemas.openxmlformats.org/officeDocument/2006/relationships/hyperlink" Target="https://edgar.jrc.ec.europa.eu/report_2023" TargetMode="External"/><Relationship Id="rId4" Type="http://schemas.openxmlformats.org/officeDocument/2006/relationships/hyperlink" Target="https://edgar.jrc.ec.europa.eu/report_2023" TargetMode="External"/><Relationship Id="rId9" Type="http://schemas.openxmlformats.org/officeDocument/2006/relationships/hyperlink" Target="https://unstats.un.org/sdgs/report/2023/" TargetMode="External"/><Relationship Id="rId14" Type="http://schemas.openxmlformats.org/officeDocument/2006/relationships/hyperlink" Target="https://www.shell.com/energy-and-innovation/the-energy-future/scenarios/the-energy-transformation-scenarios.html" TargetMode="External"/><Relationship Id="rId22" Type="http://schemas.openxmlformats.org/officeDocument/2006/relationships/hyperlink" Target="https://edgar.jrc.ec.europa.eu/report_2023" TargetMode="External"/><Relationship Id="rId27" Type="http://schemas.openxmlformats.org/officeDocument/2006/relationships/hyperlink" Target="https://ec.europa.eu/eurostat/databrowser/view/TRAN_R_VEHST__custom_3245293/default/table" TargetMode="External"/><Relationship Id="rId30" Type="http://schemas.openxmlformats.org/officeDocument/2006/relationships/hyperlink" Target="https://doi.org/10.3390/su10020510" TargetMode="External"/><Relationship Id="rId35" Type="http://schemas.openxmlformats.org/officeDocument/2006/relationships/hyperlink" Target="https://www.ipcc.ch/report/sixth-assessment-report-working-group-3" TargetMode="External"/><Relationship Id="rId43" Type="http://schemas.openxmlformats.org/officeDocument/2006/relationships/hyperlink" Target="https://www.unep.org/emissions-gap-report-2022" TargetMode="External"/><Relationship Id="rId48" Type="http://schemas.openxmlformats.org/officeDocument/2006/relationships/hyperlink" Target="https://www.ipcc.ch/report/sixth-assessment-report-working-group-3" TargetMode="External"/><Relationship Id="rId56" Type="http://schemas.openxmlformats.org/officeDocument/2006/relationships/hyperlink" Target="https://www.eea.europa.eu/ims/greenhouse-gas-emissions-from-transport" TargetMode="External"/><Relationship Id="rId64" Type="http://schemas.openxmlformats.org/officeDocument/2006/relationships/hyperlink" Target="https://www.un.org/sg/en/content/sg/statement/2021-10-14/secretary-generals-remarks-the-second-global-sustainable-transport-conference-delivered" TargetMode="External"/><Relationship Id="rId69" Type="http://schemas.openxmlformats.org/officeDocument/2006/relationships/hyperlink" Target="https://infratracker.gihub.org" TargetMode="External"/><Relationship Id="rId77" Type="http://schemas.openxmlformats.org/officeDocument/2006/relationships/hyperlink" Target="https://automotive.influencemap.org" TargetMode="External"/><Relationship Id="rId8" Type="http://schemas.openxmlformats.org/officeDocument/2006/relationships/hyperlink" Target="https://tcc-gsr.com/takeways-for-decision-makers/" TargetMode="External"/><Relationship Id="rId51" Type="http://schemas.openxmlformats.org/officeDocument/2006/relationships/hyperlink" Target="https://www.iea.org/reports/net-zero-by-2050" TargetMode="External"/><Relationship Id="rId72" Type="http://schemas.openxmlformats.org/officeDocument/2006/relationships/hyperlink" Target="https://www.carbonbrief.org/explainer-how-can-climate-finance-be-increased-from-billions-to-trillions/" TargetMode="External"/><Relationship Id="rId80" Type="http://schemas.openxmlformats.org/officeDocument/2006/relationships/hyperlink" Target="https://www.ifrs.org/groups/international-sustainability-standards-board" TargetMode="External"/><Relationship Id="rId85" Type="http://schemas.openxmlformats.org/officeDocument/2006/relationships/hyperlink" Target="https://doi.org/10.1038/s41558-021-01219-y" TargetMode="External"/><Relationship Id="rId3" Type="http://schemas.openxmlformats.org/officeDocument/2006/relationships/hyperlink" Target="https://edgar.jrc.ec.europa.eu/report_2023" TargetMode="External"/><Relationship Id="rId12" Type="http://schemas.openxmlformats.org/officeDocument/2006/relationships/hyperlink" Target="https://openknowledge.worldbank.org/handle/10986/31805" TargetMode="External"/><Relationship Id="rId17" Type="http://schemas.openxmlformats.org/officeDocument/2006/relationships/hyperlink" Target="https://iopscience.iop.org/article/10.1088/1748-9326/ab35fc/pdf" TargetMode="External"/><Relationship Id="rId25" Type="http://schemas.openxmlformats.org/officeDocument/2006/relationships/hyperlink" Target="https://edgar.jrc.ec.europa.eu/report_2023" TargetMode="External"/><Relationship Id="rId33" Type="http://schemas.openxmlformats.org/officeDocument/2006/relationships/hyperlink" Target="https://edgar.jrc.ec.europa.eu/report_2023" TargetMode="External"/><Relationship Id="rId38" Type="http://schemas.openxmlformats.org/officeDocument/2006/relationships/hyperlink" Target="https://www.itf-oecd.org/itf-transport-outlook-2023" TargetMode="External"/><Relationship Id="rId46" Type="http://schemas.openxmlformats.org/officeDocument/2006/relationships/hyperlink" Target="https://www.ipcc.ch/report/sixth-assessment-report-working-group-3" TargetMode="External"/><Relationship Id="rId59" Type="http://schemas.openxmlformats.org/officeDocument/2006/relationships/hyperlink" Target="https://unfccc.int/sites/default/files/resource/cma2021_10a01F.pdf" TargetMode="External"/><Relationship Id="rId67" Type="http://schemas.openxmlformats.org/officeDocument/2006/relationships/hyperlink" Target="http://energy.mit.edu/insightsintofuturemobility" TargetMode="External"/><Relationship Id="rId20" Type="http://schemas.openxmlformats.org/officeDocument/2006/relationships/hyperlink" Target="https://www.iea.org/commentaries/the-world-s-top-1-of-emitters-produce-over-1-000-times-more-co2-than-the-bottom-1" TargetMode="External"/><Relationship Id="rId41" Type="http://schemas.openxmlformats.org/officeDocument/2006/relationships/hyperlink" Target="https://asiantransportoutlook.com/analytical-outputs/asian-transport-2030-outlook" TargetMode="External"/><Relationship Id="rId54" Type="http://schemas.openxmlformats.org/officeDocument/2006/relationships/hyperlink" Target="https://www.itf-oecd.org/itf-transport-outlook-2023" TargetMode="External"/><Relationship Id="rId62" Type="http://schemas.openxmlformats.org/officeDocument/2006/relationships/hyperlink" Target="https://racetozero.unfccc.int/system/breakthroughs/" TargetMode="External"/><Relationship Id="rId70" Type="http://schemas.openxmlformats.org/officeDocument/2006/relationships/hyperlink" Target="https://www.oecd.org/subsidies" TargetMode="External"/><Relationship Id="rId75" Type="http://schemas.openxmlformats.org/officeDocument/2006/relationships/hyperlink" Target="https://www.worldbenchmarkingalliance.org/publication/automotive" TargetMode="External"/><Relationship Id="rId83" Type="http://schemas.openxmlformats.org/officeDocument/2006/relationships/hyperlink" Target="https://www.un.org/sites/un2.un.org/files/high-level_expert_group_n7b.pdf" TargetMode="External"/><Relationship Id="rId1" Type="http://schemas.openxmlformats.org/officeDocument/2006/relationships/hyperlink" Target="https://www.ipcc.ch/report/ar6/wg3/downloads/report/IPCC_AR6_WGIII_SPM.pdf" TargetMode="External"/><Relationship Id="rId6" Type="http://schemas.openxmlformats.org/officeDocument/2006/relationships/hyperlink" Target="https://systemschangelab.org/transport" TargetMode="External"/><Relationship Id="rId15" Type="http://schemas.openxmlformats.org/officeDocument/2006/relationships/hyperlink" Target="https://www.itf-oecd.org/perspectives-transports-fit-2021" TargetMode="External"/><Relationship Id="rId23" Type="http://schemas.openxmlformats.org/officeDocument/2006/relationships/hyperlink" Target="https://edgar.jrc.ec.europa.eu/report_2023" TargetMode="External"/><Relationship Id="rId28" Type="http://schemas.openxmlformats.org/officeDocument/2006/relationships/hyperlink" Target="https://www.gov.uk/government/collections/vehicles-statistics" TargetMode="External"/><Relationship Id="rId36" Type="http://schemas.openxmlformats.org/officeDocument/2006/relationships/hyperlink" Target="https://www.itf-oecd.org/itf-transport-outlook-2023" TargetMode="External"/><Relationship Id="rId49" Type="http://schemas.openxmlformats.org/officeDocument/2006/relationships/hyperlink" Target="https://www.iea.org/reports/net-zero-by-2050" TargetMode="External"/><Relationship Id="rId57" Type="http://schemas.openxmlformats.org/officeDocument/2006/relationships/hyperlink" Target="https://www.ipcc.ch/report/sixth-assessment-report-working-group-3" TargetMode="External"/><Relationship Id="rId10" Type="http://schemas.openxmlformats.org/officeDocument/2006/relationships/hyperlink" Target="https://unctad.org/system/files/official-document/osginf2022d2_en.pdf" TargetMode="External"/><Relationship Id="rId31" Type="http://schemas.openxmlformats.org/officeDocument/2006/relationships/hyperlink" Target="http://dx.doi.org/10.18235/0003278" TargetMode="External"/><Relationship Id="rId44" Type="http://schemas.openxmlformats.org/officeDocument/2006/relationships/hyperlink" Target="https://www.itf-oecd.org/itf-transport-outlook-2023" TargetMode="External"/><Relationship Id="rId52" Type="http://schemas.openxmlformats.org/officeDocument/2006/relationships/hyperlink" Target="https://www.iea.org/reports/net-zero-roadmap-a-global-pathway-to-keep-the-15-0c-goal-in-reach" TargetMode="External"/><Relationship Id="rId60" Type="http://schemas.openxmlformats.org/officeDocument/2006/relationships/hyperlink" Target="https://slocat.net/cop26-commitments-ndc-alignment-2022/" TargetMode="External"/><Relationship Id="rId65" Type="http://schemas.openxmlformats.org/officeDocument/2006/relationships/hyperlink" Target="https://www.un.org/sites/un2.un.org/files/2021/10/gstc2_beijing_statement_16_oct_2021.pdf" TargetMode="External"/><Relationship Id="rId73" Type="http://schemas.openxmlformats.org/officeDocument/2006/relationships/hyperlink" Target="https://www.cdp.net/en/articles/climate/new-cdp-data-shows-companies-are-recognizing-the-need-for-climate-transition-plans-but-are-not-moving-fast-enough-amidst-incoming-mandatory-disclosure" TargetMode="External"/><Relationship Id="rId78" Type="http://schemas.openxmlformats.org/officeDocument/2006/relationships/hyperlink" Target="https://www.wemeanbusinesscoalition.org/blog/climate-transition-action-plans-activate-your-journey-to-climate-leadership" TargetMode="External"/><Relationship Id="rId81" Type="http://schemas.openxmlformats.org/officeDocument/2006/relationships/hyperlink" Target="https://www.consilium.europa.eu/fr/press/press-releases/2022/11/28/council-gives-final-green-light-to-corporate-sustainability-reporting-directive/" TargetMode="External"/><Relationship Id="rId86" Type="http://schemas.openxmlformats.org/officeDocument/2006/relationships/hyperlink" Target="https://www.iea.org/reports/net-zero-by-20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0</TotalTime>
  <Pages>25</Pages>
  <Words>9369</Words>
  <Characters>49004</Characters>
  <Application>Microsoft Office Word</Application>
  <DocSecurity>0</DocSecurity>
  <Lines>901</Lines>
  <Paragraphs>234</Paragraphs>
  <ScaleCrop>false</ScaleCrop>
  <HeadingPairs>
    <vt:vector size="2" baseType="variant">
      <vt:variant>
        <vt:lpstr>Titre</vt:lpstr>
      </vt:variant>
      <vt:variant>
        <vt:i4>1</vt:i4>
      </vt:variant>
    </vt:vector>
  </HeadingPairs>
  <TitlesOfParts>
    <vt:vector size="1" baseType="lpstr">
      <vt:lpstr>ECE/TRANS/2024/4</vt:lpstr>
    </vt:vector>
  </TitlesOfParts>
  <Company>DCM</Company>
  <LinksUpToDate>false</LinksUpToDate>
  <CharactersWithSpaces>58201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ECE/TRANS/2024/4</dc:title>
  <dc:subject/>
  <dc:creator>Sandrine CLERE</dc:creator>
  <cp:keywords/>
  <cp:lastModifiedBy>Sandrine Clere</cp:lastModifiedBy>
  <cp:revision>2</cp:revision>
  <cp:lastPrinted>2014-05-14T10:59:00Z</cp:lastPrinted>
  <dcterms:created xsi:type="dcterms:W3CDTF">2023-12-26T14:33:00Z</dcterms:created>
  <dcterms:modified xsi:type="dcterms:W3CDTF">2023-12-26T14:33:00Z</dcterms:modified>
</cp:coreProperties>
</file>