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610590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4E93DDD" w14:textId="77777777" w:rsidR="00F35BAF" w:rsidRPr="00DB58B5" w:rsidRDefault="00F35BAF" w:rsidP="00076F7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F6F3D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F66869" w14:textId="77777777" w:rsidR="00F35BAF" w:rsidRPr="00DB58B5" w:rsidRDefault="00076F71" w:rsidP="00076F71">
            <w:pPr>
              <w:jc w:val="right"/>
            </w:pPr>
            <w:r w:rsidRPr="00076F71">
              <w:rPr>
                <w:sz w:val="40"/>
              </w:rPr>
              <w:t>ECE</w:t>
            </w:r>
            <w:r>
              <w:t>/TRANS/WP.15/AC.1/2024/4</w:t>
            </w:r>
          </w:p>
        </w:tc>
      </w:tr>
      <w:tr w:rsidR="00F35BAF" w:rsidRPr="00DB58B5" w14:paraId="4D62304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34BDC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4586E50" wp14:editId="5F8CDB8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608F4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6440B9" w14:textId="77777777" w:rsidR="00F35BAF" w:rsidRDefault="00076F71" w:rsidP="00C97039">
            <w:pPr>
              <w:spacing w:before="240"/>
            </w:pPr>
            <w:r>
              <w:t>Distr. générale</w:t>
            </w:r>
          </w:p>
          <w:p w14:paraId="0613D513" w14:textId="47C6C6B3" w:rsidR="00076F71" w:rsidRDefault="00076F71" w:rsidP="00076F71">
            <w:pPr>
              <w:spacing w:line="240" w:lineRule="exact"/>
            </w:pPr>
            <w:r>
              <w:t>14 décembre 2023</w:t>
            </w:r>
          </w:p>
          <w:p w14:paraId="41E1E18A" w14:textId="77777777" w:rsidR="00076F71" w:rsidRDefault="00076F71" w:rsidP="00076F71">
            <w:pPr>
              <w:spacing w:line="240" w:lineRule="exact"/>
            </w:pPr>
            <w:r>
              <w:t>Français</w:t>
            </w:r>
          </w:p>
          <w:p w14:paraId="11964859" w14:textId="2FF7B87D" w:rsidR="00076F71" w:rsidRPr="00DB58B5" w:rsidRDefault="00076F71" w:rsidP="00076F71">
            <w:pPr>
              <w:spacing w:line="240" w:lineRule="exact"/>
            </w:pPr>
            <w:r>
              <w:t>Original : anglais</w:t>
            </w:r>
          </w:p>
        </w:tc>
      </w:tr>
    </w:tbl>
    <w:p w14:paraId="4AE4267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DA4359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26B6D5E" w14:textId="77777777" w:rsidR="00076F71" w:rsidRPr="009E01B8" w:rsidRDefault="00076F71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6E4F5A28" w14:textId="5B6A3A2F" w:rsidR="00076F71" w:rsidRPr="00926E87" w:rsidRDefault="00076F71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t xml:space="preserve"> 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7684AEEA" w14:textId="01285FAA" w:rsidR="00076F71" w:rsidRPr="004061C0" w:rsidRDefault="00076F71" w:rsidP="00076F71">
      <w:pPr>
        <w:rPr>
          <w:lang w:val="fr-FR"/>
        </w:rPr>
      </w:pPr>
      <w:r w:rsidRPr="004061C0">
        <w:rPr>
          <w:lang w:val="fr-FR"/>
        </w:rPr>
        <w:t>Berne, 25-28</w:t>
      </w:r>
      <w:r>
        <w:rPr>
          <w:lang w:val="fr-FR"/>
        </w:rPr>
        <w:t> </w:t>
      </w:r>
      <w:r w:rsidRPr="004061C0">
        <w:rPr>
          <w:lang w:val="fr-FR"/>
        </w:rPr>
        <w:t>mars 2024</w:t>
      </w:r>
    </w:p>
    <w:p w14:paraId="5B3738F9" w14:textId="7A38AEAE" w:rsidR="00076F71" w:rsidRPr="004061C0" w:rsidRDefault="00076F71" w:rsidP="00076F71">
      <w:pPr>
        <w:rPr>
          <w:lang w:val="fr-FR"/>
        </w:rPr>
      </w:pPr>
      <w:r w:rsidRPr="004061C0">
        <w:rPr>
          <w:lang w:val="fr-FR"/>
        </w:rPr>
        <w:t>Point</w:t>
      </w:r>
      <w:r>
        <w:rPr>
          <w:lang w:val="fr-FR"/>
        </w:rPr>
        <w:t> </w:t>
      </w:r>
      <w:r w:rsidRPr="004061C0">
        <w:rPr>
          <w:lang w:val="fr-FR"/>
        </w:rPr>
        <w:t>5</w:t>
      </w:r>
      <w:r>
        <w:rPr>
          <w:lang w:val="fr-FR"/>
        </w:rPr>
        <w:t> </w:t>
      </w:r>
      <w:r w:rsidRPr="004061C0">
        <w:rPr>
          <w:lang w:val="fr-FR"/>
        </w:rPr>
        <w:t>b) de l</w:t>
      </w:r>
      <w:r>
        <w:rPr>
          <w:lang w:val="fr-FR"/>
        </w:rPr>
        <w:t>’</w:t>
      </w:r>
      <w:r w:rsidRPr="004061C0">
        <w:rPr>
          <w:lang w:val="fr-FR"/>
        </w:rPr>
        <w:t>ordre du jour provisoire</w:t>
      </w:r>
    </w:p>
    <w:p w14:paraId="1AD89CEB" w14:textId="53F40BFF" w:rsidR="00076F71" w:rsidRPr="004061C0" w:rsidRDefault="00076F71" w:rsidP="00076F71">
      <w:pPr>
        <w:rPr>
          <w:b/>
          <w:lang w:val="fr-FR"/>
        </w:rPr>
      </w:pPr>
      <w:r w:rsidRPr="004061C0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4061C0">
        <w:rPr>
          <w:b/>
          <w:bCs/>
          <w:lang w:val="fr-FR"/>
        </w:rPr>
        <w:t>amendements au RID, à l</w:t>
      </w:r>
      <w:r>
        <w:rPr>
          <w:b/>
          <w:bCs/>
          <w:lang w:val="fr-FR"/>
        </w:rPr>
        <w:t>’</w:t>
      </w:r>
      <w:r w:rsidRPr="004061C0">
        <w:rPr>
          <w:b/>
          <w:bCs/>
          <w:lang w:val="fr-FR"/>
        </w:rPr>
        <w:t>ADR et à l</w:t>
      </w:r>
      <w:r>
        <w:rPr>
          <w:b/>
          <w:bCs/>
          <w:lang w:val="fr-FR"/>
        </w:rPr>
        <w:t>’</w:t>
      </w:r>
      <w:r w:rsidRPr="004061C0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4061C0">
        <w:rPr>
          <w:b/>
          <w:bCs/>
          <w:lang w:val="fr-FR"/>
        </w:rPr>
        <w:t>:</w:t>
      </w:r>
      <w:r w:rsidRPr="004061C0">
        <w:rPr>
          <w:lang w:val="fr-FR"/>
        </w:rPr>
        <w:t xml:space="preserve"> </w:t>
      </w:r>
      <w:r>
        <w:rPr>
          <w:lang w:val="fr-FR"/>
        </w:rPr>
        <w:br/>
      </w:r>
      <w:r w:rsidRPr="004061C0">
        <w:rPr>
          <w:b/>
          <w:bCs/>
          <w:lang w:val="fr-FR"/>
        </w:rPr>
        <w:t>Nouvelles propositions</w:t>
      </w:r>
    </w:p>
    <w:p w14:paraId="0308B306" w14:textId="5EF533E7" w:rsidR="00076F71" w:rsidRPr="004061C0" w:rsidRDefault="00076F71" w:rsidP="00076F71">
      <w:pPr>
        <w:pStyle w:val="HChG"/>
        <w:rPr>
          <w:rFonts w:eastAsia="Arial Unicode MS"/>
          <w:lang w:val="fr-FR"/>
        </w:rPr>
      </w:pPr>
      <w:r w:rsidRPr="004061C0">
        <w:rPr>
          <w:lang w:val="fr-FR"/>
        </w:rPr>
        <w:tab/>
      </w:r>
      <w:r w:rsidRPr="004061C0">
        <w:rPr>
          <w:lang w:val="fr-FR"/>
        </w:rPr>
        <w:tab/>
      </w:r>
      <w:r w:rsidRPr="004061C0">
        <w:rPr>
          <w:bCs/>
          <w:lang w:val="fr-FR"/>
        </w:rPr>
        <w:t>Modification des mesures transitoires concernant le</w:t>
      </w:r>
      <w:r>
        <w:rPr>
          <w:bCs/>
          <w:lang w:val="fr-FR"/>
        </w:rPr>
        <w:t> </w:t>
      </w:r>
      <w:r w:rsidRPr="004061C0">
        <w:rPr>
          <w:bCs/>
          <w:lang w:val="fr-FR"/>
        </w:rPr>
        <w:t>marquage des bouteilles d</w:t>
      </w:r>
      <w:r>
        <w:rPr>
          <w:bCs/>
          <w:lang w:val="fr-FR"/>
        </w:rPr>
        <w:t>’</w:t>
      </w:r>
      <w:r w:rsidRPr="004061C0">
        <w:rPr>
          <w:bCs/>
          <w:lang w:val="fr-FR"/>
        </w:rPr>
        <w:t>acétylène</w:t>
      </w:r>
    </w:p>
    <w:p w14:paraId="7FC8A3E0" w14:textId="57C61F17" w:rsidR="00076F71" w:rsidRPr="004061C0" w:rsidRDefault="00076F71" w:rsidP="00076F71">
      <w:pPr>
        <w:pStyle w:val="H1G"/>
        <w:rPr>
          <w:lang w:val="fr-FR"/>
        </w:rPr>
      </w:pPr>
      <w:r w:rsidRPr="004061C0">
        <w:rPr>
          <w:lang w:val="fr-FR"/>
        </w:rPr>
        <w:tab/>
      </w:r>
      <w:r w:rsidRPr="004061C0">
        <w:rPr>
          <w:lang w:val="fr-FR"/>
        </w:rPr>
        <w:tab/>
      </w:r>
      <w:r w:rsidRPr="004061C0">
        <w:rPr>
          <w:lang w:val="fr-FR"/>
        </w:rPr>
        <w:tab/>
      </w:r>
      <w:r w:rsidRPr="004061C0">
        <w:rPr>
          <w:bCs/>
          <w:lang w:val="fr-FR"/>
        </w:rPr>
        <w:t>Communication de l</w:t>
      </w:r>
      <w:r>
        <w:rPr>
          <w:bCs/>
          <w:lang w:val="fr-FR"/>
        </w:rPr>
        <w:t>’</w:t>
      </w:r>
      <w:r w:rsidRPr="004061C0">
        <w:rPr>
          <w:bCs/>
          <w:lang w:val="fr-FR"/>
        </w:rPr>
        <w:t>Association européenne des gaz industriels (EIGA)</w:t>
      </w:r>
      <w:r w:rsidRPr="00076F7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076F71">
        <w:rPr>
          <w:b w:val="0"/>
          <w:bCs/>
          <w:sz w:val="20"/>
          <w:vertAlign w:val="superscript"/>
        </w:rPr>
        <w:t xml:space="preserve">, </w:t>
      </w:r>
      <w:r w:rsidRPr="00076F71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4F43B925" w14:textId="77777777" w:rsidR="00076F71" w:rsidRPr="004061C0" w:rsidRDefault="00076F71" w:rsidP="00076F71">
      <w:pPr>
        <w:pStyle w:val="HChG"/>
        <w:ind w:left="1215" w:hanging="855"/>
        <w:rPr>
          <w:lang w:val="fr-FR"/>
        </w:rPr>
      </w:pPr>
      <w:r w:rsidRPr="004061C0">
        <w:rPr>
          <w:bCs/>
          <w:lang w:val="fr-FR"/>
        </w:rPr>
        <w:tab/>
        <w:t>I.</w:t>
      </w:r>
      <w:r w:rsidRPr="004061C0">
        <w:rPr>
          <w:lang w:val="fr-FR"/>
        </w:rPr>
        <w:tab/>
      </w:r>
      <w:r w:rsidRPr="004061C0">
        <w:rPr>
          <w:bCs/>
          <w:lang w:val="fr-FR"/>
        </w:rPr>
        <w:t>Introduction</w:t>
      </w:r>
    </w:p>
    <w:p w14:paraId="74229914" w14:textId="77777777" w:rsidR="00076F71" w:rsidRPr="004061C0" w:rsidRDefault="00076F71" w:rsidP="00076F71">
      <w:pPr>
        <w:pStyle w:val="SingleTxtG"/>
        <w:rPr>
          <w:lang w:val="fr-FR"/>
        </w:rPr>
      </w:pPr>
      <w:r w:rsidRPr="004061C0">
        <w:rPr>
          <w:lang w:val="fr-FR"/>
        </w:rPr>
        <w:t>1.</w:t>
      </w:r>
      <w:r w:rsidRPr="004061C0">
        <w:rPr>
          <w:lang w:val="fr-FR"/>
        </w:rPr>
        <w:tab/>
        <w:t>Dans le document ECE/TRANS/WP.15/AC.1/2021/24/Add.1, soumis à la</w:t>
      </w:r>
      <w:r>
        <w:rPr>
          <w:lang w:val="fr-FR"/>
        </w:rPr>
        <w:t xml:space="preserve"> session de septembre 2021 de la</w:t>
      </w:r>
      <w:r w:rsidRPr="004061C0">
        <w:rPr>
          <w:lang w:val="fr-FR"/>
        </w:rPr>
        <w:t xml:space="preserve"> Réunion commune, le Groupe de travail spécial de l</w:t>
      </w:r>
      <w:r>
        <w:rPr>
          <w:lang w:val="fr-FR"/>
        </w:rPr>
        <w:t>’</w:t>
      </w:r>
      <w:r w:rsidRPr="004061C0">
        <w:rPr>
          <w:lang w:val="fr-FR"/>
        </w:rPr>
        <w:t>harmonisation des Règlements RID/ADR/ADN avec les Recommandations de l</w:t>
      </w:r>
      <w:r>
        <w:rPr>
          <w:lang w:val="fr-FR"/>
        </w:rPr>
        <w:t>’</w:t>
      </w:r>
      <w:r w:rsidRPr="004061C0">
        <w:rPr>
          <w:lang w:val="fr-FR"/>
        </w:rPr>
        <w:t>ONU relatives au transport des marchandises dangereuses a proposé des amendements au RID et à l</w:t>
      </w:r>
      <w:r>
        <w:rPr>
          <w:lang w:val="fr-FR"/>
        </w:rPr>
        <w:t>’</w:t>
      </w:r>
      <w:r w:rsidRPr="004061C0">
        <w:rPr>
          <w:lang w:val="fr-FR"/>
        </w:rPr>
        <w:t>ADR concernant le marquage des bouteilles d</w:t>
      </w:r>
      <w:r>
        <w:rPr>
          <w:lang w:val="fr-FR"/>
        </w:rPr>
        <w:t>’</w:t>
      </w:r>
      <w:r w:rsidRPr="004061C0">
        <w:rPr>
          <w:lang w:val="fr-FR"/>
        </w:rPr>
        <w:t>acétylène, qui ont ensuite été adoptés par la Réunion commune.</w:t>
      </w:r>
    </w:p>
    <w:p w14:paraId="6E578FE5" w14:textId="1BD83955" w:rsidR="00076F71" w:rsidRPr="004061C0" w:rsidRDefault="00076F71" w:rsidP="00076F71">
      <w:pPr>
        <w:pStyle w:val="SingleTxtG"/>
        <w:rPr>
          <w:lang w:val="fr-FR"/>
        </w:rPr>
      </w:pPr>
      <w:r w:rsidRPr="004061C0">
        <w:rPr>
          <w:lang w:val="fr-FR"/>
        </w:rPr>
        <w:t>2.</w:t>
      </w:r>
      <w:r w:rsidRPr="004061C0">
        <w:rPr>
          <w:lang w:val="fr-FR"/>
        </w:rPr>
        <w:tab/>
        <w:t>Depuis le 1</w:t>
      </w:r>
      <w:r w:rsidRPr="000417C9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4061C0">
        <w:rPr>
          <w:lang w:val="fr-FR"/>
        </w:rPr>
        <w:t>juillet 2023, un</w:t>
      </w:r>
      <w:r>
        <w:rPr>
          <w:lang w:val="fr-FR"/>
        </w:rPr>
        <w:t>e</w:t>
      </w:r>
      <w:r w:rsidRPr="004061C0">
        <w:rPr>
          <w:lang w:val="fr-FR"/>
        </w:rPr>
        <w:t xml:space="preserve"> marque supplémentaire</w:t>
      </w:r>
      <w:r>
        <w:rPr>
          <w:lang w:val="fr-FR"/>
        </w:rPr>
        <w:t xml:space="preserve"> doit être apposée</w:t>
      </w:r>
      <w:r w:rsidRPr="004061C0">
        <w:rPr>
          <w:lang w:val="fr-FR"/>
        </w:rPr>
        <w:t xml:space="preserve"> </w:t>
      </w:r>
      <w:r>
        <w:rPr>
          <w:lang w:val="fr-FR"/>
        </w:rPr>
        <w:t>s</w:t>
      </w:r>
      <w:r w:rsidRPr="004061C0">
        <w:rPr>
          <w:lang w:val="fr-FR"/>
        </w:rPr>
        <w:t>ur les bouteilles d</w:t>
      </w:r>
      <w:r>
        <w:rPr>
          <w:lang w:val="fr-FR"/>
        </w:rPr>
        <w:t>’</w:t>
      </w:r>
      <w:r w:rsidRPr="004061C0">
        <w:rPr>
          <w:lang w:val="fr-FR"/>
        </w:rPr>
        <w:t>acétylène existantes</w:t>
      </w:r>
      <w:r>
        <w:rPr>
          <w:lang w:val="fr-FR"/>
        </w:rPr>
        <w:t xml:space="preserve"> comme suite à la modification des</w:t>
      </w:r>
      <w:r w:rsidRPr="00C25D9E">
        <w:rPr>
          <w:lang w:val="fr-FR"/>
        </w:rPr>
        <w:t xml:space="preserve"> alinéas</w:t>
      </w:r>
      <w:r>
        <w:rPr>
          <w:lang w:val="fr-FR"/>
        </w:rPr>
        <w:t> </w:t>
      </w:r>
      <w:r w:rsidRPr="00C25D9E">
        <w:rPr>
          <w:lang w:val="fr-FR"/>
        </w:rPr>
        <w:t xml:space="preserve">k) et l) du 6.2.2.7.3 et </w:t>
      </w:r>
      <w:r>
        <w:rPr>
          <w:lang w:val="fr-FR"/>
        </w:rPr>
        <w:t xml:space="preserve">à </w:t>
      </w:r>
      <w:r w:rsidRPr="00C25D9E">
        <w:rPr>
          <w:lang w:val="fr-FR"/>
        </w:rPr>
        <w:t>l</w:t>
      </w:r>
      <w:r>
        <w:rPr>
          <w:lang w:val="fr-FR"/>
        </w:rPr>
        <w:t>’</w:t>
      </w:r>
      <w:r w:rsidRPr="00C25D9E">
        <w:rPr>
          <w:lang w:val="fr-FR"/>
        </w:rPr>
        <w:t>ajout du 1.6.2.19</w:t>
      </w:r>
      <w:r w:rsidRPr="004061C0">
        <w:rPr>
          <w:lang w:val="fr-FR"/>
        </w:rPr>
        <w:t>.</w:t>
      </w:r>
    </w:p>
    <w:p w14:paraId="3038394E" w14:textId="4E8ADB5F" w:rsidR="00076F71" w:rsidRPr="004061C0" w:rsidRDefault="00076F71" w:rsidP="00076F71">
      <w:pPr>
        <w:pStyle w:val="SingleTxtG"/>
        <w:rPr>
          <w:lang w:val="fr-FR"/>
        </w:rPr>
      </w:pPr>
      <w:r w:rsidRPr="004061C0">
        <w:rPr>
          <w:lang w:val="fr-FR"/>
        </w:rPr>
        <w:t>3.</w:t>
      </w:r>
      <w:r w:rsidRPr="004061C0">
        <w:rPr>
          <w:lang w:val="fr-FR"/>
        </w:rPr>
        <w:tab/>
        <w:t>Bien que l</w:t>
      </w:r>
      <w:r>
        <w:rPr>
          <w:lang w:val="fr-FR"/>
        </w:rPr>
        <w:t>’</w:t>
      </w:r>
      <w:r w:rsidRPr="004061C0">
        <w:rPr>
          <w:lang w:val="fr-FR"/>
        </w:rPr>
        <w:t xml:space="preserve">Association européenne des gaz industriels (EIGA) ait </w:t>
      </w:r>
      <w:r>
        <w:rPr>
          <w:lang w:val="fr-FR"/>
        </w:rPr>
        <w:t>consenti aux</w:t>
      </w:r>
      <w:r w:rsidRPr="004061C0">
        <w:rPr>
          <w:lang w:val="fr-FR"/>
        </w:rPr>
        <w:t xml:space="preserve"> modifications proposées, </w:t>
      </w:r>
      <w:r>
        <w:rPr>
          <w:lang w:val="fr-FR"/>
        </w:rPr>
        <w:t xml:space="preserve">il n’a pas été possible de les mettre </w:t>
      </w:r>
      <w:r w:rsidRPr="004061C0">
        <w:rPr>
          <w:lang w:val="fr-FR"/>
        </w:rPr>
        <w:t>en application pour certains types de</w:t>
      </w:r>
      <w:r w:rsidRPr="004061C0">
        <w:rPr>
          <w:i/>
          <w:iCs/>
          <w:lang w:val="fr-FR"/>
        </w:rPr>
        <w:t xml:space="preserve"> </w:t>
      </w:r>
      <w:r w:rsidRPr="005E535E">
        <w:rPr>
          <w:lang w:val="fr-FR"/>
        </w:rPr>
        <w:t>récipients à pression «</w:t>
      </w:r>
      <w:r>
        <w:rPr>
          <w:lang w:val="fr-FR"/>
        </w:rPr>
        <w:t> </w:t>
      </w:r>
      <w:r w:rsidRPr="005E535E">
        <w:rPr>
          <w:lang w:val="fr-FR"/>
        </w:rPr>
        <w:t>non UN</w:t>
      </w:r>
      <w:r>
        <w:rPr>
          <w:lang w:val="fr-FR"/>
        </w:rPr>
        <w:t> </w:t>
      </w:r>
      <w:r w:rsidRPr="005E535E">
        <w:rPr>
          <w:lang w:val="fr-FR"/>
        </w:rPr>
        <w:t>»</w:t>
      </w:r>
      <w:r w:rsidRPr="004061C0">
        <w:rPr>
          <w:i/>
          <w:iCs/>
          <w:lang w:val="fr-FR"/>
        </w:rPr>
        <w:t xml:space="preserve"> </w:t>
      </w:r>
      <w:r w:rsidRPr="004061C0">
        <w:rPr>
          <w:lang w:val="fr-FR"/>
        </w:rPr>
        <w:t>(bouteilles).</w:t>
      </w:r>
    </w:p>
    <w:p w14:paraId="77FB3B93" w14:textId="77777777" w:rsidR="00076F71" w:rsidRPr="004061C0" w:rsidRDefault="00076F71" w:rsidP="00076F71">
      <w:pPr>
        <w:pStyle w:val="SingleTxtG"/>
        <w:rPr>
          <w:lang w:val="fr-FR"/>
        </w:rPr>
      </w:pPr>
      <w:r w:rsidRPr="004061C0">
        <w:rPr>
          <w:lang w:val="fr-FR"/>
        </w:rPr>
        <w:t>4.</w:t>
      </w:r>
      <w:r w:rsidRPr="004061C0">
        <w:rPr>
          <w:lang w:val="fr-FR"/>
        </w:rPr>
        <w:tab/>
      </w:r>
      <w:r>
        <w:rPr>
          <w:lang w:val="fr-FR"/>
        </w:rPr>
        <w:t>E</w:t>
      </w:r>
      <w:r w:rsidRPr="0092214B">
        <w:rPr>
          <w:lang w:val="fr-FR"/>
        </w:rPr>
        <w:t>n raison de leur conception</w:t>
      </w:r>
      <w:r>
        <w:rPr>
          <w:lang w:val="fr-FR"/>
        </w:rPr>
        <w:t>, n</w:t>
      </w:r>
      <w:r w:rsidRPr="004061C0">
        <w:rPr>
          <w:lang w:val="fr-FR"/>
        </w:rPr>
        <w:t>ombre de bouteilles ne disposent pas de l</w:t>
      </w:r>
      <w:r>
        <w:rPr>
          <w:lang w:val="fr-FR"/>
        </w:rPr>
        <w:t>’</w:t>
      </w:r>
      <w:r w:rsidRPr="004061C0">
        <w:rPr>
          <w:lang w:val="fr-FR"/>
        </w:rPr>
        <w:t xml:space="preserve">espace nécessaire </w:t>
      </w:r>
      <w:r>
        <w:rPr>
          <w:lang w:val="fr-FR"/>
        </w:rPr>
        <w:t>à l’apposition de la</w:t>
      </w:r>
      <w:r w:rsidRPr="004061C0">
        <w:rPr>
          <w:lang w:val="fr-FR"/>
        </w:rPr>
        <w:t xml:space="preserve"> marque supplémentaire</w:t>
      </w:r>
      <w:r>
        <w:rPr>
          <w:lang w:val="fr-FR"/>
        </w:rPr>
        <w:t xml:space="preserve"> (</w:t>
      </w:r>
      <w:r w:rsidRPr="004061C0">
        <w:rPr>
          <w:lang w:val="fr-FR"/>
        </w:rPr>
        <w:t>marquage sur des zones renforcées trop petites ou sur des plaques en acier également trop petites compte tenu des nouvelles prescriptions</w:t>
      </w:r>
      <w:r>
        <w:rPr>
          <w:lang w:val="fr-FR"/>
        </w:rPr>
        <w:t>)</w:t>
      </w:r>
      <w:r w:rsidRPr="004061C0">
        <w:rPr>
          <w:lang w:val="fr-FR"/>
        </w:rPr>
        <w:t>.</w:t>
      </w:r>
    </w:p>
    <w:p w14:paraId="7C297939" w14:textId="77777777" w:rsidR="00076F71" w:rsidRPr="004061C0" w:rsidRDefault="00076F71" w:rsidP="00076F71">
      <w:pPr>
        <w:pStyle w:val="SingleTxtG"/>
        <w:rPr>
          <w:lang w:val="fr-FR"/>
        </w:rPr>
      </w:pPr>
      <w:r w:rsidRPr="004061C0">
        <w:rPr>
          <w:lang w:val="fr-FR"/>
        </w:rPr>
        <w:t>5.</w:t>
      </w:r>
      <w:r w:rsidRPr="004061C0">
        <w:rPr>
          <w:lang w:val="fr-FR"/>
        </w:rPr>
        <w:tab/>
        <w:t xml:space="preserve">Le marquage sur </w:t>
      </w:r>
      <w:r w:rsidRPr="0092214B">
        <w:rPr>
          <w:lang w:val="fr-FR"/>
        </w:rPr>
        <w:t>l</w:t>
      </w:r>
      <w:r>
        <w:rPr>
          <w:lang w:val="fr-FR"/>
        </w:rPr>
        <w:t>’</w:t>
      </w:r>
      <w:r w:rsidRPr="0092214B">
        <w:rPr>
          <w:lang w:val="fr-FR"/>
        </w:rPr>
        <w:t>enveloppe de la bouteille</w:t>
      </w:r>
      <w:r w:rsidRPr="004061C0">
        <w:rPr>
          <w:lang w:val="fr-FR"/>
        </w:rPr>
        <w:t xml:space="preserve"> n</w:t>
      </w:r>
      <w:r>
        <w:rPr>
          <w:lang w:val="fr-FR"/>
        </w:rPr>
        <w:t>’</w:t>
      </w:r>
      <w:r w:rsidRPr="004061C0">
        <w:rPr>
          <w:lang w:val="fr-FR"/>
        </w:rPr>
        <w:t>est pas autorisé car il risque d</w:t>
      </w:r>
      <w:r>
        <w:rPr>
          <w:lang w:val="fr-FR"/>
        </w:rPr>
        <w:t>’</w:t>
      </w:r>
      <w:r w:rsidRPr="004061C0">
        <w:rPr>
          <w:lang w:val="fr-FR"/>
        </w:rPr>
        <w:t>endommager la masse poreuse à l</w:t>
      </w:r>
      <w:r>
        <w:rPr>
          <w:lang w:val="fr-FR"/>
        </w:rPr>
        <w:t>’</w:t>
      </w:r>
      <w:r w:rsidRPr="004061C0">
        <w:rPr>
          <w:lang w:val="fr-FR"/>
        </w:rPr>
        <w:t>intérieur de la bouteille. Par conséquent, les zones renforcées existantes sont les seuls endroits où un</w:t>
      </w:r>
      <w:r>
        <w:rPr>
          <w:lang w:val="fr-FR"/>
        </w:rPr>
        <w:t xml:space="preserve">e nouvelle marque </w:t>
      </w:r>
      <w:r w:rsidRPr="004061C0">
        <w:rPr>
          <w:lang w:val="fr-FR"/>
        </w:rPr>
        <w:t xml:space="preserve">peut être </w:t>
      </w:r>
      <w:r>
        <w:rPr>
          <w:lang w:val="fr-FR"/>
        </w:rPr>
        <w:t>apposée</w:t>
      </w:r>
      <w:r w:rsidRPr="004061C0">
        <w:rPr>
          <w:lang w:val="fr-FR"/>
        </w:rPr>
        <w:t>.</w:t>
      </w:r>
    </w:p>
    <w:p w14:paraId="5E1C859A" w14:textId="400EB8C2" w:rsidR="00076F71" w:rsidRPr="004061C0" w:rsidRDefault="00076F71" w:rsidP="00076F71">
      <w:pPr>
        <w:pStyle w:val="SingleTxtG"/>
        <w:rPr>
          <w:lang w:val="fr-FR"/>
        </w:rPr>
      </w:pPr>
      <w:r w:rsidRPr="004061C0">
        <w:rPr>
          <w:lang w:val="fr-FR"/>
        </w:rPr>
        <w:lastRenderedPageBreak/>
        <w:t>6.</w:t>
      </w:r>
      <w:r w:rsidRPr="004061C0">
        <w:rPr>
          <w:lang w:val="fr-FR"/>
        </w:rPr>
        <w:tab/>
        <w:t>Exemples de bouteilles d</w:t>
      </w:r>
      <w:r>
        <w:rPr>
          <w:lang w:val="fr-FR"/>
        </w:rPr>
        <w:t>’</w:t>
      </w:r>
      <w:r w:rsidRPr="004061C0">
        <w:rPr>
          <w:lang w:val="fr-FR"/>
        </w:rPr>
        <w:t xml:space="preserve">acétylène sur lesquelles il est impossible </w:t>
      </w:r>
      <w:r>
        <w:rPr>
          <w:lang w:val="fr-FR"/>
        </w:rPr>
        <w:t>d’apposer une nouvelle marque</w:t>
      </w:r>
      <w:r w:rsidRPr="004061C0">
        <w:rPr>
          <w:lang w:val="fr-FR"/>
        </w:rPr>
        <w:t>.</w:t>
      </w:r>
    </w:p>
    <w:p w14:paraId="073E5591" w14:textId="77777777" w:rsidR="00076F71" w:rsidRPr="004061C0" w:rsidRDefault="00076F71" w:rsidP="00076F71">
      <w:pPr>
        <w:pStyle w:val="SingleTxtG"/>
        <w:ind w:left="1494"/>
        <w:rPr>
          <w:lang w:val="fr-FR"/>
        </w:rPr>
      </w:pPr>
      <w:r w:rsidRPr="004061C0">
        <w:rPr>
          <w:noProof/>
          <w:lang w:val="fr-FR"/>
        </w:rPr>
        <w:drawing>
          <wp:inline distT="0" distB="0" distL="0" distR="0" wp14:anchorId="62C1FE47" wp14:editId="4744E580">
            <wp:extent cx="1000125" cy="1333500"/>
            <wp:effectExtent l="0" t="0" r="9525" b="0"/>
            <wp:docPr id="18" name="Picture 18" descr="Une image contenant texte, Artefact, vase, po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Une image contenant texte, Artefact, vase, po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C0">
        <w:rPr>
          <w:noProof/>
          <w:lang w:val="fr-FR"/>
        </w:rPr>
        <w:drawing>
          <wp:inline distT="0" distB="0" distL="0" distR="0" wp14:anchorId="39253512" wp14:editId="6371B7A6">
            <wp:extent cx="981075" cy="1304925"/>
            <wp:effectExtent l="0" t="0" r="9525" b="9525"/>
            <wp:docPr id="17" name="Picture 17" descr="Une image contenant cercle, gris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Une image contenant cercle, gris, rou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C0">
        <w:rPr>
          <w:noProof/>
          <w:lang w:val="fr-FR"/>
        </w:rPr>
        <w:drawing>
          <wp:inline distT="0" distB="0" distL="0" distR="0" wp14:anchorId="1C9F396B" wp14:editId="236A76BE">
            <wp:extent cx="1714500" cy="1285875"/>
            <wp:effectExtent l="0" t="0" r="0" b="9525"/>
            <wp:docPr id="16" name="Picture 16" descr="Une image contenant bouche d’incendie, bouteille, rouge, plein a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Une image contenant bouche d’incendie, bouteille, rouge, plein ai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C0">
        <w:rPr>
          <w:lang w:val="fr-FR"/>
        </w:rPr>
        <w:t xml:space="preserve"> </w:t>
      </w:r>
      <w:r w:rsidRPr="004061C0">
        <w:rPr>
          <w:noProof/>
          <w:lang w:val="fr-FR"/>
        </w:rPr>
        <w:drawing>
          <wp:inline distT="0" distB="0" distL="0" distR="0" wp14:anchorId="465A2BB1" wp14:editId="0C4B08E2">
            <wp:extent cx="1590675" cy="1190625"/>
            <wp:effectExtent l="0" t="0" r="9525" b="9525"/>
            <wp:docPr id="15" name="Picture 15" descr="Une image contenant texte, écriture manuscrite, bouteille, va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Une image contenant texte, écriture manuscrite, bouteille, vas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C0">
        <w:rPr>
          <w:lang w:val="fr-FR"/>
        </w:rPr>
        <w:t xml:space="preserve"> </w:t>
      </w:r>
      <w:r w:rsidRPr="004061C0">
        <w:rPr>
          <w:noProof/>
          <w:lang w:val="fr-FR"/>
        </w:rPr>
        <w:drawing>
          <wp:inline distT="0" distB="0" distL="0" distR="0" wp14:anchorId="35A088F0" wp14:editId="6AB239EC">
            <wp:extent cx="1762125" cy="1314450"/>
            <wp:effectExtent l="0" t="0" r="9525" b="0"/>
            <wp:docPr id="14" name="Picture 14" descr="Une image contenant boisson gazeuse, cylindre, bouteille, po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Une image contenant boisson gazeuse, cylindre, bouteille, po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C0">
        <w:rPr>
          <w:lang w:val="fr-FR"/>
        </w:rPr>
        <w:t xml:space="preserve"> </w:t>
      </w:r>
      <w:r w:rsidRPr="004061C0">
        <w:rPr>
          <w:noProof/>
          <w:lang w:val="fr-FR"/>
        </w:rPr>
        <w:drawing>
          <wp:inline distT="0" distB="0" distL="0" distR="0" wp14:anchorId="526511A9" wp14:editId="07ABAEAC">
            <wp:extent cx="971550" cy="1295400"/>
            <wp:effectExtent l="0" t="0" r="0" b="0"/>
            <wp:docPr id="13" name="Picture 13" descr="Une image contenant cylindre, Pièce auto, gaz, out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Une image contenant cylindre, Pièce auto, gaz, outi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C0">
        <w:rPr>
          <w:noProof/>
          <w:lang w:val="fr-FR"/>
        </w:rPr>
        <w:drawing>
          <wp:inline distT="0" distB="0" distL="0" distR="0" wp14:anchorId="248E932C" wp14:editId="0CB0C6D8">
            <wp:extent cx="1790700" cy="1343025"/>
            <wp:effectExtent l="0" t="0" r="0" b="9525"/>
            <wp:docPr id="12" name="Picture 12" descr="Une image contenant bouteille, bouche d’incendie, cylindre, so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Une image contenant bouteille, bouche d’incendie, cylindre, so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54F5F" w14:textId="77777777" w:rsidR="00076F71" w:rsidRPr="004061C0" w:rsidRDefault="00076F71" w:rsidP="00076F71">
      <w:pPr>
        <w:pStyle w:val="HChG"/>
        <w:rPr>
          <w:lang w:val="fr-FR"/>
        </w:rPr>
      </w:pPr>
      <w:r w:rsidRPr="004061C0">
        <w:rPr>
          <w:bCs/>
          <w:lang w:val="fr-FR"/>
        </w:rPr>
        <w:tab/>
        <w:t>II.</w:t>
      </w:r>
      <w:r w:rsidRPr="004061C0">
        <w:rPr>
          <w:lang w:val="fr-FR"/>
        </w:rPr>
        <w:tab/>
      </w:r>
      <w:r w:rsidRPr="004061C0">
        <w:rPr>
          <w:bCs/>
          <w:lang w:val="fr-FR"/>
        </w:rPr>
        <w:t>Proposition</w:t>
      </w:r>
    </w:p>
    <w:p w14:paraId="32A2FC74" w14:textId="77777777" w:rsidR="00076F71" w:rsidRPr="004061C0" w:rsidRDefault="00076F71" w:rsidP="00076F71">
      <w:pPr>
        <w:pStyle w:val="SingleTxtG"/>
        <w:rPr>
          <w:lang w:val="fr-FR"/>
        </w:rPr>
      </w:pPr>
      <w:r w:rsidRPr="004061C0">
        <w:rPr>
          <w:lang w:val="fr-FR"/>
        </w:rPr>
        <w:t>7.</w:t>
      </w:r>
      <w:r w:rsidRPr="004061C0">
        <w:rPr>
          <w:lang w:val="fr-FR"/>
        </w:rPr>
        <w:tab/>
        <w:t>L</w:t>
      </w:r>
      <w:r>
        <w:rPr>
          <w:lang w:val="fr-FR"/>
        </w:rPr>
        <w:t>’</w:t>
      </w:r>
      <w:r w:rsidRPr="004061C0">
        <w:rPr>
          <w:lang w:val="fr-FR"/>
        </w:rPr>
        <w:t>EIGA propose d</w:t>
      </w:r>
      <w:r>
        <w:rPr>
          <w:lang w:val="fr-FR"/>
        </w:rPr>
        <w:t>’</w:t>
      </w:r>
      <w:r w:rsidRPr="004061C0">
        <w:rPr>
          <w:lang w:val="fr-FR"/>
        </w:rPr>
        <w:t>adopter une nouvelle mesure transitoire libellée comme suit :</w:t>
      </w:r>
    </w:p>
    <w:p w14:paraId="31BBBB3E" w14:textId="5BC22C24" w:rsidR="00076F71" w:rsidRPr="004061C0" w:rsidRDefault="00076F71" w:rsidP="00076F71">
      <w:pPr>
        <w:pStyle w:val="SingleTxtG"/>
        <w:ind w:left="2268" w:hanging="1134"/>
        <w:rPr>
          <w:lang w:val="fr-FR"/>
        </w:rPr>
      </w:pPr>
      <w:r w:rsidRPr="004061C0">
        <w:rPr>
          <w:lang w:val="fr-FR"/>
        </w:rPr>
        <w:t>«</w:t>
      </w:r>
      <w:r>
        <w:rPr>
          <w:lang w:val="fr-FR"/>
        </w:rPr>
        <w:t> </w:t>
      </w:r>
      <w:r w:rsidRPr="004061C0">
        <w:rPr>
          <w:lang w:val="fr-FR"/>
        </w:rPr>
        <w:t>1.6.2.XX</w:t>
      </w:r>
      <w:r w:rsidRPr="004061C0">
        <w:rPr>
          <w:lang w:val="fr-FR"/>
        </w:rPr>
        <w:tab/>
      </w:r>
      <w:r w:rsidRPr="004061C0">
        <w:rPr>
          <w:lang w:val="fr-FR"/>
        </w:rPr>
        <w:tab/>
        <w:t>Les bouteilles d</w:t>
      </w:r>
      <w:r>
        <w:rPr>
          <w:lang w:val="fr-FR"/>
        </w:rPr>
        <w:t>’</w:t>
      </w:r>
      <w:r w:rsidRPr="004061C0">
        <w:rPr>
          <w:lang w:val="fr-FR"/>
        </w:rPr>
        <w:t>acétylène</w:t>
      </w:r>
      <w:r>
        <w:rPr>
          <w:lang w:val="fr-FR"/>
        </w:rPr>
        <w:t xml:space="preserve"> (</w:t>
      </w:r>
      <w:r w:rsidRPr="004061C0">
        <w:rPr>
          <w:lang w:val="fr-FR"/>
        </w:rPr>
        <w:t>récipients à pression « non UN</w:t>
      </w:r>
      <w:r>
        <w:rPr>
          <w:lang w:val="fr-FR"/>
        </w:rPr>
        <w:t> </w:t>
      </w:r>
      <w:r w:rsidRPr="004061C0">
        <w:rPr>
          <w:lang w:val="fr-FR"/>
        </w:rPr>
        <w:t>»</w:t>
      </w:r>
      <w:r>
        <w:rPr>
          <w:lang w:val="fr-FR"/>
        </w:rPr>
        <w:t>)</w:t>
      </w:r>
      <w:r w:rsidRPr="004061C0">
        <w:rPr>
          <w:lang w:val="fr-FR"/>
        </w:rPr>
        <w:t xml:space="preserve"> construites avant le 1</w:t>
      </w:r>
      <w:r w:rsidRPr="00396D75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4061C0">
        <w:rPr>
          <w:lang w:val="fr-FR"/>
        </w:rPr>
        <w:t>juillet 2023 et qui ne sont pas marquées conformément aux alinéas</w:t>
      </w:r>
      <w:r>
        <w:rPr>
          <w:lang w:val="fr-FR"/>
        </w:rPr>
        <w:t> </w:t>
      </w:r>
      <w:r w:rsidRPr="004061C0">
        <w:rPr>
          <w:lang w:val="fr-FR"/>
        </w:rPr>
        <w:t>k) ou</w:t>
      </w:r>
      <w:r>
        <w:rPr>
          <w:lang w:val="fr-FR"/>
        </w:rPr>
        <w:t> </w:t>
      </w:r>
      <w:r w:rsidRPr="004061C0">
        <w:rPr>
          <w:lang w:val="fr-FR"/>
        </w:rPr>
        <w:t>l) du 6.2.2.7.3</w:t>
      </w:r>
      <w:r>
        <w:rPr>
          <w:lang w:val="fr-FR"/>
        </w:rPr>
        <w:t>,</w:t>
      </w:r>
      <w:r w:rsidRPr="004061C0">
        <w:rPr>
          <w:lang w:val="fr-FR"/>
        </w:rPr>
        <w:t xml:space="preserve"> applicables à partir du 1</w:t>
      </w:r>
      <w:r w:rsidRPr="00396D75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4061C0">
        <w:rPr>
          <w:lang w:val="fr-FR"/>
        </w:rPr>
        <w:t>janvier 2023</w:t>
      </w:r>
      <w:r>
        <w:rPr>
          <w:lang w:val="fr-FR"/>
        </w:rPr>
        <w:t>,</w:t>
      </w:r>
      <w:r w:rsidRPr="004061C0">
        <w:rPr>
          <w:lang w:val="fr-FR"/>
        </w:rPr>
        <w:t xml:space="preserve"> peuvent encore être utilisées.</w:t>
      </w:r>
      <w:r>
        <w:rPr>
          <w:lang w:val="fr-FR"/>
        </w:rPr>
        <w:t> ».</w:t>
      </w:r>
    </w:p>
    <w:p w14:paraId="0A0B0FD8" w14:textId="77777777" w:rsidR="00076F71" w:rsidRPr="004061C0" w:rsidRDefault="00076F71" w:rsidP="00076F71">
      <w:pPr>
        <w:pStyle w:val="HChG"/>
        <w:rPr>
          <w:lang w:val="fr-FR"/>
        </w:rPr>
      </w:pPr>
      <w:r w:rsidRPr="004061C0">
        <w:rPr>
          <w:bCs/>
          <w:lang w:val="fr-FR"/>
        </w:rPr>
        <w:tab/>
        <w:t>III.</w:t>
      </w:r>
      <w:r w:rsidRPr="004061C0">
        <w:rPr>
          <w:lang w:val="fr-FR"/>
        </w:rPr>
        <w:tab/>
      </w:r>
      <w:r w:rsidRPr="004061C0">
        <w:rPr>
          <w:bCs/>
          <w:lang w:val="fr-FR"/>
        </w:rPr>
        <w:t>Justification</w:t>
      </w:r>
    </w:p>
    <w:p w14:paraId="656B8E89" w14:textId="77777777" w:rsidR="00076F71" w:rsidRPr="004061C0" w:rsidRDefault="00076F71" w:rsidP="00076F71">
      <w:pPr>
        <w:pStyle w:val="SingleTxtG"/>
        <w:rPr>
          <w:lang w:val="fr-FR"/>
        </w:rPr>
      </w:pPr>
      <w:r w:rsidRPr="004061C0">
        <w:rPr>
          <w:lang w:val="fr-FR"/>
        </w:rPr>
        <w:t>8.</w:t>
      </w:r>
      <w:r w:rsidRPr="004061C0">
        <w:rPr>
          <w:lang w:val="fr-FR"/>
        </w:rPr>
        <w:tab/>
      </w:r>
      <w:r>
        <w:rPr>
          <w:lang w:val="fr-FR"/>
        </w:rPr>
        <w:t>La modification proposée</w:t>
      </w:r>
      <w:r w:rsidRPr="004061C0">
        <w:rPr>
          <w:lang w:val="fr-FR"/>
        </w:rPr>
        <w:t xml:space="preserve"> n</w:t>
      </w:r>
      <w:r>
        <w:rPr>
          <w:lang w:val="fr-FR"/>
        </w:rPr>
        <w:t>’</w:t>
      </w:r>
      <w:r w:rsidRPr="004061C0">
        <w:rPr>
          <w:lang w:val="fr-FR"/>
        </w:rPr>
        <w:t>a aucune incidence sur la sécurité puisque le</w:t>
      </w:r>
      <w:r>
        <w:rPr>
          <w:lang w:val="fr-FR"/>
        </w:rPr>
        <w:t>s opérations du</w:t>
      </w:r>
      <w:r w:rsidRPr="004061C0">
        <w:rPr>
          <w:lang w:val="fr-FR"/>
        </w:rPr>
        <w:t xml:space="preserve"> secteur d</w:t>
      </w:r>
      <w:r>
        <w:rPr>
          <w:lang w:val="fr-FR"/>
        </w:rPr>
        <w:t>’</w:t>
      </w:r>
      <w:r w:rsidRPr="004061C0">
        <w:rPr>
          <w:lang w:val="fr-FR"/>
        </w:rPr>
        <w:t>activité concerné a</w:t>
      </w:r>
      <w:r>
        <w:rPr>
          <w:lang w:val="fr-FR"/>
        </w:rPr>
        <w:t xml:space="preserve">vaient lieu </w:t>
      </w:r>
      <w:r w:rsidRPr="004061C0">
        <w:rPr>
          <w:lang w:val="fr-FR"/>
        </w:rPr>
        <w:t>en toute sécurité avant qu</w:t>
      </w:r>
      <w:r>
        <w:rPr>
          <w:lang w:val="fr-FR"/>
        </w:rPr>
        <w:t>e la marque</w:t>
      </w:r>
      <w:r w:rsidRPr="004061C0">
        <w:rPr>
          <w:lang w:val="fr-FR"/>
        </w:rPr>
        <w:t xml:space="preserve"> ne devienne obligatoire.</w:t>
      </w:r>
    </w:p>
    <w:p w14:paraId="47237E10" w14:textId="77777777" w:rsidR="00076F71" w:rsidRDefault="00076F71" w:rsidP="00076F71">
      <w:pPr>
        <w:pStyle w:val="SingleTxtG"/>
        <w:rPr>
          <w:lang w:val="fr-FR"/>
        </w:rPr>
      </w:pPr>
      <w:r w:rsidRPr="004061C0">
        <w:rPr>
          <w:lang w:val="fr-FR"/>
        </w:rPr>
        <w:t>9.</w:t>
      </w:r>
      <w:r w:rsidRPr="004061C0">
        <w:rPr>
          <w:lang w:val="fr-FR"/>
        </w:rPr>
        <w:tab/>
        <w:t>Le marquage à un endroit non désigné de la bouteille</w:t>
      </w:r>
      <w:r>
        <w:rPr>
          <w:lang w:val="fr-FR"/>
        </w:rPr>
        <w:t>, qui</w:t>
      </w:r>
      <w:r w:rsidRPr="004061C0">
        <w:rPr>
          <w:lang w:val="fr-FR"/>
        </w:rPr>
        <w:t xml:space="preserve"> constitue un risque pour </w:t>
      </w:r>
      <w:r>
        <w:rPr>
          <w:lang w:val="fr-FR"/>
        </w:rPr>
        <w:t>la matière</w:t>
      </w:r>
      <w:r w:rsidRPr="004061C0">
        <w:rPr>
          <w:lang w:val="fr-FR"/>
        </w:rPr>
        <w:t xml:space="preserve"> poreu</w:t>
      </w:r>
      <w:r>
        <w:rPr>
          <w:lang w:val="fr-FR"/>
        </w:rPr>
        <w:t>se,</w:t>
      </w:r>
      <w:r w:rsidRPr="004061C0">
        <w:rPr>
          <w:lang w:val="fr-FR"/>
        </w:rPr>
        <w:t xml:space="preserve"> est interdit. </w:t>
      </w:r>
      <w:r>
        <w:rPr>
          <w:lang w:val="fr-FR"/>
        </w:rPr>
        <w:t>Si cette matière était endommagée, la sécurité de la bouteille serait compromise</w:t>
      </w:r>
      <w:r w:rsidRPr="004061C0">
        <w:rPr>
          <w:lang w:val="fr-FR"/>
        </w:rPr>
        <w:t>.</w:t>
      </w:r>
    </w:p>
    <w:p w14:paraId="0FA8A897" w14:textId="616DAA19" w:rsidR="00F9573C" w:rsidRDefault="00076F71" w:rsidP="00076F71">
      <w:pPr>
        <w:pStyle w:val="SingleTxtG"/>
        <w:rPr>
          <w:lang w:val="fr-FR"/>
        </w:rPr>
      </w:pPr>
      <w:r w:rsidRPr="004061C0">
        <w:rPr>
          <w:lang w:val="fr-FR"/>
        </w:rPr>
        <w:t>10.</w:t>
      </w:r>
      <w:r w:rsidRPr="004061C0">
        <w:rPr>
          <w:lang w:val="fr-FR"/>
        </w:rPr>
        <w:tab/>
        <w:t xml:space="preserve">Le </w:t>
      </w:r>
      <w:r>
        <w:rPr>
          <w:lang w:val="fr-FR"/>
        </w:rPr>
        <w:t>recours à un</w:t>
      </w:r>
      <w:r w:rsidRPr="004061C0">
        <w:rPr>
          <w:lang w:val="fr-FR"/>
        </w:rPr>
        <w:t xml:space="preserve"> autocollant </w:t>
      </w:r>
      <w:r>
        <w:rPr>
          <w:lang w:val="fr-FR"/>
        </w:rPr>
        <w:t>n’est pas une solution pérenne</w:t>
      </w:r>
      <w:r w:rsidRPr="004061C0">
        <w:rPr>
          <w:lang w:val="fr-FR"/>
        </w:rPr>
        <w:t xml:space="preserve"> en raison de l</w:t>
      </w:r>
      <w:r>
        <w:rPr>
          <w:lang w:val="fr-FR"/>
        </w:rPr>
        <w:t>’</w:t>
      </w:r>
      <w:r w:rsidRPr="004061C0">
        <w:rPr>
          <w:lang w:val="fr-FR"/>
        </w:rPr>
        <w:t>exposition aux intempéries.</w:t>
      </w:r>
    </w:p>
    <w:p w14:paraId="52E9A8CA" w14:textId="515DF852" w:rsidR="00076F71" w:rsidRPr="00076F71" w:rsidRDefault="00076F71" w:rsidP="00076F7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76F71" w:rsidRPr="00076F71" w:rsidSect="00076F71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C996" w14:textId="77777777" w:rsidR="006F5524" w:rsidRDefault="006F5524" w:rsidP="00F95C08">
      <w:pPr>
        <w:spacing w:line="240" w:lineRule="auto"/>
      </w:pPr>
    </w:p>
  </w:endnote>
  <w:endnote w:type="continuationSeparator" w:id="0">
    <w:p w14:paraId="34FF8221" w14:textId="77777777" w:rsidR="006F5524" w:rsidRPr="00AC3823" w:rsidRDefault="006F5524" w:rsidP="00AC3823">
      <w:pPr>
        <w:pStyle w:val="Pieddepage"/>
      </w:pPr>
    </w:p>
  </w:endnote>
  <w:endnote w:type="continuationNotice" w:id="1">
    <w:p w14:paraId="513FD47D" w14:textId="77777777" w:rsidR="006F5524" w:rsidRDefault="006F55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346A" w14:textId="77777777" w:rsidR="00076F71" w:rsidRPr="00076F71" w:rsidRDefault="00076F71" w:rsidP="00076F71">
    <w:pPr>
      <w:pStyle w:val="Pieddepage"/>
      <w:tabs>
        <w:tab w:val="right" w:pos="9638"/>
      </w:tabs>
    </w:pPr>
    <w:r w:rsidRPr="00076F71">
      <w:rPr>
        <w:b/>
        <w:sz w:val="18"/>
      </w:rPr>
      <w:fldChar w:fldCharType="begin"/>
    </w:r>
    <w:r w:rsidRPr="00076F71">
      <w:rPr>
        <w:b/>
        <w:sz w:val="18"/>
      </w:rPr>
      <w:instrText xml:space="preserve"> PAGE  \* MERGEFORMAT </w:instrText>
    </w:r>
    <w:r w:rsidRPr="00076F71">
      <w:rPr>
        <w:b/>
        <w:sz w:val="18"/>
      </w:rPr>
      <w:fldChar w:fldCharType="separate"/>
    </w:r>
    <w:r w:rsidRPr="00076F71">
      <w:rPr>
        <w:b/>
        <w:noProof/>
        <w:sz w:val="18"/>
      </w:rPr>
      <w:t>2</w:t>
    </w:r>
    <w:r w:rsidRPr="00076F71">
      <w:rPr>
        <w:b/>
        <w:sz w:val="18"/>
      </w:rPr>
      <w:fldChar w:fldCharType="end"/>
    </w:r>
    <w:r>
      <w:rPr>
        <w:b/>
        <w:sz w:val="18"/>
      </w:rPr>
      <w:tab/>
    </w:r>
    <w:r>
      <w:t>GE.23-25229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A20" w14:textId="77777777" w:rsidR="00076F71" w:rsidRPr="00076F71" w:rsidRDefault="00076F71" w:rsidP="00076F71">
    <w:pPr>
      <w:pStyle w:val="Pieddepage"/>
      <w:tabs>
        <w:tab w:val="right" w:pos="9638"/>
      </w:tabs>
      <w:rPr>
        <w:b/>
        <w:sz w:val="18"/>
      </w:rPr>
    </w:pPr>
    <w:r>
      <w:t>GE.23-25229</w:t>
    </w:r>
    <w:r>
      <w:tab/>
    </w:r>
    <w:r w:rsidRPr="00076F71">
      <w:rPr>
        <w:b/>
        <w:sz w:val="18"/>
      </w:rPr>
      <w:fldChar w:fldCharType="begin"/>
    </w:r>
    <w:r w:rsidRPr="00076F71">
      <w:rPr>
        <w:b/>
        <w:sz w:val="18"/>
      </w:rPr>
      <w:instrText xml:space="preserve"> PAGE  \* MERGEFORMAT </w:instrText>
    </w:r>
    <w:r w:rsidRPr="00076F71">
      <w:rPr>
        <w:b/>
        <w:sz w:val="18"/>
      </w:rPr>
      <w:fldChar w:fldCharType="separate"/>
    </w:r>
    <w:r w:rsidRPr="00076F71">
      <w:rPr>
        <w:b/>
        <w:noProof/>
        <w:sz w:val="18"/>
      </w:rPr>
      <w:t>3</w:t>
    </w:r>
    <w:r w:rsidRPr="00076F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F495" w14:textId="7F88B999" w:rsidR="007F20FA" w:rsidRPr="00076F71" w:rsidRDefault="00076F71" w:rsidP="00076F7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C90E5F0" wp14:editId="4DD1E07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23-25229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42DB2D9" wp14:editId="4833261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01430587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110124    110124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7AE1" w14:textId="77777777" w:rsidR="006F5524" w:rsidRPr="00AC3823" w:rsidRDefault="006F55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E97CA5" w14:textId="77777777" w:rsidR="006F5524" w:rsidRPr="00AC3823" w:rsidRDefault="006F55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5643C1" w14:textId="77777777" w:rsidR="006F5524" w:rsidRPr="00AC3823" w:rsidRDefault="006F5524">
      <w:pPr>
        <w:spacing w:line="240" w:lineRule="auto"/>
        <w:rPr>
          <w:sz w:val="2"/>
          <w:szCs w:val="2"/>
        </w:rPr>
      </w:pPr>
    </w:p>
  </w:footnote>
  <w:footnote w:id="2">
    <w:p w14:paraId="1C90253E" w14:textId="6F2336C9" w:rsidR="00076F71" w:rsidRPr="00076F71" w:rsidRDefault="00076F71">
      <w:pPr>
        <w:pStyle w:val="Notedebasdepage"/>
      </w:pPr>
      <w:r>
        <w:rPr>
          <w:rStyle w:val="Appelnotedebasdep"/>
        </w:rPr>
        <w:tab/>
      </w:r>
      <w:r w:rsidRPr="00076F7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</w:t>
      </w:r>
      <w:r>
        <w:rPr>
          <w:lang w:val="fr-FR"/>
        </w:rPr>
        <w:t> </w:t>
      </w:r>
      <w:r>
        <w:rPr>
          <w:lang w:val="fr-FR"/>
        </w:rPr>
        <w:t>20), tableau 20.5</w:t>
      </w:r>
      <w:r>
        <w:rPr>
          <w:lang w:val="fr-FR"/>
        </w:rPr>
        <w:t>.</w:t>
      </w:r>
    </w:p>
  </w:footnote>
  <w:footnote w:id="3">
    <w:p w14:paraId="034ACF89" w14:textId="101B5F47" w:rsidR="00076F71" w:rsidRPr="00076F71" w:rsidRDefault="00076F71">
      <w:pPr>
        <w:pStyle w:val="Notedebasdepage"/>
      </w:pPr>
      <w:r>
        <w:rPr>
          <w:rStyle w:val="Appelnotedebasdep"/>
        </w:rPr>
        <w:tab/>
      </w:r>
      <w:r w:rsidRPr="00076F71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OTIF/RID/RC/2024/4.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F4AB" w14:textId="77777777" w:rsidR="00076F71" w:rsidRPr="00076F71" w:rsidRDefault="00076F71">
    <w:pPr>
      <w:pStyle w:val="En-tte"/>
    </w:pPr>
    <w:fldSimple w:instr=" TITLE  \* MERGEFORMAT ">
      <w:r>
        <w:t>ECE/TRANS/WP.15/AC.1/2024/4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2A89" w14:textId="77777777" w:rsidR="00076F71" w:rsidRPr="00076F71" w:rsidRDefault="00076F71" w:rsidP="00076F71">
    <w:pPr>
      <w:pStyle w:val="En-tte"/>
      <w:jc w:val="right"/>
    </w:pPr>
    <w:fldSimple w:instr=" TITLE  \* MERGEFORMAT ">
      <w:r>
        <w:t>ECE/TRANS/WP.15/AC.1/2024/4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26878868">
    <w:abstractNumId w:val="12"/>
  </w:num>
  <w:num w:numId="2" w16cid:durableId="1367872408">
    <w:abstractNumId w:val="11"/>
  </w:num>
  <w:num w:numId="3" w16cid:durableId="318728244">
    <w:abstractNumId w:val="10"/>
  </w:num>
  <w:num w:numId="4" w16cid:durableId="868374887">
    <w:abstractNumId w:val="8"/>
  </w:num>
  <w:num w:numId="5" w16cid:durableId="1131944952">
    <w:abstractNumId w:val="3"/>
  </w:num>
  <w:num w:numId="6" w16cid:durableId="9645319">
    <w:abstractNumId w:val="2"/>
  </w:num>
  <w:num w:numId="7" w16cid:durableId="1876427853">
    <w:abstractNumId w:val="1"/>
  </w:num>
  <w:num w:numId="8" w16cid:durableId="521014621">
    <w:abstractNumId w:val="0"/>
  </w:num>
  <w:num w:numId="9" w16cid:durableId="1163082240">
    <w:abstractNumId w:val="9"/>
  </w:num>
  <w:num w:numId="10" w16cid:durableId="561451458">
    <w:abstractNumId w:val="7"/>
  </w:num>
  <w:num w:numId="11" w16cid:durableId="1775513839">
    <w:abstractNumId w:val="6"/>
  </w:num>
  <w:num w:numId="12" w16cid:durableId="1551764786">
    <w:abstractNumId w:val="5"/>
  </w:num>
  <w:num w:numId="13" w16cid:durableId="1696078081">
    <w:abstractNumId w:val="4"/>
  </w:num>
  <w:num w:numId="14" w16cid:durableId="246154956">
    <w:abstractNumId w:val="12"/>
  </w:num>
  <w:num w:numId="15" w16cid:durableId="418871572">
    <w:abstractNumId w:val="11"/>
  </w:num>
  <w:num w:numId="16" w16cid:durableId="1919944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24"/>
    <w:rsid w:val="00017F94"/>
    <w:rsid w:val="00023842"/>
    <w:rsid w:val="000334F9"/>
    <w:rsid w:val="00045FEB"/>
    <w:rsid w:val="00076F71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42CF0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F5524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CD228"/>
  <w15:docId w15:val="{BF3B36F3-ABD0-426A-8EE7-8D49417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076F7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AA31B-7629-4E7A-9F0B-4C9CE1F844F9}"/>
</file>

<file path=customXml/itemProps2.xml><?xml version="1.0" encoding="utf-8"?>
<ds:datastoreItem xmlns:ds="http://schemas.openxmlformats.org/officeDocument/2006/customXml" ds:itemID="{F0472BD5-B119-43AE-AE39-BD1E85355BD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461</Words>
  <Characters>2618</Characters>
  <Application>Microsoft Office Word</Application>
  <DocSecurity>0</DocSecurity>
  <Lines>62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ECE/TRANS/WP.15/AC.1/2024/4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2024-01-11T09:51:00Z</dcterms:created>
  <dcterms:modified xsi:type="dcterms:W3CDTF">2024-01-11T09:51:00Z</dcterms:modified>
</cp:coreProperties>
</file>