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610276" w14:paraId="60899346" w14:textId="77777777" w:rsidTr="21FF00CF">
        <w:trPr>
          <w:cantSplit/>
          <w:trHeight w:hRule="exact" w:val="851"/>
        </w:trPr>
        <w:tc>
          <w:tcPr>
            <w:tcW w:w="1276" w:type="dxa"/>
            <w:tcBorders>
              <w:bottom w:val="single" w:sz="4" w:space="0" w:color="auto"/>
            </w:tcBorders>
            <w:vAlign w:val="bottom"/>
          </w:tcPr>
          <w:p w14:paraId="60899343" w14:textId="77777777" w:rsidR="009E6CB7" w:rsidRPr="00610276" w:rsidRDefault="009E6CB7" w:rsidP="00B20551">
            <w:pPr>
              <w:spacing w:after="80"/>
            </w:pPr>
          </w:p>
        </w:tc>
        <w:tc>
          <w:tcPr>
            <w:tcW w:w="2268" w:type="dxa"/>
            <w:tcBorders>
              <w:bottom w:val="single" w:sz="4" w:space="0" w:color="auto"/>
            </w:tcBorders>
            <w:vAlign w:val="bottom"/>
          </w:tcPr>
          <w:p w14:paraId="60899344" w14:textId="77777777" w:rsidR="009E6CB7" w:rsidRPr="00610276" w:rsidRDefault="009E6CB7" w:rsidP="00B20551">
            <w:pPr>
              <w:spacing w:after="80" w:line="300" w:lineRule="exact"/>
              <w:rPr>
                <w:b/>
                <w:sz w:val="24"/>
                <w:szCs w:val="24"/>
              </w:rPr>
            </w:pPr>
            <w:r w:rsidRPr="00610276">
              <w:rPr>
                <w:sz w:val="28"/>
                <w:szCs w:val="28"/>
              </w:rPr>
              <w:t>United Nations</w:t>
            </w:r>
          </w:p>
        </w:tc>
        <w:tc>
          <w:tcPr>
            <w:tcW w:w="6095" w:type="dxa"/>
            <w:gridSpan w:val="2"/>
            <w:tcBorders>
              <w:bottom w:val="single" w:sz="4" w:space="0" w:color="auto"/>
            </w:tcBorders>
            <w:vAlign w:val="bottom"/>
          </w:tcPr>
          <w:p w14:paraId="60899345" w14:textId="6DB6EAC5" w:rsidR="009E6CB7" w:rsidRPr="00610276" w:rsidRDefault="0091690A" w:rsidP="00954785">
            <w:pPr>
              <w:jc w:val="right"/>
            </w:pPr>
            <w:r w:rsidRPr="00610276">
              <w:rPr>
                <w:sz w:val="40"/>
              </w:rPr>
              <w:t>ECE</w:t>
            </w:r>
            <w:r w:rsidRPr="00610276">
              <w:t>/TRANS/202</w:t>
            </w:r>
            <w:r w:rsidR="00786321">
              <w:t>4</w:t>
            </w:r>
            <w:r w:rsidRPr="00610276">
              <w:t>/</w:t>
            </w:r>
            <w:r w:rsidR="00F95212">
              <w:t>2</w:t>
            </w:r>
            <w:r w:rsidR="002464C4">
              <w:t>4</w:t>
            </w:r>
          </w:p>
        </w:tc>
      </w:tr>
      <w:tr w:rsidR="00FF02F5" w:rsidRPr="00610276" w14:paraId="6089934D" w14:textId="77777777" w:rsidTr="21FF00CF">
        <w:trPr>
          <w:cantSplit/>
          <w:trHeight w:hRule="exact" w:val="2835"/>
        </w:trPr>
        <w:tc>
          <w:tcPr>
            <w:tcW w:w="1276" w:type="dxa"/>
            <w:tcBorders>
              <w:top w:val="single" w:sz="4" w:space="0" w:color="auto"/>
              <w:bottom w:val="single" w:sz="12" w:space="0" w:color="auto"/>
            </w:tcBorders>
          </w:tcPr>
          <w:p w14:paraId="60899347" w14:textId="77777777" w:rsidR="009E6CB7" w:rsidRPr="00610276" w:rsidRDefault="00686A48" w:rsidP="00B20551">
            <w:pPr>
              <w:spacing w:before="120"/>
            </w:pPr>
            <w:r w:rsidRPr="00E70EE1">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610276" w:rsidRDefault="009E6CB7" w:rsidP="00B20551">
            <w:pPr>
              <w:spacing w:before="120" w:line="420" w:lineRule="exact"/>
              <w:rPr>
                <w:sz w:val="40"/>
                <w:szCs w:val="40"/>
              </w:rPr>
            </w:pPr>
            <w:r w:rsidRPr="00610276">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610276" w:rsidRDefault="00954785" w:rsidP="00954785">
            <w:pPr>
              <w:spacing w:before="240" w:line="240" w:lineRule="exact"/>
            </w:pPr>
            <w:r w:rsidRPr="00610276">
              <w:t>Distr.: General</w:t>
            </w:r>
          </w:p>
          <w:p w14:paraId="6089934A" w14:textId="37043407" w:rsidR="00954785" w:rsidRPr="00610276" w:rsidRDefault="009D221F" w:rsidP="00954785">
            <w:pPr>
              <w:spacing w:line="240" w:lineRule="exact"/>
            </w:pPr>
            <w:r>
              <w:t>8</w:t>
            </w:r>
            <w:r w:rsidR="006E07E5" w:rsidRPr="006C0288">
              <w:t xml:space="preserve"> December</w:t>
            </w:r>
            <w:r w:rsidR="00CD3488" w:rsidRPr="006C0288">
              <w:t xml:space="preserve"> </w:t>
            </w:r>
            <w:r w:rsidR="00954785" w:rsidRPr="00610276">
              <w:t>20</w:t>
            </w:r>
            <w:r w:rsidR="006B3ABA" w:rsidRPr="00610276">
              <w:t>2</w:t>
            </w:r>
            <w:r w:rsidR="00F444EC">
              <w:t>3</w:t>
            </w:r>
          </w:p>
          <w:p w14:paraId="6089934B" w14:textId="77777777" w:rsidR="00954785" w:rsidRPr="00610276" w:rsidRDefault="00954785" w:rsidP="00954785">
            <w:pPr>
              <w:spacing w:line="240" w:lineRule="exact"/>
            </w:pPr>
          </w:p>
          <w:p w14:paraId="6089934C" w14:textId="77777777" w:rsidR="00954785" w:rsidRPr="00610276" w:rsidRDefault="00954785" w:rsidP="00954785">
            <w:pPr>
              <w:spacing w:line="240" w:lineRule="exact"/>
            </w:pPr>
            <w:r w:rsidRPr="00610276">
              <w:t>Original: English</w:t>
            </w:r>
          </w:p>
        </w:tc>
      </w:tr>
    </w:tbl>
    <w:p w14:paraId="66E2285D" w14:textId="77777777" w:rsidR="00F91B03" w:rsidRPr="00610276" w:rsidRDefault="00F91B03" w:rsidP="00F91B03">
      <w:pPr>
        <w:spacing w:before="120"/>
        <w:rPr>
          <w:b/>
          <w:bCs/>
          <w:sz w:val="28"/>
          <w:szCs w:val="28"/>
        </w:rPr>
      </w:pPr>
      <w:r w:rsidRPr="00610276">
        <w:rPr>
          <w:b/>
          <w:bCs/>
          <w:sz w:val="28"/>
          <w:szCs w:val="28"/>
        </w:rPr>
        <w:t>Economic Commission for Europe</w:t>
      </w:r>
    </w:p>
    <w:p w14:paraId="0D336BDA" w14:textId="77777777" w:rsidR="00F91B03" w:rsidRPr="00610276" w:rsidRDefault="00F91B03" w:rsidP="00F91B03">
      <w:pPr>
        <w:spacing w:before="120"/>
        <w:rPr>
          <w:sz w:val="28"/>
          <w:szCs w:val="28"/>
        </w:rPr>
      </w:pPr>
      <w:r w:rsidRPr="00610276">
        <w:rPr>
          <w:sz w:val="28"/>
          <w:szCs w:val="28"/>
        </w:rPr>
        <w:t>Inland Transport Committee</w:t>
      </w:r>
    </w:p>
    <w:p w14:paraId="08BD4B89" w14:textId="3A153CAC" w:rsidR="00F91B03" w:rsidRPr="00610276" w:rsidRDefault="00F91B03" w:rsidP="00F91B03">
      <w:pPr>
        <w:spacing w:before="120"/>
        <w:rPr>
          <w:b/>
          <w:bCs/>
        </w:rPr>
      </w:pPr>
      <w:r w:rsidRPr="00610276">
        <w:rPr>
          <w:b/>
          <w:bCs/>
        </w:rPr>
        <w:t>Eighty-</w:t>
      </w:r>
      <w:r w:rsidR="00C13037">
        <w:rPr>
          <w:b/>
          <w:bCs/>
        </w:rPr>
        <w:t>six</w:t>
      </w:r>
      <w:r w:rsidR="00E97356" w:rsidRPr="00610276">
        <w:rPr>
          <w:b/>
          <w:bCs/>
        </w:rPr>
        <w:t>th</w:t>
      </w:r>
      <w:r w:rsidRPr="00610276">
        <w:rPr>
          <w:b/>
          <w:bCs/>
        </w:rPr>
        <w:t xml:space="preserve"> session</w:t>
      </w:r>
    </w:p>
    <w:p w14:paraId="6107893B" w14:textId="60558C19" w:rsidR="00F91B03" w:rsidRPr="00610276" w:rsidRDefault="00F91B03" w:rsidP="00F91B03">
      <w:pPr>
        <w:rPr>
          <w:b/>
          <w:bCs/>
        </w:rPr>
      </w:pPr>
      <w:r w:rsidRPr="004A530C">
        <w:t>Geneva, 2</w:t>
      </w:r>
      <w:r w:rsidR="00892800">
        <w:t>0</w:t>
      </w:r>
      <w:r w:rsidR="009D221F">
        <w:t>-</w:t>
      </w:r>
      <w:r w:rsidRPr="004A530C">
        <w:t>2</w:t>
      </w:r>
      <w:r w:rsidR="00892800">
        <w:t>3</w:t>
      </w:r>
      <w:r w:rsidRPr="004A530C">
        <w:t xml:space="preserve"> February 202</w:t>
      </w:r>
      <w:r w:rsidR="007B6F7C">
        <w:t>4</w:t>
      </w:r>
      <w:r w:rsidRPr="004A530C">
        <w:br/>
        <w:t xml:space="preserve">Item </w:t>
      </w:r>
      <w:r w:rsidR="00786321">
        <w:t>10</w:t>
      </w:r>
      <w:r w:rsidRPr="004A530C">
        <w:t xml:space="preserve"> (</w:t>
      </w:r>
      <w:r w:rsidR="00F61D85" w:rsidRPr="004A530C">
        <w:t>k</w:t>
      </w:r>
      <w:r w:rsidRPr="004A530C">
        <w:t>) of the provisional agenda</w:t>
      </w:r>
      <w:r w:rsidRPr="004A530C">
        <w:br/>
      </w:r>
      <w:r w:rsidR="009D221F" w:rsidRPr="004A530C">
        <w:rPr>
          <w:b/>
          <w:bCs/>
        </w:rPr>
        <w:t>Strategic</w:t>
      </w:r>
      <w:r w:rsidR="009D221F" w:rsidRPr="00610276">
        <w:rPr>
          <w:b/>
          <w:bCs/>
        </w:rPr>
        <w:t xml:space="preserve"> </w:t>
      </w:r>
      <w:r w:rsidR="009D221F">
        <w:rPr>
          <w:b/>
          <w:bCs/>
        </w:rPr>
        <w:t>q</w:t>
      </w:r>
      <w:r w:rsidR="009D221F" w:rsidRPr="00610276">
        <w:rPr>
          <w:b/>
          <w:bCs/>
        </w:rPr>
        <w:t xml:space="preserve">uestions of a </w:t>
      </w:r>
      <w:r w:rsidR="009D221F">
        <w:rPr>
          <w:b/>
          <w:bCs/>
        </w:rPr>
        <w:t>h</w:t>
      </w:r>
      <w:r w:rsidR="009D221F" w:rsidRPr="00610276">
        <w:rPr>
          <w:b/>
          <w:bCs/>
        </w:rPr>
        <w:t xml:space="preserve">orizontal and </w:t>
      </w:r>
      <w:r w:rsidR="009D221F" w:rsidRPr="00610276">
        <w:rPr>
          <w:b/>
          <w:bCs/>
        </w:rPr>
        <w:br/>
      </w:r>
      <w:r w:rsidR="009D221F">
        <w:rPr>
          <w:b/>
          <w:bCs/>
        </w:rPr>
        <w:t>c</w:t>
      </w:r>
      <w:r w:rsidR="009D221F" w:rsidRPr="00610276">
        <w:rPr>
          <w:b/>
          <w:bCs/>
        </w:rPr>
        <w:t>ross-</w:t>
      </w:r>
      <w:r w:rsidR="009D221F">
        <w:rPr>
          <w:b/>
          <w:bCs/>
        </w:rPr>
        <w:t>s</w:t>
      </w:r>
      <w:r w:rsidR="009D221F" w:rsidRPr="00610276">
        <w:rPr>
          <w:b/>
          <w:bCs/>
        </w:rPr>
        <w:t xml:space="preserve">ectoral </w:t>
      </w:r>
      <w:r w:rsidR="009D221F">
        <w:rPr>
          <w:b/>
          <w:bCs/>
        </w:rPr>
        <w:t>p</w:t>
      </w:r>
      <w:r w:rsidR="009D221F" w:rsidRPr="00610276">
        <w:rPr>
          <w:b/>
          <w:bCs/>
        </w:rPr>
        <w:t xml:space="preserve">olicy or </w:t>
      </w:r>
      <w:r w:rsidR="009D221F">
        <w:rPr>
          <w:b/>
          <w:bCs/>
        </w:rPr>
        <w:t>r</w:t>
      </w:r>
      <w:r w:rsidR="009D221F" w:rsidRPr="00610276">
        <w:rPr>
          <w:b/>
          <w:bCs/>
        </w:rPr>
        <w:t xml:space="preserve">egulatory </w:t>
      </w:r>
      <w:r w:rsidR="009D221F">
        <w:rPr>
          <w:b/>
          <w:bCs/>
        </w:rPr>
        <w:t>n</w:t>
      </w:r>
      <w:r w:rsidR="009D221F" w:rsidRPr="00610276">
        <w:rPr>
          <w:b/>
          <w:bCs/>
        </w:rPr>
        <w:t>ature:</w:t>
      </w:r>
      <w:r w:rsidR="009D221F" w:rsidRPr="00610276">
        <w:rPr>
          <w:b/>
          <w:bCs/>
        </w:rPr>
        <w:br/>
      </w:r>
      <w:r w:rsidRPr="00610276">
        <w:rPr>
          <w:b/>
          <w:bCs/>
        </w:rPr>
        <w:t xml:space="preserve">Harmonization of </w:t>
      </w:r>
      <w:r w:rsidR="007B2DE4">
        <w:rPr>
          <w:b/>
          <w:bCs/>
        </w:rPr>
        <w:t>v</w:t>
      </w:r>
      <w:r w:rsidR="007B2DE4" w:rsidRPr="00610276">
        <w:rPr>
          <w:b/>
          <w:bCs/>
        </w:rPr>
        <w:t xml:space="preserve">ehicle </w:t>
      </w:r>
      <w:r w:rsidR="007B2DE4">
        <w:rPr>
          <w:b/>
          <w:bCs/>
        </w:rPr>
        <w:t>r</w:t>
      </w:r>
      <w:r w:rsidR="007B2DE4" w:rsidRPr="00610276">
        <w:rPr>
          <w:b/>
          <w:bCs/>
        </w:rPr>
        <w:t>egulations</w:t>
      </w:r>
    </w:p>
    <w:p w14:paraId="79287AB1" w14:textId="56C89830" w:rsidR="00F91B03" w:rsidRPr="00610276" w:rsidRDefault="00F91B03" w:rsidP="00204A09">
      <w:pPr>
        <w:pStyle w:val="HChG"/>
      </w:pPr>
      <w:r w:rsidRPr="00610276">
        <w:tab/>
      </w:r>
      <w:r w:rsidRPr="00610276">
        <w:tab/>
        <w:t xml:space="preserve">Latest </w:t>
      </w:r>
      <w:r w:rsidR="00204A09" w:rsidRPr="00610276">
        <w:t>d</w:t>
      </w:r>
      <w:r w:rsidRPr="00610276">
        <w:t>evelopments in Vehicle Regulations</w:t>
      </w:r>
    </w:p>
    <w:p w14:paraId="20F7C579" w14:textId="730B4B71" w:rsidR="00F91B03" w:rsidRDefault="00F91B03" w:rsidP="00204A09">
      <w:pPr>
        <w:pStyle w:val="H1G"/>
      </w:pPr>
      <w:r w:rsidRPr="00610276">
        <w:tab/>
      </w:r>
      <w:r w:rsidRPr="00610276">
        <w:tab/>
        <w:t xml:space="preserve">Note by the </w:t>
      </w:r>
      <w:proofErr w:type="gramStart"/>
      <w:r w:rsidRPr="00610276">
        <w:t>secretariat</w:t>
      </w:r>
      <w:proofErr w:type="gramEnd"/>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F91B03" w:rsidRPr="00610276" w14:paraId="56A996CD" w14:textId="77777777" w:rsidTr="21FF00CF">
        <w:trPr>
          <w:trHeight w:val="481"/>
          <w:jc w:val="center"/>
        </w:trPr>
        <w:tc>
          <w:tcPr>
            <w:tcW w:w="9629" w:type="dxa"/>
            <w:shd w:val="clear" w:color="auto" w:fill="auto"/>
          </w:tcPr>
          <w:p w14:paraId="5C5F7F75" w14:textId="77777777" w:rsidR="00F91B03" w:rsidRPr="006C0288" w:rsidRDefault="00F91B03" w:rsidP="000B7022">
            <w:pPr>
              <w:spacing w:before="240" w:after="120"/>
              <w:ind w:left="255"/>
              <w:rPr>
                <w:rFonts w:eastAsia="Times New Roman Bold"/>
                <w:i/>
                <w:sz w:val="24"/>
              </w:rPr>
            </w:pPr>
            <w:r w:rsidRPr="00CE4154">
              <w:rPr>
                <w:rFonts w:eastAsia="Times New Roman Bold"/>
                <w:i/>
                <w:sz w:val="24"/>
              </w:rPr>
              <w:t>Summary</w:t>
            </w:r>
          </w:p>
        </w:tc>
      </w:tr>
      <w:tr w:rsidR="00F91B03" w:rsidRPr="00610276" w14:paraId="1B1E977F" w14:textId="77777777" w:rsidTr="21FF00CF">
        <w:trPr>
          <w:jc w:val="center"/>
        </w:trPr>
        <w:tc>
          <w:tcPr>
            <w:tcW w:w="9629" w:type="dxa"/>
            <w:shd w:val="clear" w:color="auto" w:fill="auto"/>
          </w:tcPr>
          <w:p w14:paraId="430B1482" w14:textId="131A03DD" w:rsidR="00F91B03" w:rsidRPr="00610276" w:rsidRDefault="00F91B03" w:rsidP="00E4366D">
            <w:pPr>
              <w:pStyle w:val="SingleTxtG"/>
            </w:pPr>
            <w:r w:rsidRPr="00610276">
              <w:tab/>
            </w:r>
            <w:r w:rsidR="003802F8">
              <w:tab/>
            </w:r>
            <w:r w:rsidRPr="00610276">
              <w:t>The work in the World Forum for Harmonization of Vehicle Regulations (WP.29</w:t>
            </w:r>
            <w:r w:rsidR="0005538C">
              <w:t xml:space="preserve"> or the World Forum</w:t>
            </w:r>
            <w:r w:rsidRPr="00610276">
              <w:t xml:space="preserve">) continued to strengthen vehicle safety and environmental protection, resulting in numerous new and amended vehicle regulations and rules under the 1958, 1997 and the 1998 Agreements. </w:t>
            </w:r>
          </w:p>
        </w:tc>
      </w:tr>
      <w:tr w:rsidR="00F91B03" w:rsidRPr="00610276" w14:paraId="34C49885" w14:textId="77777777" w:rsidTr="21FF00CF">
        <w:trPr>
          <w:jc w:val="center"/>
        </w:trPr>
        <w:tc>
          <w:tcPr>
            <w:tcW w:w="9629" w:type="dxa"/>
            <w:shd w:val="clear" w:color="auto" w:fill="auto"/>
          </w:tcPr>
          <w:p w14:paraId="4534A3B3" w14:textId="6812FA12" w:rsidR="00F444EC" w:rsidRDefault="00F91B03" w:rsidP="00E4366D">
            <w:pPr>
              <w:pStyle w:val="SingleTxtG"/>
            </w:pPr>
            <w:r w:rsidRPr="00610276">
              <w:tab/>
            </w:r>
            <w:r w:rsidR="003802F8">
              <w:tab/>
            </w:r>
            <w:r w:rsidRPr="00610276">
              <w:rPr>
                <w:spacing w:val="-2"/>
              </w:rPr>
              <w:t>I</w:t>
            </w:r>
            <w:r w:rsidRPr="00610276">
              <w:rPr>
                <w:rFonts w:eastAsia="Calibri"/>
                <w:spacing w:val="-2"/>
                <w:u w:color="000000"/>
              </w:rPr>
              <w:t xml:space="preserve">mportant topics </w:t>
            </w:r>
            <w:r w:rsidR="000103B8">
              <w:rPr>
                <w:rFonts w:eastAsia="Calibri"/>
                <w:spacing w:val="-2"/>
                <w:u w:color="000000"/>
              </w:rPr>
              <w:t>in 202</w:t>
            </w:r>
            <w:r w:rsidR="00892800">
              <w:rPr>
                <w:rFonts w:eastAsia="Calibri"/>
                <w:spacing w:val="-2"/>
                <w:u w:color="000000"/>
              </w:rPr>
              <w:t>3</w:t>
            </w:r>
            <w:r w:rsidR="000103B8">
              <w:rPr>
                <w:rFonts w:eastAsia="Calibri"/>
                <w:spacing w:val="-2"/>
                <w:u w:color="000000"/>
              </w:rPr>
              <w:t xml:space="preserve"> </w:t>
            </w:r>
            <w:r w:rsidRPr="00610276">
              <w:rPr>
                <w:rFonts w:eastAsia="Calibri"/>
                <w:spacing w:val="-2"/>
                <w:u w:color="000000"/>
              </w:rPr>
              <w:t xml:space="preserve">were the </w:t>
            </w:r>
            <w:r w:rsidR="00D823D4">
              <w:rPr>
                <w:rFonts w:eastAsia="Calibri"/>
                <w:spacing w:val="-2"/>
                <w:u w:color="000000"/>
              </w:rPr>
              <w:t>entry into force</w:t>
            </w:r>
            <w:r w:rsidRPr="00610276">
              <w:rPr>
                <w:rFonts w:eastAsia="Calibri"/>
                <w:spacing w:val="-2"/>
                <w:u w:color="000000"/>
              </w:rPr>
              <w:t xml:space="preserve"> </w:t>
            </w:r>
            <w:r w:rsidRPr="00610276">
              <w:t xml:space="preserve">of a set of </w:t>
            </w:r>
            <w:r w:rsidR="00384419">
              <w:rPr>
                <w:rFonts w:asciiTheme="majorBidi" w:hAnsiTheme="majorBidi" w:cstheme="majorBidi"/>
              </w:rPr>
              <w:t xml:space="preserve">United Nations </w:t>
            </w:r>
            <w:r w:rsidR="00E1433D">
              <w:rPr>
                <w:rFonts w:asciiTheme="majorBidi" w:hAnsiTheme="majorBidi" w:cstheme="majorBidi"/>
              </w:rPr>
              <w:t xml:space="preserve">Regulations </w:t>
            </w:r>
            <w:r w:rsidR="00384419">
              <w:rPr>
                <w:rFonts w:asciiTheme="majorBidi" w:hAnsiTheme="majorBidi" w:cstheme="majorBidi"/>
              </w:rPr>
              <w:t>(</w:t>
            </w:r>
            <w:r w:rsidRPr="00610276">
              <w:t>UN</w:t>
            </w:r>
            <w:r w:rsidR="00E1433D">
              <w:t xml:space="preserve"> Regulations</w:t>
            </w:r>
            <w:r w:rsidR="00384419">
              <w:t>)</w:t>
            </w:r>
            <w:r w:rsidRPr="00610276">
              <w:t xml:space="preserve"> </w:t>
            </w:r>
            <w:r w:rsidR="00D626CE" w:rsidRPr="00610276">
              <w:t>for better protection of vulnerable road users</w:t>
            </w:r>
            <w:r w:rsidR="00A0363E" w:rsidRPr="00610276">
              <w:t>,</w:t>
            </w:r>
            <w:r w:rsidR="00EC4AF0">
              <w:t xml:space="preserve"> </w:t>
            </w:r>
            <w:r w:rsidR="008041D8">
              <w:t xml:space="preserve">in particular </w:t>
            </w:r>
            <w:r w:rsidR="00EC4AF0">
              <w:t>the establishment of</w:t>
            </w:r>
            <w:r w:rsidR="00C31C9B">
              <w:t xml:space="preserve"> </w:t>
            </w:r>
            <w:r w:rsidR="003F28DE">
              <w:t>n</w:t>
            </w:r>
            <w:r w:rsidR="00C31C9B" w:rsidRPr="00A77936">
              <w:t>ew</w:t>
            </w:r>
            <w:r w:rsidR="00F444EC">
              <w:t>:</w:t>
            </w:r>
          </w:p>
          <w:p w14:paraId="048B6FEC" w14:textId="064831DA" w:rsidR="00F444EC" w:rsidRDefault="007757FE" w:rsidP="00F444EC">
            <w:pPr>
              <w:tabs>
                <w:tab w:val="left" w:pos="1700"/>
              </w:tabs>
              <w:spacing w:after="120"/>
              <w:ind w:left="1134" w:right="1134"/>
              <w:jc w:val="both"/>
            </w:pPr>
            <w:r>
              <w:tab/>
            </w:r>
            <w:r w:rsidR="00F23011">
              <w:t>(</w:t>
            </w:r>
            <w:r w:rsidR="00312756">
              <w:t>a</w:t>
            </w:r>
            <w:r w:rsidR="00F23011">
              <w:t>)</w:t>
            </w:r>
            <w:r w:rsidR="00F444EC" w:rsidRPr="00610276">
              <w:rPr>
                <w:rFonts w:eastAsia="Calibri"/>
                <w:u w:color="000000"/>
              </w:rPr>
              <w:tab/>
            </w:r>
            <w:r w:rsidR="003F28DE">
              <w:t>UN</w:t>
            </w:r>
            <w:r w:rsidR="00C31C9B" w:rsidRPr="00A77936">
              <w:t xml:space="preserve"> Regulation on global Real Driving Emissions</w:t>
            </w:r>
            <w:r w:rsidR="00F23011">
              <w:t>,</w:t>
            </w:r>
          </w:p>
          <w:p w14:paraId="0ED3A232" w14:textId="64EBBDF4" w:rsidR="00F444EC" w:rsidRDefault="007757FE" w:rsidP="00CB675E">
            <w:pPr>
              <w:spacing w:after="120"/>
              <w:ind w:left="1134" w:right="1134"/>
              <w:jc w:val="lowKashida"/>
            </w:pPr>
            <w:r>
              <w:tab/>
            </w:r>
            <w:r>
              <w:tab/>
            </w:r>
            <w:r w:rsidR="00F23011">
              <w:t>(</w:t>
            </w:r>
            <w:r w:rsidR="00312756">
              <w:t>b</w:t>
            </w:r>
            <w:r w:rsidR="00F23011">
              <w:t>)</w:t>
            </w:r>
            <w:r w:rsidR="00F444EC" w:rsidRPr="00610276">
              <w:rPr>
                <w:rFonts w:eastAsia="Calibri"/>
                <w:u w:color="000000"/>
              </w:rPr>
              <w:tab/>
            </w:r>
            <w:r w:rsidR="007568AB">
              <w:t>UN</w:t>
            </w:r>
            <w:r w:rsidR="00C31C9B" w:rsidRPr="00A77936">
              <w:t xml:space="preserve"> Regulation on Event Data Recorder for heavy Duty Vehicles</w:t>
            </w:r>
            <w:r w:rsidR="0000185A">
              <w:t>,</w:t>
            </w:r>
            <w:r w:rsidR="007568AB">
              <w:t xml:space="preserve"> and</w:t>
            </w:r>
          </w:p>
          <w:p w14:paraId="23B7D0F6" w14:textId="0F4EE1FC" w:rsidR="00F444EC" w:rsidRDefault="007757FE" w:rsidP="000B7022">
            <w:pPr>
              <w:spacing w:after="120"/>
              <w:ind w:left="1134" w:right="1134"/>
              <w:jc w:val="both"/>
            </w:pPr>
            <w:r>
              <w:tab/>
            </w:r>
            <w:r>
              <w:tab/>
            </w:r>
            <w:r w:rsidR="00F444EC">
              <w:t>(</w:t>
            </w:r>
            <w:r w:rsidR="00312756">
              <w:t>c</w:t>
            </w:r>
            <w:r w:rsidR="00F444EC">
              <w:t>)</w:t>
            </w:r>
            <w:r w:rsidR="00F444EC" w:rsidRPr="00610276">
              <w:rPr>
                <w:rFonts w:eastAsia="Calibri"/>
                <w:u w:color="000000"/>
              </w:rPr>
              <w:tab/>
            </w:r>
            <w:r w:rsidR="007568AB">
              <w:t xml:space="preserve">UN </w:t>
            </w:r>
            <w:r w:rsidR="00C31C9B" w:rsidRPr="00A77936">
              <w:t>Regulation for Restraint systems for Safer Transport of Children in buses</w:t>
            </w:r>
            <w:r w:rsidR="00F444EC">
              <w:t>,</w:t>
            </w:r>
          </w:p>
          <w:p w14:paraId="7FA6958F" w14:textId="77A12CAB" w:rsidR="00F91B03" w:rsidRPr="00610276" w:rsidRDefault="00B5742E" w:rsidP="00F444EC">
            <w:pPr>
              <w:spacing w:after="120"/>
              <w:ind w:left="1134" w:right="1134"/>
              <w:jc w:val="both"/>
              <w:rPr>
                <w:rFonts w:eastAsia="Times New Roman Bold"/>
                <w:spacing w:val="-2"/>
              </w:rPr>
            </w:pPr>
            <w:r w:rsidRPr="00610276">
              <w:t>attached to the 1958 Agreement</w:t>
            </w:r>
            <w:r w:rsidR="00F91B03" w:rsidRPr="00610276">
              <w:rPr>
                <w:rFonts w:eastAsia="Calibri"/>
                <w:spacing w:val="-2"/>
                <w:u w:color="000000"/>
              </w:rPr>
              <w:t>,</w:t>
            </w:r>
            <w:r w:rsidR="00F444EC">
              <w:rPr>
                <w:rFonts w:eastAsia="Calibri"/>
                <w:spacing w:val="-2"/>
                <w:u w:color="000000"/>
              </w:rPr>
              <w:t xml:space="preserve"> </w:t>
            </w:r>
            <w:r w:rsidR="00F91B03" w:rsidRPr="00610276">
              <w:rPr>
                <w:spacing w:val="-2"/>
              </w:rPr>
              <w:t>implementation and further development of the 1998 Agreement and Periodic Technical Inspections (PTI) under the 1997 Agreement</w:t>
            </w:r>
            <w:r w:rsidR="00A0363E" w:rsidRPr="00610276">
              <w:rPr>
                <w:spacing w:val="-2"/>
              </w:rPr>
              <w:t xml:space="preserve"> with </w:t>
            </w:r>
            <w:r w:rsidR="000103B8">
              <w:rPr>
                <w:spacing w:val="-2"/>
              </w:rPr>
              <w:t xml:space="preserve">the drafting of </w:t>
            </w:r>
            <w:r w:rsidR="00E70EE1">
              <w:rPr>
                <w:spacing w:val="-2"/>
              </w:rPr>
              <w:t>a</w:t>
            </w:r>
            <w:r w:rsidR="000103B8">
              <w:rPr>
                <w:spacing w:val="-2"/>
              </w:rPr>
              <w:t xml:space="preserve"> </w:t>
            </w:r>
            <w:r w:rsidR="00A0363E" w:rsidRPr="00610276">
              <w:rPr>
                <w:spacing w:val="-2"/>
              </w:rPr>
              <w:t>holistic framework on vehicle whole-life compliance</w:t>
            </w:r>
            <w:r w:rsidR="00F91B03" w:rsidRPr="00610276">
              <w:rPr>
                <w:rFonts w:eastAsia="Calibri"/>
                <w:spacing w:val="-2"/>
                <w:u w:color="000000"/>
              </w:rPr>
              <w:t>.</w:t>
            </w:r>
          </w:p>
        </w:tc>
      </w:tr>
      <w:tr w:rsidR="00F91B03" w:rsidRPr="00610276" w14:paraId="4B5371D4" w14:textId="77777777" w:rsidTr="21FF00CF">
        <w:trPr>
          <w:jc w:val="center"/>
        </w:trPr>
        <w:tc>
          <w:tcPr>
            <w:tcW w:w="9629" w:type="dxa"/>
            <w:shd w:val="clear" w:color="auto" w:fill="auto"/>
          </w:tcPr>
          <w:p w14:paraId="751BECAC" w14:textId="3B106BA4" w:rsidR="00F91B03" w:rsidRPr="00610276" w:rsidRDefault="00F91B03" w:rsidP="000B7022">
            <w:pPr>
              <w:spacing w:after="120"/>
              <w:ind w:left="1134" w:right="1134"/>
              <w:jc w:val="both"/>
              <w:rPr>
                <w:rFonts w:eastAsia="Times New Roman Bold"/>
              </w:rPr>
            </w:pPr>
            <w:r w:rsidRPr="00610276">
              <w:rPr>
                <w:rFonts w:eastAsia="Calibri"/>
                <w:b/>
                <w:u w:color="000000"/>
              </w:rPr>
              <w:tab/>
            </w:r>
            <w:r w:rsidR="003802F8">
              <w:rPr>
                <w:rFonts w:eastAsia="Calibri"/>
                <w:b/>
                <w:u w:color="000000"/>
              </w:rPr>
              <w:tab/>
            </w:r>
            <w:r w:rsidRPr="00610276">
              <w:rPr>
                <w:rFonts w:eastAsia="Calibri"/>
                <w:u w:color="000000"/>
              </w:rPr>
              <w:t>The Inland Transport Committee</w:t>
            </w:r>
            <w:r w:rsidRPr="00610276">
              <w:rPr>
                <w:rFonts w:eastAsia="Calibri"/>
                <w:b/>
                <w:u w:color="000000"/>
              </w:rPr>
              <w:t xml:space="preserve"> </w:t>
            </w:r>
            <w:r w:rsidRPr="00610276">
              <w:rPr>
                <w:rFonts w:eastAsia="Calibri"/>
                <w:u w:color="000000"/>
              </w:rPr>
              <w:t>(ITC)</w:t>
            </w:r>
            <w:r w:rsidRPr="00610276">
              <w:rPr>
                <w:rFonts w:eastAsia="Calibri"/>
                <w:b/>
                <w:u w:color="000000"/>
              </w:rPr>
              <w:t xml:space="preserve"> is invited</w:t>
            </w:r>
            <w:r w:rsidRPr="00610276">
              <w:rPr>
                <w:rFonts w:eastAsia="Calibri"/>
                <w:u w:color="000000"/>
              </w:rPr>
              <w:t xml:space="preserve"> to: </w:t>
            </w:r>
          </w:p>
        </w:tc>
      </w:tr>
      <w:tr w:rsidR="00F91B03" w:rsidRPr="00610276" w14:paraId="2754C768" w14:textId="77777777" w:rsidTr="21FF00CF">
        <w:trPr>
          <w:jc w:val="center"/>
        </w:trPr>
        <w:tc>
          <w:tcPr>
            <w:tcW w:w="9629" w:type="dxa"/>
            <w:shd w:val="clear" w:color="auto" w:fill="auto"/>
          </w:tcPr>
          <w:p w14:paraId="5B42A8DB" w14:textId="63CD12BA" w:rsidR="00F91B03" w:rsidRPr="00610276" w:rsidRDefault="00174EEB" w:rsidP="00E27B32">
            <w:pPr>
              <w:pStyle w:val="Bullet1G"/>
              <w:numPr>
                <w:ilvl w:val="0"/>
                <w:numId w:val="0"/>
              </w:numPr>
              <w:tabs>
                <w:tab w:val="left" w:pos="1843"/>
              </w:tabs>
              <w:ind w:left="1701" w:hanging="567"/>
              <w:rPr>
                <w:rFonts w:eastAsia="Calibri"/>
                <w:b/>
                <w:u w:color="000000"/>
              </w:rPr>
            </w:pPr>
            <w:r w:rsidRPr="00610276">
              <w:rPr>
                <w:rFonts w:eastAsia="Calibri"/>
                <w:u w:color="000000"/>
              </w:rPr>
              <w:t>•</w:t>
            </w:r>
            <w:r w:rsidRPr="00610276">
              <w:rPr>
                <w:rFonts w:eastAsia="Calibri"/>
                <w:u w:color="000000"/>
              </w:rPr>
              <w:tab/>
            </w:r>
            <w:r w:rsidR="00F91B03" w:rsidRPr="00610276">
              <w:rPr>
                <w:rFonts w:eastAsia="Calibri"/>
                <w:b/>
                <w:u w:color="000000"/>
              </w:rPr>
              <w:t>Endorse</w:t>
            </w:r>
            <w:r w:rsidR="00F91B03" w:rsidRPr="00610276">
              <w:rPr>
                <w:rFonts w:eastAsia="Calibri"/>
                <w:u w:color="000000"/>
              </w:rPr>
              <w:t xml:space="preserve"> the activities listed in this document</w:t>
            </w:r>
            <w:r w:rsidR="00F444EC">
              <w:rPr>
                <w:rFonts w:eastAsia="Calibri"/>
                <w:u w:color="000000"/>
              </w:rPr>
              <w:t>;</w:t>
            </w:r>
            <w:r w:rsidR="00F91B03" w:rsidRPr="00610276">
              <w:rPr>
                <w:rFonts w:eastAsia="Calibri"/>
                <w:u w:color="000000"/>
              </w:rPr>
              <w:t xml:space="preserve"> </w:t>
            </w:r>
          </w:p>
        </w:tc>
      </w:tr>
      <w:tr w:rsidR="00F91B03" w:rsidRPr="00610276" w14:paraId="1A5226C5" w14:textId="77777777" w:rsidTr="21FF00CF">
        <w:trPr>
          <w:jc w:val="center"/>
        </w:trPr>
        <w:tc>
          <w:tcPr>
            <w:tcW w:w="9629" w:type="dxa"/>
            <w:shd w:val="clear" w:color="auto" w:fill="auto"/>
          </w:tcPr>
          <w:p w14:paraId="21047B2E" w14:textId="77777777" w:rsidR="00E958B8" w:rsidRDefault="00174EEB" w:rsidP="009C6EA7">
            <w:pPr>
              <w:tabs>
                <w:tab w:val="left" w:pos="1700"/>
              </w:tabs>
              <w:spacing w:after="120"/>
              <w:ind w:left="1701" w:right="1134" w:hanging="567"/>
            </w:pPr>
            <w:r w:rsidRPr="00610276">
              <w:rPr>
                <w:rFonts w:eastAsia="Calibri"/>
                <w:u w:color="000000"/>
              </w:rPr>
              <w:t>•</w:t>
            </w:r>
            <w:r w:rsidRPr="00610276">
              <w:rPr>
                <w:rFonts w:eastAsia="Calibri"/>
                <w:u w:color="000000"/>
              </w:rPr>
              <w:tab/>
            </w:r>
            <w:r w:rsidR="00F91B03" w:rsidRPr="00610276">
              <w:rPr>
                <w:rFonts w:eastAsia="Calibri"/>
                <w:b/>
                <w:u w:color="000000"/>
              </w:rPr>
              <w:t>Welcome</w:t>
            </w:r>
            <w:r w:rsidR="00CB675E">
              <w:t xml:space="preserve"> </w:t>
            </w:r>
            <w:r w:rsidR="000A5A7B">
              <w:t xml:space="preserve">the </w:t>
            </w:r>
            <w:r w:rsidR="00CB675E">
              <w:t>work and achievements by the World Forum for Harmonization of Vehicle Regulations, WP.29, such as</w:t>
            </w:r>
            <w:r w:rsidR="000A5A7B">
              <w:t>:</w:t>
            </w:r>
          </w:p>
          <w:p w14:paraId="3C938D1B" w14:textId="77777777" w:rsidR="00E958B8" w:rsidRDefault="003802F8" w:rsidP="00E958B8">
            <w:pPr>
              <w:tabs>
                <w:tab w:val="left" w:pos="1700"/>
              </w:tabs>
              <w:spacing w:after="120"/>
              <w:ind w:left="1134" w:right="1134"/>
              <w:jc w:val="both"/>
            </w:pPr>
            <w:r>
              <w:tab/>
            </w:r>
            <w:r>
              <w:tab/>
            </w:r>
            <w:r w:rsidR="00CB675E">
              <w:t>(a)</w:t>
            </w:r>
            <w:r w:rsidR="00DF6A38">
              <w:tab/>
            </w:r>
            <w:r w:rsidR="00EE25EE">
              <w:t xml:space="preserve">the </w:t>
            </w:r>
            <w:r w:rsidR="00CB675E">
              <w:t xml:space="preserve">new </w:t>
            </w:r>
            <w:r w:rsidR="005D4CC0">
              <w:t>UN</w:t>
            </w:r>
            <w:r w:rsidR="00CB675E">
              <w:t xml:space="preserve"> Regulation</w:t>
            </w:r>
            <w:r w:rsidR="00EE25EE">
              <w:t xml:space="preserve"> on</w:t>
            </w:r>
            <w:r w:rsidR="00CB675E">
              <w:t xml:space="preserve"> Restraint systems for Safer Transport of Children in buses, </w:t>
            </w:r>
          </w:p>
          <w:p w14:paraId="54F184DF" w14:textId="77777777" w:rsidR="00E958B8" w:rsidRDefault="003802F8" w:rsidP="00E958B8">
            <w:pPr>
              <w:tabs>
                <w:tab w:val="left" w:pos="1700"/>
              </w:tabs>
              <w:spacing w:after="120"/>
              <w:ind w:left="1134" w:right="1134"/>
              <w:jc w:val="both"/>
            </w:pPr>
            <w:r>
              <w:tab/>
            </w:r>
            <w:r>
              <w:tab/>
            </w:r>
            <w:r w:rsidR="00CB675E">
              <w:t>(b)</w:t>
            </w:r>
            <w:r w:rsidR="00DF6A38">
              <w:tab/>
            </w:r>
            <w:r w:rsidR="00CB675E">
              <w:t>the development of Guidelines for Regulatory Requirements and Verifiable Criteria for A</w:t>
            </w:r>
            <w:r w:rsidR="00EE25EE">
              <w:t>utomat</w:t>
            </w:r>
            <w:r w:rsidR="00495157">
              <w:t>ed</w:t>
            </w:r>
            <w:r w:rsidR="00EE25EE">
              <w:t xml:space="preserve"> </w:t>
            </w:r>
            <w:r w:rsidR="00CB675E">
              <w:t>D</w:t>
            </w:r>
            <w:r w:rsidR="00EE25EE">
              <w:t xml:space="preserve">riving </w:t>
            </w:r>
            <w:r w:rsidR="00CB675E">
              <w:t>S</w:t>
            </w:r>
            <w:r w:rsidR="00EE25EE">
              <w:t>ystem</w:t>
            </w:r>
            <w:r w:rsidR="00CB675E">
              <w:t xml:space="preserve"> Safety Validation and New Assessment/</w:t>
            </w:r>
            <w:r w:rsidR="00EE25EE">
              <w:t xml:space="preserve"> </w:t>
            </w:r>
            <w:r w:rsidR="00CB675E">
              <w:t xml:space="preserve">Test Method for Automated Driving (NATM) and Guidelines for Validating Automated Driving System (ADS), and </w:t>
            </w:r>
          </w:p>
          <w:p w14:paraId="7A729F31" w14:textId="216258B3" w:rsidR="00F444EC" w:rsidRPr="00F444EC" w:rsidRDefault="003802F8" w:rsidP="00E958B8">
            <w:pPr>
              <w:tabs>
                <w:tab w:val="left" w:pos="1700"/>
              </w:tabs>
              <w:spacing w:after="120"/>
              <w:ind w:left="1134" w:right="1134"/>
              <w:jc w:val="both"/>
            </w:pPr>
            <w:r>
              <w:lastRenderedPageBreak/>
              <w:tab/>
            </w:r>
            <w:r>
              <w:tab/>
            </w:r>
            <w:r w:rsidR="00CB675E">
              <w:t>(c)</w:t>
            </w:r>
            <w:r w:rsidR="00126D9E">
              <w:tab/>
              <w:t xml:space="preserve">the </w:t>
            </w:r>
            <w:r w:rsidR="00CB675E" w:rsidRPr="00E958B8">
              <w:t>establishment</w:t>
            </w:r>
            <w:r w:rsidR="00CB675E">
              <w:rPr>
                <w:rFonts w:asciiTheme="majorBidi" w:hAnsiTheme="majorBidi" w:cstheme="majorBidi"/>
              </w:rPr>
              <w:t xml:space="preserve"> of one new UN </w:t>
            </w:r>
            <w:r w:rsidR="00107554">
              <w:rPr>
                <w:rFonts w:asciiTheme="majorBidi" w:hAnsiTheme="majorBidi" w:cstheme="majorBidi"/>
              </w:rPr>
              <w:t>Global Technical Regulation (</w:t>
            </w:r>
            <w:r w:rsidR="00CB675E">
              <w:rPr>
                <w:rFonts w:asciiTheme="majorBidi" w:hAnsiTheme="majorBidi" w:cstheme="majorBidi"/>
              </w:rPr>
              <w:t>GTR</w:t>
            </w:r>
            <w:r w:rsidR="00107554">
              <w:rPr>
                <w:rFonts w:asciiTheme="majorBidi" w:hAnsiTheme="majorBidi" w:cstheme="majorBidi"/>
              </w:rPr>
              <w:t>)</w:t>
            </w:r>
            <w:r w:rsidR="00CB675E">
              <w:rPr>
                <w:rFonts w:asciiTheme="majorBidi" w:hAnsiTheme="majorBidi" w:cstheme="majorBidi"/>
              </w:rPr>
              <w:t xml:space="preserve"> (No.</w:t>
            </w:r>
            <w:r w:rsidR="00384419">
              <w:rPr>
                <w:rFonts w:asciiTheme="majorBidi" w:hAnsiTheme="majorBidi" w:cstheme="majorBidi"/>
              </w:rPr>
              <w:t> </w:t>
            </w:r>
            <w:r w:rsidR="00CB675E">
              <w:rPr>
                <w:rFonts w:asciiTheme="majorBidi" w:hAnsiTheme="majorBidi" w:cstheme="majorBidi"/>
              </w:rPr>
              <w:t xml:space="preserve">24 on laboratory Measurements of Brake Emissions for Light-Duty Vehicles) and a new </w:t>
            </w:r>
            <w:r w:rsidR="005D4CC0">
              <w:rPr>
                <w:rFonts w:asciiTheme="majorBidi" w:hAnsiTheme="majorBidi" w:cstheme="majorBidi"/>
              </w:rPr>
              <w:t>UN</w:t>
            </w:r>
            <w:r w:rsidR="00CB675E">
              <w:rPr>
                <w:rFonts w:asciiTheme="majorBidi" w:hAnsiTheme="majorBidi" w:cstheme="majorBidi"/>
              </w:rPr>
              <w:t xml:space="preserve"> Regulation on </w:t>
            </w:r>
            <w:r w:rsidR="00CB675E">
              <w:t>global Real Driving Emissions;</w:t>
            </w:r>
          </w:p>
        </w:tc>
      </w:tr>
      <w:tr w:rsidR="00074C0E" w:rsidRPr="00610276" w14:paraId="5851F7E8" w14:textId="77777777" w:rsidTr="21FF00CF">
        <w:trPr>
          <w:jc w:val="center"/>
        </w:trPr>
        <w:tc>
          <w:tcPr>
            <w:tcW w:w="9629" w:type="dxa"/>
            <w:shd w:val="clear" w:color="auto" w:fill="auto"/>
          </w:tcPr>
          <w:p w14:paraId="66A162A3" w14:textId="3BE5B72F" w:rsidR="00074C0E" w:rsidRPr="00610276" w:rsidRDefault="00074C0E" w:rsidP="00E27B32">
            <w:pPr>
              <w:pStyle w:val="Bullet1G"/>
              <w:tabs>
                <w:tab w:val="clear" w:pos="1701"/>
                <w:tab w:val="left" w:pos="1843"/>
              </w:tabs>
              <w:ind w:hanging="425"/>
              <w:rPr>
                <w:rFonts w:eastAsia="Calibri"/>
                <w:u w:color="000000"/>
              </w:rPr>
            </w:pPr>
            <w:r w:rsidRPr="00F444EC">
              <w:rPr>
                <w:rFonts w:eastAsia="Calibri"/>
                <w:b/>
                <w:bCs/>
                <w:u w:color="000000"/>
              </w:rPr>
              <w:lastRenderedPageBreak/>
              <w:t>Note</w:t>
            </w:r>
            <w:r w:rsidRPr="00F444EC">
              <w:rPr>
                <w:rFonts w:eastAsia="Calibri"/>
                <w:u w:color="000000"/>
              </w:rPr>
              <w:t xml:space="preserve"> </w:t>
            </w:r>
            <w:r w:rsidRPr="00074C0E">
              <w:rPr>
                <w:rFonts w:eastAsia="Calibri"/>
                <w:u w:color="000000"/>
              </w:rPr>
              <w:t xml:space="preserve">the desire of the Working Party on Automated/Autonomous and Connected Vehicles, GRVA, to hold one of its annual sessions outside </w:t>
            </w:r>
            <w:r w:rsidR="00CD2741">
              <w:rPr>
                <w:rFonts w:eastAsia="Calibri"/>
                <w:u w:color="000000"/>
              </w:rPr>
              <w:t xml:space="preserve">of </w:t>
            </w:r>
            <w:r w:rsidRPr="00074C0E">
              <w:rPr>
                <w:rFonts w:eastAsia="Calibri"/>
                <w:u w:color="000000"/>
              </w:rPr>
              <w:t>Geneva</w:t>
            </w:r>
            <w:r w:rsidR="00D40AC9">
              <w:rPr>
                <w:rFonts w:eastAsia="Calibri"/>
                <w:u w:color="000000"/>
              </w:rPr>
              <w:t xml:space="preserve"> in 202</w:t>
            </w:r>
            <w:r w:rsidR="002526B5">
              <w:rPr>
                <w:rFonts w:eastAsia="Calibri"/>
                <w:u w:color="000000"/>
              </w:rPr>
              <w:t>5</w:t>
            </w:r>
            <w:r w:rsidR="00F444EC">
              <w:rPr>
                <w:rFonts w:eastAsia="Calibri"/>
                <w:u w:color="000000"/>
              </w:rPr>
              <w:t>;</w:t>
            </w:r>
          </w:p>
        </w:tc>
      </w:tr>
      <w:tr w:rsidR="00F91B03" w:rsidRPr="00610276" w14:paraId="2F7DD673" w14:textId="77777777" w:rsidTr="21FF00CF">
        <w:trPr>
          <w:jc w:val="center"/>
        </w:trPr>
        <w:tc>
          <w:tcPr>
            <w:tcW w:w="9629" w:type="dxa"/>
            <w:shd w:val="clear" w:color="auto" w:fill="auto"/>
          </w:tcPr>
          <w:p w14:paraId="5280BA74" w14:textId="0FB776BF" w:rsidR="00F91B03" w:rsidRPr="00610276" w:rsidRDefault="00174EEB" w:rsidP="00E27B32">
            <w:pPr>
              <w:pStyle w:val="Bullet1G"/>
              <w:numPr>
                <w:ilvl w:val="0"/>
                <w:numId w:val="0"/>
              </w:numPr>
              <w:tabs>
                <w:tab w:val="left" w:pos="1843"/>
              </w:tabs>
              <w:ind w:left="1701" w:hanging="425"/>
              <w:rPr>
                <w:rFonts w:eastAsia="Calibri"/>
                <w:b/>
                <w:u w:color="000000"/>
              </w:rPr>
            </w:pPr>
            <w:r w:rsidRPr="00610276">
              <w:rPr>
                <w:rFonts w:eastAsia="Calibri"/>
                <w:u w:color="000000"/>
              </w:rPr>
              <w:t>•</w:t>
            </w:r>
            <w:r w:rsidRPr="00610276">
              <w:rPr>
                <w:rFonts w:eastAsia="Calibri"/>
                <w:u w:color="000000"/>
              </w:rPr>
              <w:tab/>
            </w:r>
            <w:r w:rsidR="00F91B03" w:rsidRPr="00610276">
              <w:rPr>
                <w:rFonts w:eastAsia="Calibri"/>
                <w:b/>
                <w:u w:color="000000"/>
              </w:rPr>
              <w:t xml:space="preserve">Thank </w:t>
            </w:r>
            <w:r w:rsidR="00F91B03" w:rsidRPr="00610276">
              <w:rPr>
                <w:rFonts w:eastAsia="Calibri"/>
                <w:bCs/>
                <w:u w:color="000000"/>
              </w:rPr>
              <w:t>Germany</w:t>
            </w:r>
            <w:r w:rsidR="00F91B03" w:rsidRPr="00610276">
              <w:rPr>
                <w:rFonts w:eastAsia="Calibri"/>
                <w:b/>
                <w:u w:color="000000"/>
              </w:rPr>
              <w:t xml:space="preserve"> </w:t>
            </w:r>
            <w:r w:rsidR="00F91B03" w:rsidRPr="00610276">
              <w:rPr>
                <w:rFonts w:eastAsia="Calibri"/>
                <w:bCs/>
                <w:u w:color="000000"/>
              </w:rPr>
              <w:t>for</w:t>
            </w:r>
            <w:r w:rsidR="00F91B03" w:rsidRPr="00610276">
              <w:rPr>
                <w:rFonts w:eastAsia="Calibri"/>
                <w:b/>
                <w:u w:color="000000"/>
              </w:rPr>
              <w:t xml:space="preserve"> </w:t>
            </w:r>
            <w:r w:rsidR="00F91B03" w:rsidRPr="00610276">
              <w:rPr>
                <w:rFonts w:eastAsia="Calibri"/>
                <w:bCs/>
                <w:u w:color="000000"/>
              </w:rPr>
              <w:t xml:space="preserve">the </w:t>
            </w:r>
            <w:r w:rsidR="00E70EE1">
              <w:rPr>
                <w:rFonts w:eastAsia="Calibri"/>
                <w:bCs/>
                <w:u w:color="000000"/>
              </w:rPr>
              <w:t>interim</w:t>
            </w:r>
            <w:r w:rsidR="00F91B03" w:rsidRPr="00610276">
              <w:rPr>
                <w:rFonts w:eastAsia="Calibri"/>
                <w:b/>
                <w:u w:color="000000"/>
              </w:rPr>
              <w:t xml:space="preserve"> </w:t>
            </w:r>
            <w:r w:rsidR="00F91B03" w:rsidRPr="00610276">
              <w:rPr>
                <w:rFonts w:eastAsia="Calibri"/>
                <w:u w:color="000000"/>
              </w:rPr>
              <w:t xml:space="preserve">hosting of </w:t>
            </w:r>
            <w:r w:rsidR="006D1DAD">
              <w:rPr>
                <w:rFonts w:eastAsia="Calibri"/>
                <w:u w:color="000000"/>
              </w:rPr>
              <w:t>the Database for the Exchange of Type Approval documentation (</w:t>
            </w:r>
            <w:r w:rsidR="00F91B03" w:rsidRPr="00610276">
              <w:rPr>
                <w:rFonts w:eastAsia="Calibri"/>
                <w:u w:color="000000"/>
              </w:rPr>
              <w:t>DETA</w:t>
            </w:r>
            <w:r w:rsidR="006D1DAD">
              <w:rPr>
                <w:rFonts w:eastAsia="Calibri"/>
                <w:u w:color="000000"/>
              </w:rPr>
              <w:t>)</w:t>
            </w:r>
            <w:r w:rsidR="00F444EC">
              <w:rPr>
                <w:rFonts w:eastAsia="Calibri"/>
                <w:u w:color="000000"/>
              </w:rPr>
              <w:t>.</w:t>
            </w:r>
            <w:r w:rsidR="00F91B03" w:rsidRPr="00610276">
              <w:rPr>
                <w:rFonts w:eastAsia="Calibri"/>
                <w:u w:color="000000"/>
              </w:rPr>
              <w:t xml:space="preserve"> </w:t>
            </w:r>
          </w:p>
        </w:tc>
      </w:tr>
      <w:tr w:rsidR="00F91B03" w:rsidRPr="00610276" w14:paraId="43075398" w14:textId="77777777" w:rsidTr="21FF00CF">
        <w:trPr>
          <w:jc w:val="center"/>
        </w:trPr>
        <w:tc>
          <w:tcPr>
            <w:tcW w:w="9629" w:type="dxa"/>
            <w:shd w:val="clear" w:color="auto" w:fill="auto"/>
          </w:tcPr>
          <w:p w14:paraId="0998B93F" w14:textId="77777777" w:rsidR="00F91B03" w:rsidRPr="00610276" w:rsidRDefault="00F91B03" w:rsidP="000B7022">
            <w:pPr>
              <w:rPr>
                <w:rFonts w:eastAsia="Times New Roman Bold"/>
              </w:rPr>
            </w:pPr>
          </w:p>
        </w:tc>
      </w:tr>
    </w:tbl>
    <w:p w14:paraId="35C88650" w14:textId="28AE6138" w:rsidR="00F91B03" w:rsidRPr="000103B8" w:rsidRDefault="00F91B03" w:rsidP="004A530C">
      <w:pPr>
        <w:pStyle w:val="HChG"/>
        <w:rPr>
          <w:strike/>
        </w:rPr>
      </w:pPr>
      <w:r w:rsidRPr="00610276">
        <w:tab/>
      </w:r>
      <w:r w:rsidR="00350C26">
        <w:t>I.</w:t>
      </w:r>
      <w:r w:rsidR="00350C26">
        <w:tab/>
      </w:r>
      <w:r w:rsidRPr="000103B8">
        <w:t xml:space="preserve">General </w:t>
      </w:r>
      <w:r w:rsidR="000937D0">
        <w:t>C</w:t>
      </w:r>
      <w:r w:rsidR="000103B8" w:rsidRPr="004A530C">
        <w:t>onsideration</w:t>
      </w:r>
    </w:p>
    <w:p w14:paraId="349B6348" w14:textId="37431101" w:rsidR="00202DD8" w:rsidRPr="00192777" w:rsidRDefault="00F91B03" w:rsidP="00202DD8">
      <w:pPr>
        <w:pStyle w:val="SingleTxtG"/>
        <w:rPr>
          <w:rFonts w:asciiTheme="majorBidi" w:hAnsiTheme="majorBidi" w:cstheme="majorBidi"/>
        </w:rPr>
      </w:pPr>
      <w:r w:rsidRPr="00610276">
        <w:rPr>
          <w:fitText w:val="147" w:id="-1940731648"/>
        </w:rPr>
        <w:t>1.</w:t>
      </w:r>
      <w:r w:rsidRPr="00610276">
        <w:tab/>
      </w:r>
      <w:r w:rsidRPr="007366A5">
        <w:t>The work of</w:t>
      </w:r>
      <w:r w:rsidR="009F0A43">
        <w:t xml:space="preserve"> the </w:t>
      </w:r>
      <w:r w:rsidR="00202DD8" w:rsidRPr="00192777">
        <w:rPr>
          <w:rFonts w:asciiTheme="majorBidi" w:hAnsiTheme="majorBidi" w:cstheme="majorBidi"/>
        </w:rPr>
        <w:t xml:space="preserve">World Forum and its </w:t>
      </w:r>
      <w:r w:rsidR="009F0A43">
        <w:rPr>
          <w:rFonts w:asciiTheme="majorBidi" w:hAnsiTheme="majorBidi" w:cstheme="majorBidi"/>
        </w:rPr>
        <w:t xml:space="preserve">six subsidiary </w:t>
      </w:r>
      <w:r w:rsidR="00202DD8" w:rsidRPr="00192777">
        <w:rPr>
          <w:rFonts w:asciiTheme="majorBidi" w:hAnsiTheme="majorBidi" w:cstheme="majorBidi"/>
        </w:rPr>
        <w:t>Working Parties</w:t>
      </w:r>
      <w:r w:rsidR="007366A5">
        <w:rPr>
          <w:rFonts w:asciiTheme="majorBidi" w:hAnsiTheme="majorBidi" w:cstheme="majorBidi"/>
        </w:rPr>
        <w:t xml:space="preserve">, </w:t>
      </w:r>
      <w:r w:rsidR="00456FDF">
        <w:rPr>
          <w:rFonts w:asciiTheme="majorBidi" w:hAnsiTheme="majorBidi" w:cstheme="majorBidi"/>
        </w:rPr>
        <w:t xml:space="preserve">so called </w:t>
      </w:r>
      <w:r w:rsidR="007366A5">
        <w:rPr>
          <w:rFonts w:asciiTheme="majorBidi" w:hAnsiTheme="majorBidi" w:cstheme="majorBidi"/>
        </w:rPr>
        <w:t>GRs</w:t>
      </w:r>
      <w:r w:rsidR="000707E3">
        <w:rPr>
          <w:rFonts w:asciiTheme="majorBidi" w:hAnsiTheme="majorBidi" w:cstheme="majorBidi"/>
        </w:rPr>
        <w:t>,</w:t>
      </w:r>
      <w:r w:rsidR="001D3D4C">
        <w:rPr>
          <w:rFonts w:asciiTheme="majorBidi" w:hAnsiTheme="majorBidi" w:cstheme="majorBidi"/>
        </w:rPr>
        <w:t xml:space="preserve"> </w:t>
      </w:r>
      <w:r w:rsidR="00202DD8" w:rsidRPr="00192777">
        <w:rPr>
          <w:rFonts w:asciiTheme="majorBidi" w:hAnsiTheme="majorBidi" w:cstheme="majorBidi"/>
        </w:rPr>
        <w:t>as reflected in ECE/TRANS/WP.29/202</w:t>
      </w:r>
      <w:r w:rsidR="00202DD8" w:rsidRPr="007366A5">
        <w:rPr>
          <w:rFonts w:asciiTheme="majorBidi" w:hAnsiTheme="majorBidi" w:cstheme="majorBidi"/>
        </w:rPr>
        <w:t>3</w:t>
      </w:r>
      <w:r w:rsidR="00202DD8" w:rsidRPr="00192777">
        <w:rPr>
          <w:rFonts w:asciiTheme="majorBidi" w:hAnsiTheme="majorBidi" w:cstheme="majorBidi"/>
        </w:rPr>
        <w:t>/1</w:t>
      </w:r>
      <w:r w:rsidR="00202DD8">
        <w:rPr>
          <w:rFonts w:asciiTheme="majorBidi" w:hAnsiTheme="majorBidi" w:cstheme="majorBidi"/>
        </w:rPr>
        <w:t>/Rev.1,</w:t>
      </w:r>
      <w:r w:rsidR="00202DD8" w:rsidRPr="00192777">
        <w:rPr>
          <w:rFonts w:asciiTheme="majorBidi" w:hAnsiTheme="majorBidi" w:cstheme="majorBidi"/>
        </w:rPr>
        <w:t xml:space="preserve"> provides a detailed overview of the distribution of the areas of work among the different groups as a result of the processes of work prioritisation</w:t>
      </w:r>
      <w:r w:rsidR="00601D58">
        <w:rPr>
          <w:rFonts w:asciiTheme="majorBidi" w:hAnsiTheme="majorBidi" w:cstheme="majorBidi"/>
        </w:rPr>
        <w:t xml:space="preserve">, setting of </w:t>
      </w:r>
      <w:r w:rsidR="00676DAB">
        <w:rPr>
          <w:rFonts w:asciiTheme="majorBidi" w:hAnsiTheme="majorBidi" w:cstheme="majorBidi"/>
        </w:rPr>
        <w:t>timelines and delivery targets,</w:t>
      </w:r>
      <w:r w:rsidR="00202DD8" w:rsidRPr="00192777">
        <w:rPr>
          <w:rFonts w:asciiTheme="majorBidi" w:hAnsiTheme="majorBidi" w:cstheme="majorBidi"/>
        </w:rPr>
        <w:t xml:space="preserve"> and of the alignment with the ITC Strategy.</w:t>
      </w:r>
    </w:p>
    <w:p w14:paraId="483CA350" w14:textId="3CD7ABE8" w:rsidR="00202DD8" w:rsidRPr="00192777" w:rsidRDefault="009033D4" w:rsidP="00202DD8">
      <w:pPr>
        <w:pStyle w:val="SingleTxtG"/>
        <w:rPr>
          <w:rFonts w:asciiTheme="majorBidi" w:hAnsiTheme="majorBidi" w:cstheme="majorBidi"/>
        </w:rPr>
      </w:pPr>
      <w:r>
        <w:rPr>
          <w:rFonts w:asciiTheme="majorBidi" w:hAnsiTheme="majorBidi" w:cstheme="majorBidi"/>
        </w:rPr>
        <w:t>2.</w:t>
      </w:r>
      <w:r>
        <w:rPr>
          <w:rFonts w:asciiTheme="majorBidi" w:hAnsiTheme="majorBidi" w:cstheme="majorBidi"/>
        </w:rPr>
        <w:tab/>
      </w:r>
      <w:r w:rsidR="00D01E10">
        <w:rPr>
          <w:rFonts w:asciiTheme="majorBidi" w:hAnsiTheme="majorBidi" w:cstheme="majorBidi"/>
        </w:rPr>
        <w:t>More than forty</w:t>
      </w:r>
      <w:r w:rsidR="00202DD8" w:rsidRPr="00192777">
        <w:rPr>
          <w:rFonts w:asciiTheme="majorBidi" w:hAnsiTheme="majorBidi" w:cstheme="majorBidi"/>
        </w:rPr>
        <w:t xml:space="preserve"> </w:t>
      </w:r>
      <w:r w:rsidR="00F7483D">
        <w:rPr>
          <w:rFonts w:asciiTheme="majorBidi" w:hAnsiTheme="majorBidi" w:cstheme="majorBidi"/>
        </w:rPr>
        <w:t>I</w:t>
      </w:r>
      <w:r w:rsidR="00202DD8" w:rsidRPr="00192777">
        <w:rPr>
          <w:rFonts w:asciiTheme="majorBidi" w:hAnsiTheme="majorBidi" w:cstheme="majorBidi"/>
        </w:rPr>
        <w:t xml:space="preserve">nformal </w:t>
      </w:r>
      <w:r w:rsidR="00F7483D">
        <w:rPr>
          <w:rFonts w:asciiTheme="majorBidi" w:hAnsiTheme="majorBidi" w:cstheme="majorBidi"/>
        </w:rPr>
        <w:t>Working G</w:t>
      </w:r>
      <w:r w:rsidR="00202DD8" w:rsidRPr="00192777">
        <w:rPr>
          <w:rFonts w:asciiTheme="majorBidi" w:hAnsiTheme="majorBidi" w:cstheme="majorBidi"/>
        </w:rPr>
        <w:t xml:space="preserve">roups </w:t>
      </w:r>
      <w:r w:rsidR="00F7483D">
        <w:rPr>
          <w:rFonts w:asciiTheme="majorBidi" w:hAnsiTheme="majorBidi" w:cstheme="majorBidi"/>
        </w:rPr>
        <w:t xml:space="preserve">(IWG) </w:t>
      </w:r>
      <w:r w:rsidR="00202DD8" w:rsidRPr="00192777">
        <w:rPr>
          <w:rFonts w:asciiTheme="majorBidi" w:hAnsiTheme="majorBidi" w:cstheme="majorBidi"/>
        </w:rPr>
        <w:t>worked during 202</w:t>
      </w:r>
      <w:r w:rsidR="00202DD8">
        <w:rPr>
          <w:rFonts w:asciiTheme="majorBidi" w:hAnsiTheme="majorBidi" w:cstheme="majorBidi"/>
        </w:rPr>
        <w:t>3</w:t>
      </w:r>
      <w:r w:rsidR="00202DD8" w:rsidRPr="00192777">
        <w:rPr>
          <w:rFonts w:asciiTheme="majorBidi" w:hAnsiTheme="majorBidi" w:cstheme="majorBidi"/>
        </w:rPr>
        <w:t xml:space="preserve"> in parallel to the World Forum and to its subsidiary bodies to assist them in developing new vehicle regulations and updating the </w:t>
      </w:r>
      <w:r w:rsidR="00202DD8" w:rsidRPr="001D745F">
        <w:rPr>
          <w:rFonts w:asciiTheme="majorBidi" w:hAnsiTheme="majorBidi" w:cstheme="majorBidi"/>
        </w:rPr>
        <w:t>165</w:t>
      </w:r>
      <w:r w:rsidR="00202DD8" w:rsidRPr="00192777">
        <w:rPr>
          <w:rFonts w:asciiTheme="majorBidi" w:hAnsiTheme="majorBidi" w:cstheme="majorBidi"/>
        </w:rPr>
        <w:t xml:space="preserve"> existing </w:t>
      </w:r>
      <w:r w:rsidR="00E272BD">
        <w:rPr>
          <w:rFonts w:asciiTheme="majorBidi" w:hAnsiTheme="majorBidi" w:cstheme="majorBidi"/>
        </w:rPr>
        <w:t>UN</w:t>
      </w:r>
      <w:r w:rsidR="00202DD8" w:rsidRPr="00192777">
        <w:rPr>
          <w:rFonts w:asciiTheme="majorBidi" w:hAnsiTheme="majorBidi" w:cstheme="majorBidi"/>
        </w:rPr>
        <w:t xml:space="preserve"> Regulations annexed to the 1958 Agreement, </w:t>
      </w:r>
      <w:r w:rsidR="009035C7">
        <w:rPr>
          <w:rFonts w:asciiTheme="majorBidi" w:hAnsiTheme="majorBidi" w:cstheme="majorBidi"/>
        </w:rPr>
        <w:t>twenty-four</w:t>
      </w:r>
      <w:r w:rsidR="009035C7" w:rsidRPr="00192777">
        <w:rPr>
          <w:rFonts w:asciiTheme="majorBidi" w:hAnsiTheme="majorBidi" w:cstheme="majorBidi"/>
        </w:rPr>
        <w:t xml:space="preserve"> </w:t>
      </w:r>
      <w:r w:rsidR="00E272BD">
        <w:rPr>
          <w:rFonts w:asciiTheme="majorBidi" w:hAnsiTheme="majorBidi" w:cstheme="majorBidi"/>
        </w:rPr>
        <w:t>U</w:t>
      </w:r>
      <w:r w:rsidR="00A80FC7">
        <w:rPr>
          <w:rFonts w:asciiTheme="majorBidi" w:hAnsiTheme="majorBidi" w:cstheme="majorBidi"/>
        </w:rPr>
        <w:t>nited Nations</w:t>
      </w:r>
      <w:r w:rsidR="00202DD8" w:rsidRPr="00192777">
        <w:rPr>
          <w:rFonts w:asciiTheme="majorBidi" w:hAnsiTheme="majorBidi" w:cstheme="majorBidi"/>
        </w:rPr>
        <w:t xml:space="preserve"> Global Technical Regulations (UN GTRs) </w:t>
      </w:r>
      <w:r w:rsidR="009035C7">
        <w:rPr>
          <w:rFonts w:asciiTheme="majorBidi" w:hAnsiTheme="majorBidi" w:cstheme="majorBidi"/>
        </w:rPr>
        <w:t>under</w:t>
      </w:r>
      <w:r w:rsidR="00202DD8" w:rsidRPr="00192777">
        <w:rPr>
          <w:rFonts w:asciiTheme="majorBidi" w:hAnsiTheme="majorBidi" w:cstheme="majorBidi"/>
        </w:rPr>
        <w:t xml:space="preserve"> the 1998 Agreement and four </w:t>
      </w:r>
      <w:r w:rsidR="009035C7">
        <w:rPr>
          <w:rFonts w:asciiTheme="majorBidi" w:hAnsiTheme="majorBidi" w:cstheme="majorBidi"/>
        </w:rPr>
        <w:t>UN</w:t>
      </w:r>
      <w:r w:rsidR="00202DD8" w:rsidRPr="00192777">
        <w:rPr>
          <w:rFonts w:asciiTheme="majorBidi" w:hAnsiTheme="majorBidi" w:cstheme="majorBidi"/>
        </w:rPr>
        <w:t xml:space="preserve"> Rules annexed to the 1997 Agreement with </w:t>
      </w:r>
      <w:r w:rsidR="00202DD8" w:rsidRPr="001D745F">
        <w:rPr>
          <w:rFonts w:asciiTheme="majorBidi" w:hAnsiTheme="majorBidi" w:cstheme="majorBidi"/>
        </w:rPr>
        <w:t>115</w:t>
      </w:r>
      <w:r w:rsidR="00202DD8" w:rsidRPr="00192777">
        <w:rPr>
          <w:rFonts w:asciiTheme="majorBidi" w:hAnsiTheme="majorBidi" w:cstheme="majorBidi"/>
        </w:rPr>
        <w:t xml:space="preserve"> amendments</w:t>
      </w:r>
      <w:r w:rsidR="00710660">
        <w:rPr>
          <w:rFonts w:asciiTheme="majorBidi" w:hAnsiTheme="majorBidi" w:cstheme="majorBidi"/>
        </w:rPr>
        <w:t xml:space="preserve"> in total</w:t>
      </w:r>
      <w:r w:rsidR="00202DD8">
        <w:rPr>
          <w:rFonts w:asciiTheme="majorBidi" w:hAnsiTheme="majorBidi" w:cstheme="majorBidi"/>
        </w:rPr>
        <w:t>,</w:t>
      </w:r>
      <w:r w:rsidR="00202DD8" w:rsidRPr="00192777">
        <w:rPr>
          <w:rFonts w:asciiTheme="majorBidi" w:hAnsiTheme="majorBidi" w:cstheme="majorBidi"/>
        </w:rPr>
        <w:t xml:space="preserve"> and </w:t>
      </w:r>
      <w:r w:rsidR="00D97397">
        <w:rPr>
          <w:rFonts w:asciiTheme="majorBidi" w:hAnsiTheme="majorBidi" w:cstheme="majorBidi"/>
        </w:rPr>
        <w:t xml:space="preserve">it </w:t>
      </w:r>
      <w:r w:rsidR="00202DD8" w:rsidRPr="00192777">
        <w:rPr>
          <w:rFonts w:asciiTheme="majorBidi" w:hAnsiTheme="majorBidi" w:cstheme="majorBidi"/>
        </w:rPr>
        <w:t xml:space="preserve">established </w:t>
      </w:r>
      <w:r w:rsidR="00202DD8" w:rsidRPr="00C30B6F">
        <w:rPr>
          <w:rFonts w:asciiTheme="majorBidi" w:hAnsiTheme="majorBidi" w:cstheme="majorBidi"/>
        </w:rPr>
        <w:t>three</w:t>
      </w:r>
      <w:r w:rsidR="00202DD8" w:rsidRPr="00192777">
        <w:rPr>
          <w:rFonts w:asciiTheme="majorBidi" w:hAnsiTheme="majorBidi" w:cstheme="majorBidi"/>
        </w:rPr>
        <w:t xml:space="preserve"> new </w:t>
      </w:r>
      <w:r w:rsidR="00D97397">
        <w:rPr>
          <w:rFonts w:asciiTheme="majorBidi" w:hAnsiTheme="majorBidi" w:cstheme="majorBidi"/>
        </w:rPr>
        <w:t>UN</w:t>
      </w:r>
      <w:r w:rsidR="00202DD8" w:rsidRPr="00192777">
        <w:rPr>
          <w:rFonts w:asciiTheme="majorBidi" w:hAnsiTheme="majorBidi" w:cstheme="majorBidi"/>
        </w:rPr>
        <w:t xml:space="preserve"> Regulations</w:t>
      </w:r>
      <w:r w:rsidR="00202DD8">
        <w:rPr>
          <w:rFonts w:asciiTheme="majorBidi" w:hAnsiTheme="majorBidi" w:cstheme="majorBidi"/>
        </w:rPr>
        <w:t xml:space="preserve"> and one new </w:t>
      </w:r>
      <w:r w:rsidR="00D97397">
        <w:rPr>
          <w:rFonts w:asciiTheme="majorBidi" w:hAnsiTheme="majorBidi" w:cstheme="majorBidi"/>
        </w:rPr>
        <w:t xml:space="preserve">UN </w:t>
      </w:r>
      <w:r w:rsidR="00A80FC7">
        <w:rPr>
          <w:rFonts w:asciiTheme="majorBidi" w:hAnsiTheme="majorBidi" w:cstheme="majorBidi"/>
        </w:rPr>
        <w:t>GTR</w:t>
      </w:r>
      <w:r w:rsidR="00202DD8" w:rsidRPr="00192777">
        <w:rPr>
          <w:rFonts w:asciiTheme="majorBidi" w:hAnsiTheme="majorBidi" w:cstheme="majorBidi"/>
        </w:rPr>
        <w:t>.</w:t>
      </w:r>
    </w:p>
    <w:p w14:paraId="6207E736" w14:textId="1ECA6FB8" w:rsidR="00F91B03" w:rsidRPr="00610276" w:rsidRDefault="00F91B03" w:rsidP="00F444EC">
      <w:pPr>
        <w:pStyle w:val="HChG"/>
      </w:pPr>
      <w:r w:rsidRPr="00CE4154">
        <w:tab/>
        <w:t>I</w:t>
      </w:r>
      <w:r w:rsidR="00F3689A">
        <w:t>I</w:t>
      </w:r>
      <w:r w:rsidRPr="00CE4154">
        <w:t>.</w:t>
      </w:r>
      <w:r w:rsidRPr="00CE4154">
        <w:tab/>
      </w:r>
      <w:r w:rsidRPr="001F4E9A">
        <w:t xml:space="preserve">Vehicle </w:t>
      </w:r>
      <w:r w:rsidR="000937D0">
        <w:t>A</w:t>
      </w:r>
      <w:r w:rsidRPr="00F02C10">
        <w:t>utomation</w:t>
      </w:r>
    </w:p>
    <w:p w14:paraId="37AE8C2E" w14:textId="1A699BAD" w:rsidR="004E73C1" w:rsidRPr="00610276" w:rsidRDefault="00A1151B" w:rsidP="00FE62D5">
      <w:pPr>
        <w:pStyle w:val="SingleTxtG"/>
      </w:pPr>
      <w:r>
        <w:t>3</w:t>
      </w:r>
      <w:r w:rsidR="00F91B03" w:rsidRPr="00610276">
        <w:t>.</w:t>
      </w:r>
      <w:r w:rsidR="00F91B03" w:rsidRPr="00610276">
        <w:tab/>
        <w:t xml:space="preserve">Following the </w:t>
      </w:r>
      <w:r w:rsidR="00F91B03" w:rsidRPr="00CE4154">
        <w:t>restructuring of WP.29 in June 2018 to implement ITC Decision No.</w:t>
      </w:r>
      <w:r w:rsidR="000353AA">
        <w:t> </w:t>
      </w:r>
      <w:r w:rsidR="00F91B03" w:rsidRPr="00CE4154">
        <w:t>19 of 2018</w:t>
      </w:r>
      <w:r w:rsidR="00F91B03" w:rsidRPr="006C0288">
        <w:t xml:space="preserve"> and the establishment of the Working Party on Automated/Autonomous and Connected Vehicles (GRVA)</w:t>
      </w:r>
      <w:r w:rsidR="004E73C1" w:rsidRPr="00610276">
        <w:t>, WP.29 and its subsidiary bodies worked according to the</w:t>
      </w:r>
      <w:r w:rsidR="00F91B03" w:rsidRPr="00610276">
        <w:t xml:space="preserve"> Framework Document on Automated/Autonomous Vehicles (ECE/TRANS/WP.29/2019/34/Rev.</w:t>
      </w:r>
      <w:r w:rsidR="006D2024" w:rsidRPr="00610276">
        <w:t>2</w:t>
      </w:r>
      <w:r w:rsidR="00F91B03" w:rsidRPr="00610276">
        <w:t xml:space="preserve">), endorsed by ITC at its </w:t>
      </w:r>
      <w:r w:rsidR="001C5E0D" w:rsidRPr="00610276">
        <w:t xml:space="preserve">eighty-second </w:t>
      </w:r>
      <w:r w:rsidR="00F91B03" w:rsidRPr="00610276">
        <w:t xml:space="preserve">session, </w:t>
      </w:r>
      <w:r w:rsidR="001F4E9A">
        <w:t xml:space="preserve">which </w:t>
      </w:r>
      <w:r w:rsidR="00F91B03" w:rsidRPr="00610276">
        <w:t>guided the work on automated vehicles.</w:t>
      </w:r>
      <w:r w:rsidR="004E73C1" w:rsidRPr="00610276">
        <w:t xml:space="preserve"> This work, led by Co-Chairs from America</w:t>
      </w:r>
      <w:r w:rsidR="001F4E9A">
        <w:t>, Asia and</w:t>
      </w:r>
      <w:r w:rsidR="004E73C1" w:rsidRPr="00610276">
        <w:t xml:space="preserve"> Europe</w:t>
      </w:r>
      <w:r w:rsidR="006C771E">
        <w:t>,</w:t>
      </w:r>
      <w:r w:rsidR="004E73C1" w:rsidRPr="00610276">
        <w:t xml:space="preserve"> </w:t>
      </w:r>
      <w:r w:rsidR="004E73C1" w:rsidRPr="00CE4154">
        <w:t xml:space="preserve">is performed in </w:t>
      </w:r>
      <w:r w:rsidR="004E73C1" w:rsidRPr="00F02C10">
        <w:t>line</w:t>
      </w:r>
      <w:r w:rsidR="004E73C1" w:rsidRPr="00CE4154">
        <w:t xml:space="preserve"> with the safety vision, key safety elements, </w:t>
      </w:r>
      <w:r w:rsidR="00732E28">
        <w:t xml:space="preserve">and </w:t>
      </w:r>
      <w:r w:rsidR="004E73C1" w:rsidRPr="00CE4154">
        <w:t>guidance provided by the framework document to the Working Parties of WP.29</w:t>
      </w:r>
      <w:r w:rsidR="004E73C1" w:rsidRPr="006C0288">
        <w:t xml:space="preserve"> and </w:t>
      </w:r>
      <w:r w:rsidR="00FF6766" w:rsidRPr="006C0288">
        <w:t xml:space="preserve">in line with </w:t>
      </w:r>
      <w:r w:rsidR="004E73C1" w:rsidRPr="006C0288">
        <w:t xml:space="preserve">the programme of activities included in its </w:t>
      </w:r>
      <w:r w:rsidR="000C21FE">
        <w:t>a</w:t>
      </w:r>
      <w:r w:rsidR="004E73C1" w:rsidRPr="006C0288">
        <w:t xml:space="preserve">nnex, which is aimed to be </w:t>
      </w:r>
      <w:r w:rsidR="004E73C1" w:rsidRPr="00610276">
        <w:t xml:space="preserve">suitable for the countries under the regime of type approval and the countries under the regime of self-certification. These activities form a novel </w:t>
      </w:r>
      <w:r w:rsidR="004E73C1" w:rsidRPr="004A530C">
        <w:t>initiative</w:t>
      </w:r>
      <w:r w:rsidR="004E73C1" w:rsidRPr="00610276">
        <w:t xml:space="preserve"> aimed at harmonizing globally automated vehicles regulations and creating a more productive environment for innovation. In 202</w:t>
      </w:r>
      <w:r w:rsidR="00844CE9">
        <w:t>3</w:t>
      </w:r>
      <w:r w:rsidR="004E73C1" w:rsidRPr="00610276">
        <w:t xml:space="preserve">, the highlights produced under the Framework Document include </w:t>
      </w:r>
      <w:r w:rsidR="00376BB9">
        <w:t>a further update</w:t>
      </w:r>
      <w:r w:rsidR="00116477" w:rsidRPr="00943E8E">
        <w:t xml:space="preserve"> of the New Assessment/Test Method for Automated Driving (NATM)</w:t>
      </w:r>
      <w:r w:rsidR="008158CF" w:rsidRPr="00943E8E">
        <w:t xml:space="preserve"> </w:t>
      </w:r>
      <w:r w:rsidR="004E73C1" w:rsidRPr="00943E8E">
        <w:t>– Master Document</w:t>
      </w:r>
      <w:r w:rsidR="00392549">
        <w:t xml:space="preserve">, </w:t>
      </w:r>
      <w:r w:rsidR="00B721CD">
        <w:t xml:space="preserve">the work of a common final document representing the work of the </w:t>
      </w:r>
      <w:r w:rsidR="00D5043E">
        <w:t xml:space="preserve">IWGs </w:t>
      </w:r>
      <w:r w:rsidR="00FE62D5">
        <w:t xml:space="preserve">on Functional Requirements for Automated and Autonomous Vehicles </w:t>
      </w:r>
      <w:r w:rsidR="00C71286">
        <w:t>(</w:t>
      </w:r>
      <w:r w:rsidR="00D5043E">
        <w:t>FRAV</w:t>
      </w:r>
      <w:r w:rsidR="00C71286">
        <w:t>)</w:t>
      </w:r>
      <w:r w:rsidR="00D5043E">
        <w:t xml:space="preserve"> </w:t>
      </w:r>
      <w:r w:rsidR="004F51B1">
        <w:t xml:space="preserve">and </w:t>
      </w:r>
      <w:r w:rsidR="004B5B0D">
        <w:t xml:space="preserve">on </w:t>
      </w:r>
      <w:r w:rsidR="004B5B0D" w:rsidRPr="004B5B0D">
        <w:t xml:space="preserve">Validation Methods for Automated Driving </w:t>
      </w:r>
      <w:r w:rsidR="004B5B0D">
        <w:t>(</w:t>
      </w:r>
      <w:r w:rsidR="004F51B1">
        <w:t>VMAD</w:t>
      </w:r>
      <w:r w:rsidR="004B5B0D">
        <w:t>)</w:t>
      </w:r>
      <w:r w:rsidR="00DA41D5">
        <w:t>, which is conside</w:t>
      </w:r>
      <w:r w:rsidR="001D33B8">
        <w:t>red</w:t>
      </w:r>
      <w:r w:rsidR="009E44ED">
        <w:t xml:space="preserve"> as </w:t>
      </w:r>
      <w:r w:rsidR="004B5B0D">
        <w:t xml:space="preserve">a </w:t>
      </w:r>
      <w:r w:rsidR="009E44ED">
        <w:t>basis for new regulations for Automated Driving Systems</w:t>
      </w:r>
      <w:r w:rsidR="006045DB">
        <w:t xml:space="preserve"> under </w:t>
      </w:r>
      <w:r w:rsidR="000767A9">
        <w:t xml:space="preserve">both </w:t>
      </w:r>
      <w:r w:rsidR="006045DB">
        <w:t>the 1958 and 1998 Agreements</w:t>
      </w:r>
      <w:r w:rsidR="004E73C1" w:rsidRPr="00943E8E">
        <w:t xml:space="preserve"> as well as the </w:t>
      </w:r>
      <w:r w:rsidR="00116477" w:rsidRPr="00943E8E">
        <w:t xml:space="preserve">draft recommendations for </w:t>
      </w:r>
      <w:r w:rsidR="001F4E9A" w:rsidRPr="00943E8E">
        <w:t>a</w:t>
      </w:r>
      <w:r w:rsidR="00116477" w:rsidRPr="00943E8E">
        <w:t xml:space="preserve">utomotive </w:t>
      </w:r>
      <w:r w:rsidR="001F4E9A" w:rsidRPr="00943E8E">
        <w:t>c</w:t>
      </w:r>
      <w:r w:rsidR="00116477" w:rsidRPr="00943E8E">
        <w:t xml:space="preserve">yber </w:t>
      </w:r>
      <w:r w:rsidR="001F4E9A" w:rsidRPr="00943E8E">
        <w:t>s</w:t>
      </w:r>
      <w:r w:rsidR="00116477" w:rsidRPr="00943E8E">
        <w:t xml:space="preserve">ecurity and </w:t>
      </w:r>
      <w:r w:rsidR="001F4E9A" w:rsidRPr="00943E8E">
        <w:t>s</w:t>
      </w:r>
      <w:r w:rsidR="00116477" w:rsidRPr="00943E8E">
        <w:t xml:space="preserve">oftware </w:t>
      </w:r>
      <w:r w:rsidR="001F4E9A" w:rsidRPr="00943E8E">
        <w:t>u</w:t>
      </w:r>
      <w:r w:rsidR="00116477" w:rsidRPr="00943E8E">
        <w:t>pdate</w:t>
      </w:r>
      <w:r w:rsidR="00116477" w:rsidRPr="00610276">
        <w:t>.</w:t>
      </w:r>
    </w:p>
    <w:p w14:paraId="7ABAE9E1" w14:textId="6085EA87" w:rsidR="00DC022A" w:rsidRPr="00CE4154" w:rsidRDefault="00A1151B" w:rsidP="004A530C">
      <w:pPr>
        <w:pStyle w:val="SingleTxtG"/>
      </w:pPr>
      <w:r>
        <w:t>4</w:t>
      </w:r>
      <w:r w:rsidR="00F91B03" w:rsidRPr="00610276">
        <w:t>.</w:t>
      </w:r>
      <w:r w:rsidR="00F91B03" w:rsidRPr="00610276">
        <w:tab/>
      </w:r>
      <w:r w:rsidR="007E6EA8">
        <w:t>Furthermore</w:t>
      </w:r>
      <w:r w:rsidR="00EB5C39">
        <w:t>,</w:t>
      </w:r>
      <w:r w:rsidR="007E6EA8">
        <w:t xml:space="preserve"> </w:t>
      </w:r>
      <w:r w:rsidR="00A74E82">
        <w:t xml:space="preserve">GRVA embarked in the process of drafting a UN Regulation for </w:t>
      </w:r>
      <w:r w:rsidR="00C0498F">
        <w:t>Driver Control Assistance Systems (DCAS)</w:t>
      </w:r>
      <w:r w:rsidR="00726E0B">
        <w:t>.</w:t>
      </w:r>
      <w:r w:rsidR="00CF499C">
        <w:t xml:space="preserve"> With this new provisions, </w:t>
      </w:r>
      <w:r w:rsidR="00B24DD2">
        <w:t xml:space="preserve">currently available and already widely spread technologies </w:t>
      </w:r>
      <w:r w:rsidR="008E1CD2">
        <w:t>still under Level 2 of automation</w:t>
      </w:r>
      <w:r w:rsidR="00AE4DDD">
        <w:t xml:space="preserve">, will be clearly distinguished </w:t>
      </w:r>
      <w:r w:rsidR="00032BF9">
        <w:t>from</w:t>
      </w:r>
      <w:r w:rsidR="00B662EB">
        <w:t xml:space="preserve"> those</w:t>
      </w:r>
      <w:r w:rsidR="00E30F0C">
        <w:t xml:space="preserve"> providing for</w:t>
      </w:r>
      <w:r w:rsidR="008E1CD2">
        <w:t xml:space="preserve"> </w:t>
      </w:r>
      <w:r w:rsidR="00CF499C">
        <w:t xml:space="preserve">full automated driving </w:t>
      </w:r>
      <w:r w:rsidR="009F6C0F">
        <w:t>and thus</w:t>
      </w:r>
      <w:r w:rsidR="00CF499C">
        <w:t xml:space="preserve"> allowing drivers to engage in other tasks than driving (</w:t>
      </w:r>
      <w:r w:rsidR="00CF499C" w:rsidRPr="00943E8E">
        <w:t xml:space="preserve">see also </w:t>
      </w:r>
      <w:r w:rsidR="009B098D" w:rsidRPr="009B098D">
        <w:t xml:space="preserve">Global Forum for Road Traffic Safety </w:t>
      </w:r>
      <w:r w:rsidR="009B098D">
        <w:t>(</w:t>
      </w:r>
      <w:r w:rsidR="00CF499C" w:rsidRPr="00943E8E">
        <w:t>WP.1</w:t>
      </w:r>
      <w:r w:rsidR="009B098D">
        <w:t>)</w:t>
      </w:r>
      <w:r w:rsidR="00CF499C" w:rsidRPr="00943E8E">
        <w:t xml:space="preserve"> Resolution</w:t>
      </w:r>
      <w:r w:rsidR="00943E8E" w:rsidRPr="00943E8E">
        <w:t xml:space="preserve"> </w:t>
      </w:r>
      <w:r w:rsidR="00943E8E">
        <w:t>on safety considerations for activities other than driving undertaken by drivers when automated driving systems issuing transition demands exercise dynamic contro</w:t>
      </w:r>
      <w:r w:rsidR="00943E8E" w:rsidRPr="00A1151B">
        <w:t>l</w:t>
      </w:r>
      <w:r w:rsidR="00CF499C">
        <w:t xml:space="preserve">) </w:t>
      </w:r>
      <w:r w:rsidR="009F6C0F">
        <w:t>still requesting</w:t>
      </w:r>
      <w:r w:rsidR="00773C41">
        <w:t xml:space="preserve"> </w:t>
      </w:r>
      <w:r w:rsidR="00CF499C">
        <w:t>drivers</w:t>
      </w:r>
      <w:r w:rsidR="00773C41">
        <w:t xml:space="preserve"> to</w:t>
      </w:r>
      <w:r w:rsidR="00CF499C">
        <w:t xml:space="preserve"> stay </w:t>
      </w:r>
      <w:r w:rsidR="00773C41">
        <w:t>in control</w:t>
      </w:r>
      <w:r w:rsidR="009A538A">
        <w:t>.</w:t>
      </w:r>
    </w:p>
    <w:p w14:paraId="1DE731F5" w14:textId="572CA53B" w:rsidR="00F91B03" w:rsidRPr="004A530C" w:rsidRDefault="00F91B03" w:rsidP="004A530C">
      <w:pPr>
        <w:pStyle w:val="HChG"/>
      </w:pPr>
      <w:r w:rsidRPr="006C0288">
        <w:lastRenderedPageBreak/>
        <w:tab/>
      </w:r>
      <w:r w:rsidRPr="00610276">
        <w:t>II</w:t>
      </w:r>
      <w:r w:rsidR="00F3689A">
        <w:t>I</w:t>
      </w:r>
      <w:r w:rsidRPr="00610276">
        <w:t>.</w:t>
      </w:r>
      <w:r w:rsidRPr="00610276">
        <w:tab/>
        <w:t>1958 Agreement</w:t>
      </w:r>
    </w:p>
    <w:p w14:paraId="148D7B18" w14:textId="1D00430B" w:rsidR="007C0648" w:rsidRDefault="00A1151B" w:rsidP="00497DC0">
      <w:pPr>
        <w:pStyle w:val="SingleTxtG"/>
      </w:pPr>
      <w:r>
        <w:t>5</w:t>
      </w:r>
      <w:r w:rsidR="00F91B03" w:rsidRPr="00610276">
        <w:t>.</w:t>
      </w:r>
      <w:r w:rsidR="00F91B03" w:rsidRPr="00610276">
        <w:tab/>
      </w:r>
      <w:r w:rsidR="00E20187">
        <w:t xml:space="preserve">WP.29 </w:t>
      </w:r>
      <w:r w:rsidR="00D54D7C">
        <w:t xml:space="preserve">completed its </w:t>
      </w:r>
      <w:r w:rsidR="00497DC0" w:rsidRPr="00064E4D">
        <w:t xml:space="preserve">work on </w:t>
      </w:r>
      <w:r w:rsidR="00C41F9F">
        <w:t xml:space="preserve">the </w:t>
      </w:r>
      <w:r w:rsidR="00497DC0" w:rsidRPr="00064E4D">
        <w:t xml:space="preserve">protection of vulnerable road users with </w:t>
      </w:r>
      <w:r w:rsidR="00C41F9F">
        <w:t xml:space="preserve">the </w:t>
      </w:r>
      <w:r w:rsidR="00497DC0" w:rsidRPr="00064E4D">
        <w:t xml:space="preserve">entry into force of the three new </w:t>
      </w:r>
      <w:r w:rsidR="00A2287A">
        <w:t>UN</w:t>
      </w:r>
      <w:r w:rsidR="00497DC0" w:rsidRPr="00064E4D">
        <w:t xml:space="preserve"> Regulations (</w:t>
      </w:r>
      <w:r w:rsidR="004B3A0B">
        <w:t xml:space="preserve">UN Regulation No. 165 on </w:t>
      </w:r>
      <w:r w:rsidR="004B3A0B" w:rsidRPr="00064E4D">
        <w:t>Reverse Warning</w:t>
      </w:r>
      <w:r w:rsidR="004B3A0B">
        <w:t xml:space="preserve">, </w:t>
      </w:r>
      <w:r w:rsidR="00D54D7C">
        <w:t>UN Regulation No.</w:t>
      </w:r>
      <w:r w:rsidR="002B0475">
        <w:t xml:space="preserve"> 16</w:t>
      </w:r>
      <w:r w:rsidR="004D4539">
        <w:t>6</w:t>
      </w:r>
      <w:r w:rsidR="002B0475">
        <w:t xml:space="preserve"> on</w:t>
      </w:r>
      <w:r w:rsidR="00ED304B">
        <w:t xml:space="preserve"> </w:t>
      </w:r>
      <w:r w:rsidR="00497DC0" w:rsidRPr="00064E4D">
        <w:t>Vulnerable Road Users in Front and Side Close Proximity</w:t>
      </w:r>
      <w:r w:rsidR="00926894" w:rsidRPr="00926894">
        <w:t xml:space="preserve"> </w:t>
      </w:r>
      <w:r w:rsidR="00926894" w:rsidRPr="00064E4D">
        <w:t>and</w:t>
      </w:r>
      <w:r w:rsidR="00497DC0" w:rsidRPr="00064E4D">
        <w:t xml:space="preserve"> </w:t>
      </w:r>
      <w:r w:rsidR="002B0475">
        <w:t>UN Regula</w:t>
      </w:r>
      <w:r w:rsidR="006A710E">
        <w:t>tion N</w:t>
      </w:r>
      <w:r w:rsidR="00926894">
        <w:t>o</w:t>
      </w:r>
      <w:r w:rsidR="006A710E">
        <w:t>. 16</w:t>
      </w:r>
      <w:r w:rsidR="004B3A0B">
        <w:t>7</w:t>
      </w:r>
      <w:r w:rsidR="006A710E">
        <w:t xml:space="preserve"> on </w:t>
      </w:r>
      <w:r w:rsidR="00497DC0" w:rsidRPr="00064E4D">
        <w:t xml:space="preserve">Vulnerable Road Users Direct Vision) in June and October 2023 respectively. </w:t>
      </w:r>
    </w:p>
    <w:p w14:paraId="200AFAC7" w14:textId="38F4BED5" w:rsidR="007C0648" w:rsidRDefault="007C0648" w:rsidP="00497DC0">
      <w:pPr>
        <w:pStyle w:val="SingleTxtG"/>
      </w:pPr>
      <w:r>
        <w:t>6.</w:t>
      </w:r>
      <w:r>
        <w:tab/>
      </w:r>
      <w:r w:rsidR="00497DC0" w:rsidRPr="00064E4D">
        <w:t xml:space="preserve">A new </w:t>
      </w:r>
      <w:r w:rsidR="008620C8">
        <w:t>UN</w:t>
      </w:r>
      <w:r w:rsidR="00497DC0" w:rsidRPr="00064E4D">
        <w:t xml:space="preserve"> Regulation</w:t>
      </w:r>
      <w:r w:rsidR="00BF5E93">
        <w:t xml:space="preserve"> No. </w:t>
      </w:r>
      <w:r w:rsidR="002C5E76">
        <w:t>[168]</w:t>
      </w:r>
      <w:r w:rsidR="00497DC0" w:rsidRPr="00064E4D">
        <w:t xml:space="preserve"> on global Real Driving Emissions will contribute to the protection of the environment and provide realistic information on emission of CO</w:t>
      </w:r>
      <w:r w:rsidR="00497DC0" w:rsidRPr="00064E4D">
        <w:rPr>
          <w:vertAlign w:val="subscript"/>
        </w:rPr>
        <w:t>2</w:t>
      </w:r>
      <w:r w:rsidR="00497DC0" w:rsidRPr="00064E4D">
        <w:t xml:space="preserve"> of new vehicles. With the new </w:t>
      </w:r>
      <w:r w:rsidR="008620C8">
        <w:t>UN</w:t>
      </w:r>
      <w:r w:rsidR="00497DC0" w:rsidRPr="00064E4D">
        <w:t xml:space="preserve"> Regulation </w:t>
      </w:r>
      <w:r w:rsidR="00C848B9">
        <w:t>No</w:t>
      </w:r>
      <w:r w:rsidR="00AA3354">
        <w:t>.</w:t>
      </w:r>
      <w:r w:rsidR="00C848B9">
        <w:t xml:space="preserve"> [1</w:t>
      </w:r>
      <w:r w:rsidR="00DA2033">
        <w:t>6</w:t>
      </w:r>
      <w:r w:rsidR="00C848B9">
        <w:t xml:space="preserve">9] </w:t>
      </w:r>
      <w:r w:rsidR="00497DC0" w:rsidRPr="00064E4D">
        <w:t xml:space="preserve">on Event Data Recorder for heavy Duty Vehicles, traffic crash investigations involving these vehicles will benefit from access to information captured immediately before and during the crash. The new </w:t>
      </w:r>
      <w:r w:rsidR="00335584">
        <w:t>UN</w:t>
      </w:r>
      <w:r w:rsidR="00497DC0" w:rsidRPr="00064E4D">
        <w:t xml:space="preserve"> Regulation </w:t>
      </w:r>
      <w:r w:rsidR="00C848B9">
        <w:t>No</w:t>
      </w:r>
      <w:r w:rsidR="00AA3354">
        <w:t xml:space="preserve">. [170] </w:t>
      </w:r>
      <w:r w:rsidR="00497DC0" w:rsidRPr="00064E4D">
        <w:t>for Restraint systems for Safer Transport of Children in buses will largely contribute to increased safety for the most vulnerable group, children, during crashes when transported in buses</w:t>
      </w:r>
      <w:r w:rsidR="00497DC0" w:rsidRPr="00192777">
        <w:t>.</w:t>
      </w:r>
      <w:r w:rsidR="00497DC0">
        <w:t xml:space="preserve"> </w:t>
      </w:r>
    </w:p>
    <w:p w14:paraId="079C1F5E" w14:textId="4BE8B98B" w:rsidR="00F91B03" w:rsidRPr="00610276" w:rsidRDefault="00A1151B" w:rsidP="00497DC0">
      <w:pPr>
        <w:pStyle w:val="SingleTxtG"/>
      </w:pPr>
      <w:r>
        <w:t>7</w:t>
      </w:r>
      <w:r w:rsidR="00F91B03" w:rsidRPr="00610276">
        <w:t>.</w:t>
      </w:r>
      <w:r w:rsidR="00F91B03" w:rsidRPr="00610276">
        <w:tab/>
        <w:t>Existing UN Regulations</w:t>
      </w:r>
      <w:r w:rsidR="00521F35">
        <w:t xml:space="preserve"> and related Resolutions</w:t>
      </w:r>
      <w:r w:rsidR="00F91B03" w:rsidRPr="00610276">
        <w:t xml:space="preserve"> were updated by </w:t>
      </w:r>
      <w:r w:rsidR="00A0363E" w:rsidRPr="00610276">
        <w:t>1</w:t>
      </w:r>
      <w:r w:rsidR="001270F3">
        <w:t>14</w:t>
      </w:r>
      <w:r w:rsidR="00F91B03" w:rsidRPr="00610276">
        <w:t xml:space="preserve"> amendments, which adapt the regulations to the most recent technological innovations and introduce more stringent limits aimed at increasing both the safety and environmental performance of vehicles. </w:t>
      </w:r>
    </w:p>
    <w:p w14:paraId="0B6C0429" w14:textId="53ECB18C" w:rsidR="00F91B03" w:rsidRPr="00CE4154" w:rsidRDefault="00A1151B" w:rsidP="00F91B03">
      <w:pPr>
        <w:pStyle w:val="SingleTxtG"/>
      </w:pPr>
      <w:r>
        <w:t>8</w:t>
      </w:r>
      <w:r w:rsidR="00F91B03" w:rsidRPr="00610276">
        <w:t>.</w:t>
      </w:r>
      <w:r w:rsidR="00F91B03" w:rsidRPr="00610276">
        <w:tab/>
        <w:t xml:space="preserve">As funding for the hosting of </w:t>
      </w:r>
      <w:r w:rsidR="00F91B03" w:rsidRPr="00CE4154">
        <w:t xml:space="preserve">DETA at </w:t>
      </w:r>
      <w:r w:rsidR="00CB2652">
        <w:t xml:space="preserve">the </w:t>
      </w:r>
      <w:r w:rsidR="006E45BD">
        <w:t>Economic Commission for Europe (</w:t>
      </w:r>
      <w:r w:rsidR="00F91B03" w:rsidRPr="00CE4154">
        <w:t>ECE</w:t>
      </w:r>
      <w:r w:rsidR="006E45BD">
        <w:t>)</w:t>
      </w:r>
      <w:r w:rsidR="00F91B03" w:rsidRPr="00CE4154">
        <w:t xml:space="preserve"> could not be secured so far both under </w:t>
      </w:r>
      <w:r w:rsidR="00E70EE1">
        <w:t>the regular budget</w:t>
      </w:r>
      <w:r w:rsidR="00F91B03" w:rsidRPr="00CE4154">
        <w:t xml:space="preserve"> or </w:t>
      </w:r>
      <w:r w:rsidR="00E70EE1">
        <w:t xml:space="preserve">extra budgetary resources. </w:t>
      </w:r>
      <w:r w:rsidR="00F91B03" w:rsidRPr="00CE4154">
        <w:t xml:space="preserve">WP.29 was grateful to Germany who is currently hosting the system on an </w:t>
      </w:r>
      <w:r w:rsidR="00E70EE1">
        <w:t>interim</w:t>
      </w:r>
      <w:r w:rsidR="00F91B03" w:rsidRPr="00CE4154">
        <w:t xml:space="preserve"> basis. WP.29 would continue to look into possibilities for sustained solutions for the funding of the hosting of DETA.</w:t>
      </w:r>
    </w:p>
    <w:p w14:paraId="49E85669" w14:textId="5843CC9F" w:rsidR="00F91B03" w:rsidRPr="001B5AC9" w:rsidRDefault="00A1151B" w:rsidP="00F91B03">
      <w:pPr>
        <w:pStyle w:val="SingleTxtG"/>
      </w:pPr>
      <w:r>
        <w:t>9</w:t>
      </w:r>
      <w:r w:rsidR="00F91B03" w:rsidRPr="00CE4154">
        <w:t>.</w:t>
      </w:r>
      <w:r w:rsidR="00F91B03" w:rsidRPr="00CE4154">
        <w:tab/>
        <w:t>As regards the development of additional functionalities/modules of DETA, the International Motor Vehicle Inspection Committee reconfirmed its readiness to finance the development of the module for Declaration of Conformity</w:t>
      </w:r>
      <w:r w:rsidR="00E70EE1">
        <w:t xml:space="preserve"> (</w:t>
      </w:r>
      <w:proofErr w:type="spellStart"/>
      <w:r w:rsidR="00E70EE1">
        <w:t>DoC</w:t>
      </w:r>
      <w:proofErr w:type="spellEnd"/>
      <w:r w:rsidR="00E70EE1">
        <w:t>)</w:t>
      </w:r>
      <w:r w:rsidR="00F91B03" w:rsidRPr="00CE4154">
        <w:t xml:space="preserve">. The </w:t>
      </w:r>
      <w:r w:rsidR="00425C79">
        <w:t>further development of the module</w:t>
      </w:r>
      <w:r w:rsidR="00EE0255">
        <w:t xml:space="preserve"> for the Unique Identifier (UI)</w:t>
      </w:r>
      <w:r w:rsidR="009C0E1A">
        <w:t>,</w:t>
      </w:r>
      <w:r w:rsidR="00EE0255">
        <w:t xml:space="preserve"> </w:t>
      </w:r>
      <w:r w:rsidR="006808F1">
        <w:t xml:space="preserve">which </w:t>
      </w:r>
      <w:r w:rsidR="00E74E2A">
        <w:t xml:space="preserve">was paused </w:t>
      </w:r>
      <w:r w:rsidR="001D0A64">
        <w:t xml:space="preserve">as an assessment of its </w:t>
      </w:r>
      <w:r w:rsidR="001F58E7">
        <w:t xml:space="preserve">general applicability </w:t>
      </w:r>
      <w:r w:rsidR="00615B22">
        <w:t>for all of the UN Regulations</w:t>
      </w:r>
      <w:r w:rsidR="009C0E1A">
        <w:t>,</w:t>
      </w:r>
      <w:r w:rsidR="00615B22">
        <w:t xml:space="preserve"> </w:t>
      </w:r>
      <w:r w:rsidR="00E364EB">
        <w:t xml:space="preserve">is ongoing. </w:t>
      </w:r>
      <w:r w:rsidR="00270C52">
        <w:t xml:space="preserve">A potential optional </w:t>
      </w:r>
      <w:r w:rsidR="00B3410A">
        <w:t>approach is subject to ongoing discussion</w:t>
      </w:r>
      <w:r w:rsidR="000609C3">
        <w:t>s</w:t>
      </w:r>
      <w:r w:rsidR="00B3410A">
        <w:t xml:space="preserve"> among contracting parties.</w:t>
      </w:r>
      <w:r w:rsidR="0094497E">
        <w:t xml:space="preserve"> </w:t>
      </w:r>
    </w:p>
    <w:p w14:paraId="7147D8DA" w14:textId="24D01A72" w:rsidR="00F91B03" w:rsidRPr="00610276" w:rsidRDefault="00F91B03" w:rsidP="004A530C">
      <w:pPr>
        <w:pStyle w:val="HChG"/>
        <w:rPr>
          <w:szCs w:val="24"/>
        </w:rPr>
      </w:pPr>
      <w:r w:rsidRPr="00610276">
        <w:tab/>
        <w:t>I</w:t>
      </w:r>
      <w:r w:rsidR="00F3689A">
        <w:t>V</w:t>
      </w:r>
      <w:r w:rsidRPr="00610276">
        <w:t>.</w:t>
      </w:r>
      <w:r w:rsidRPr="00610276">
        <w:tab/>
        <w:t xml:space="preserve">1997 </w:t>
      </w:r>
      <w:r w:rsidRPr="004A530C">
        <w:t>Agreement</w:t>
      </w:r>
    </w:p>
    <w:p w14:paraId="256C4714" w14:textId="77777777" w:rsidR="009B465B" w:rsidRDefault="00A1151B" w:rsidP="004A530C">
      <w:pPr>
        <w:pStyle w:val="SingleTxtG"/>
      </w:pPr>
      <w:r>
        <w:t>10</w:t>
      </w:r>
      <w:r w:rsidR="00F91B03" w:rsidRPr="00610276">
        <w:t>.</w:t>
      </w:r>
      <w:r w:rsidR="00F91B03" w:rsidRPr="00610276">
        <w:tab/>
        <w:t xml:space="preserve">At </w:t>
      </w:r>
      <w:r w:rsidR="00D27736" w:rsidRPr="00610276">
        <w:t>its</w:t>
      </w:r>
      <w:r w:rsidR="00F91B03" w:rsidRPr="00610276">
        <w:t xml:space="preserve"> 1</w:t>
      </w:r>
      <w:r w:rsidR="0094497E">
        <w:t>91s</w:t>
      </w:r>
      <w:r w:rsidR="00930FC6" w:rsidRPr="00610276">
        <w:t>t</w:t>
      </w:r>
      <w:r w:rsidR="00F91B03" w:rsidRPr="00610276">
        <w:t xml:space="preserve"> session</w:t>
      </w:r>
      <w:r w:rsidR="00D27736" w:rsidRPr="00610276">
        <w:t>,</w:t>
      </w:r>
      <w:r w:rsidR="00F91B03" w:rsidRPr="00610276">
        <w:t xml:space="preserve"> WP.29 </w:t>
      </w:r>
      <w:r w:rsidR="0094497E">
        <w:t>adopted</w:t>
      </w:r>
      <w:r>
        <w:t xml:space="preserve"> </w:t>
      </w:r>
      <w:r w:rsidR="009B465B">
        <w:t>t</w:t>
      </w:r>
      <w:r w:rsidR="00E70EE1">
        <w:t xml:space="preserve">he draft </w:t>
      </w:r>
      <w:r w:rsidR="00930FC6" w:rsidRPr="006C0288">
        <w:t>framework document on vehicle whole</w:t>
      </w:r>
      <w:r w:rsidR="007A68DD" w:rsidRPr="00610276">
        <w:t>-</w:t>
      </w:r>
      <w:r w:rsidR="00930FC6" w:rsidRPr="00610276">
        <w:t>life compliance</w:t>
      </w:r>
      <w:r w:rsidR="00D27736" w:rsidRPr="00610276">
        <w:t>, which provides for a compliance regime for vehicles from type-approval via periodic technical inspections, roadside technical inspections until its end-of-li</w:t>
      </w:r>
      <w:r w:rsidR="00E70EE1">
        <w:t>f</w:t>
      </w:r>
      <w:r w:rsidR="00D27736" w:rsidRPr="00610276">
        <w:t>e and scrapping by applying a holistic approach</w:t>
      </w:r>
      <w:r w:rsidR="00F91B03" w:rsidRPr="00610276">
        <w:t>.</w:t>
      </w:r>
    </w:p>
    <w:p w14:paraId="6C5713CF" w14:textId="4A5C3123" w:rsidR="00F91B03" w:rsidRPr="00610276" w:rsidRDefault="009B465B" w:rsidP="004A530C">
      <w:pPr>
        <w:pStyle w:val="SingleTxtG"/>
        <w:rPr>
          <w:highlight w:val="yellow"/>
        </w:rPr>
      </w:pPr>
      <w:r>
        <w:t>11.</w:t>
      </w:r>
      <w:r>
        <w:tab/>
      </w:r>
      <w:r w:rsidR="00CC1904">
        <w:t xml:space="preserve">WP.29 also adopted an </w:t>
      </w:r>
      <w:r w:rsidR="0059623A">
        <w:t>amendment</w:t>
      </w:r>
      <w:r w:rsidR="00CC1904">
        <w:t xml:space="preserve"> to</w:t>
      </w:r>
      <w:r w:rsidR="00F91B03" w:rsidRPr="00610276">
        <w:t xml:space="preserve"> </w:t>
      </w:r>
      <w:r w:rsidR="0059623A">
        <w:t>Resolution R.E.6</w:t>
      </w:r>
      <w:r w:rsidR="00097E0A">
        <w:t xml:space="preserve"> </w:t>
      </w:r>
      <w:r w:rsidR="009B2CCB" w:rsidRPr="000E6F38">
        <w:t>(test</w:t>
      </w:r>
      <w:r w:rsidR="00DA4C68">
        <w:t xml:space="preserve"> </w:t>
      </w:r>
      <w:r w:rsidR="009B2CCB" w:rsidRPr="000E6F38">
        <w:t xml:space="preserve">equipment, skills and training of inspectors and supervision) </w:t>
      </w:r>
      <w:r w:rsidR="00097E0A">
        <w:t xml:space="preserve">introducing requirements for test equipment for </w:t>
      </w:r>
      <w:r w:rsidR="004B29B3">
        <w:t>particulate number counting</w:t>
      </w:r>
      <w:r w:rsidR="00A51515">
        <w:t>.</w:t>
      </w:r>
      <w:r w:rsidR="00E025B3">
        <w:t xml:space="preserve"> </w:t>
      </w:r>
      <w:r w:rsidR="00A51515">
        <w:t xml:space="preserve">It </w:t>
      </w:r>
      <w:r w:rsidR="00E025B3">
        <w:t>established an amendment to UN Rule No.</w:t>
      </w:r>
      <w:r w:rsidR="00BE4DD5">
        <w:t xml:space="preserve"> 1 </w:t>
      </w:r>
      <w:r w:rsidR="00920649" w:rsidRPr="000E6F38">
        <w:t>(Protection of the Environment)</w:t>
      </w:r>
      <w:r w:rsidR="0031227B">
        <w:t xml:space="preserve"> </w:t>
      </w:r>
      <w:r w:rsidR="00BE4DD5">
        <w:t xml:space="preserve">introducing the particulate counting test as an alternative for </w:t>
      </w:r>
      <w:r w:rsidR="000E2F97">
        <w:t>diesel powered vehicles of emission levels 5/V and 6/VI.</w:t>
      </w:r>
      <w:r w:rsidR="00587018">
        <w:t xml:space="preserve"> </w:t>
      </w:r>
      <w:r w:rsidR="00A631F3">
        <w:t xml:space="preserve">This new diesel emission test </w:t>
      </w:r>
      <w:r w:rsidR="000F23FA">
        <w:t xml:space="preserve">during periodic technical inspections </w:t>
      </w:r>
      <w:r w:rsidR="008E7605">
        <w:t>would contribute to</w:t>
      </w:r>
      <w:r w:rsidR="00660E9D">
        <w:t xml:space="preserve"> </w:t>
      </w:r>
      <w:r w:rsidR="008E7605">
        <w:t>further</w:t>
      </w:r>
      <w:r w:rsidR="00305848">
        <w:t xml:space="preserve"> protection of the environment.</w:t>
      </w:r>
    </w:p>
    <w:p w14:paraId="09487CA7" w14:textId="5E933C50" w:rsidR="00F91B03" w:rsidRPr="00610276" w:rsidRDefault="00F91B03" w:rsidP="004A530C">
      <w:pPr>
        <w:pStyle w:val="HChG"/>
        <w:rPr>
          <w:szCs w:val="24"/>
        </w:rPr>
      </w:pPr>
      <w:r w:rsidRPr="00610276">
        <w:tab/>
        <w:t>V.</w:t>
      </w:r>
      <w:r w:rsidRPr="00610276">
        <w:tab/>
        <w:t xml:space="preserve">1998 </w:t>
      </w:r>
      <w:r w:rsidRPr="004A530C">
        <w:t>Agreement</w:t>
      </w:r>
    </w:p>
    <w:p w14:paraId="70521A7B" w14:textId="0B36FB9B" w:rsidR="00521F35" w:rsidRDefault="00F91B03" w:rsidP="00D306FB">
      <w:pPr>
        <w:pStyle w:val="SingleTxtG"/>
      </w:pPr>
      <w:r w:rsidRPr="00610276">
        <w:t>1</w:t>
      </w:r>
      <w:r w:rsidR="00D306FB">
        <w:t>2</w:t>
      </w:r>
      <w:r w:rsidRPr="00610276">
        <w:t>.</w:t>
      </w:r>
      <w:r w:rsidRPr="00610276">
        <w:tab/>
        <w:t>In 202</w:t>
      </w:r>
      <w:r w:rsidR="00EE25EE">
        <w:t>3</w:t>
      </w:r>
      <w:r w:rsidRPr="00610276">
        <w:t xml:space="preserve">, WP.29 concluded several years of work on </w:t>
      </w:r>
      <w:r w:rsidR="00536ED8">
        <w:t>a</w:t>
      </w:r>
      <w:r w:rsidR="00521F35">
        <w:t xml:space="preserve"> n</w:t>
      </w:r>
      <w:r w:rsidR="00536ED8">
        <w:t>ew</w:t>
      </w:r>
      <w:r w:rsidR="00521F35">
        <w:t xml:space="preserve"> UN Global Technical Regulations (UN</w:t>
      </w:r>
      <w:r w:rsidR="00087519">
        <w:t xml:space="preserve"> </w:t>
      </w:r>
      <w:r w:rsidR="00521F35">
        <w:t>GTR) and established</w:t>
      </w:r>
      <w:r w:rsidR="00D306FB">
        <w:t xml:space="preserve"> </w:t>
      </w:r>
      <w:r w:rsidR="00521F35" w:rsidRPr="00521F35">
        <w:t>UN GTR No. 2</w:t>
      </w:r>
      <w:r w:rsidR="00536ED8">
        <w:t>4</w:t>
      </w:r>
      <w:r w:rsidR="00521F35" w:rsidRPr="00521F35">
        <w:t xml:space="preserve"> on </w:t>
      </w:r>
      <w:r w:rsidR="00B11D87" w:rsidRPr="00064E4D">
        <w:rPr>
          <w:rFonts w:asciiTheme="majorBidi" w:hAnsiTheme="majorBidi" w:cstheme="majorBidi"/>
        </w:rPr>
        <w:t>laboratory Measurements of Brake Emissions for Light-Duty Vehicles</w:t>
      </w:r>
      <w:r w:rsidR="00F444EC">
        <w:rPr>
          <w:rFonts w:asciiTheme="majorBidi" w:hAnsiTheme="majorBidi" w:cstheme="majorBidi"/>
        </w:rPr>
        <w:t>.</w:t>
      </w:r>
    </w:p>
    <w:p w14:paraId="6159FC50" w14:textId="5025A0AE" w:rsidR="00F91B03" w:rsidRPr="00610276" w:rsidRDefault="00F6634D" w:rsidP="00521F35">
      <w:pPr>
        <w:pStyle w:val="SingleTxtG"/>
        <w:rPr>
          <w:rFonts w:asciiTheme="majorBidi" w:hAnsiTheme="majorBidi" w:cstheme="majorBidi"/>
        </w:rPr>
      </w:pPr>
      <w:r>
        <w:t>1</w:t>
      </w:r>
      <w:r w:rsidR="00F444EC">
        <w:t>3</w:t>
      </w:r>
      <w:r>
        <w:t>.</w:t>
      </w:r>
      <w:r>
        <w:tab/>
        <w:t xml:space="preserve">WP.29 established an </w:t>
      </w:r>
      <w:r w:rsidR="00F91B03" w:rsidRPr="00610276">
        <w:rPr>
          <w:rFonts w:asciiTheme="majorBidi" w:hAnsiTheme="majorBidi" w:cstheme="majorBidi"/>
        </w:rPr>
        <w:t xml:space="preserve">amendment to </w:t>
      </w:r>
      <w:r w:rsidR="00E70EE1">
        <w:rPr>
          <w:rFonts w:asciiTheme="majorBidi" w:hAnsiTheme="majorBidi" w:cstheme="majorBidi"/>
        </w:rPr>
        <w:t xml:space="preserve">UN </w:t>
      </w:r>
      <w:r w:rsidR="00DE0714">
        <w:rPr>
          <w:rFonts w:asciiTheme="majorBidi" w:hAnsiTheme="majorBidi" w:cstheme="majorBidi"/>
        </w:rPr>
        <w:t>GTR</w:t>
      </w:r>
      <w:r w:rsidR="00F91B03" w:rsidRPr="00610276">
        <w:rPr>
          <w:rFonts w:asciiTheme="majorBidi" w:hAnsiTheme="majorBidi" w:cstheme="majorBidi"/>
        </w:rPr>
        <w:t xml:space="preserve"> No. </w:t>
      </w:r>
      <w:r w:rsidR="00066E74" w:rsidRPr="00064E4D">
        <w:rPr>
          <w:rFonts w:asciiTheme="majorBidi" w:hAnsiTheme="majorBidi" w:cstheme="majorBidi"/>
        </w:rPr>
        <w:t>13 (Hydrogen and Fuel Cell vehicles)</w:t>
      </w:r>
      <w:r w:rsidR="007A68DD" w:rsidRPr="00610276">
        <w:rPr>
          <w:rFonts w:asciiTheme="majorBidi" w:hAnsiTheme="majorBidi" w:cstheme="majorBidi"/>
        </w:rPr>
        <w:t xml:space="preserve"> </w:t>
      </w:r>
      <w:r w:rsidR="00D27736" w:rsidRPr="00610276">
        <w:rPr>
          <w:rFonts w:asciiTheme="majorBidi" w:hAnsiTheme="majorBidi" w:cstheme="majorBidi"/>
        </w:rPr>
        <w:t xml:space="preserve">and </w:t>
      </w:r>
      <w:r w:rsidR="007A68DD" w:rsidRPr="00610276">
        <w:rPr>
          <w:rFonts w:asciiTheme="majorBidi" w:hAnsiTheme="majorBidi" w:cstheme="majorBidi"/>
        </w:rPr>
        <w:t>one</w:t>
      </w:r>
      <w:r w:rsidR="00D27736" w:rsidRPr="00610276">
        <w:rPr>
          <w:rFonts w:asciiTheme="majorBidi" w:hAnsiTheme="majorBidi" w:cstheme="majorBidi"/>
        </w:rPr>
        <w:t xml:space="preserve"> </w:t>
      </w:r>
      <w:r>
        <w:rPr>
          <w:rFonts w:asciiTheme="majorBidi" w:hAnsiTheme="majorBidi" w:cstheme="majorBidi"/>
        </w:rPr>
        <w:t xml:space="preserve">amendment to </w:t>
      </w:r>
      <w:r w:rsidR="00D27736" w:rsidRPr="00610276">
        <w:rPr>
          <w:rFonts w:asciiTheme="majorBidi" w:hAnsiTheme="majorBidi" w:cstheme="majorBidi"/>
        </w:rPr>
        <w:t xml:space="preserve">Mutual Resolution </w:t>
      </w:r>
      <w:r>
        <w:rPr>
          <w:rFonts w:asciiTheme="majorBidi" w:hAnsiTheme="majorBidi" w:cstheme="majorBidi"/>
        </w:rPr>
        <w:t>No.</w:t>
      </w:r>
      <w:r w:rsidR="007834F1">
        <w:rPr>
          <w:rFonts w:asciiTheme="majorBidi" w:hAnsiTheme="majorBidi" w:cstheme="majorBidi"/>
        </w:rPr>
        <w:t> </w:t>
      </w:r>
      <w:r>
        <w:rPr>
          <w:rFonts w:asciiTheme="majorBidi" w:hAnsiTheme="majorBidi" w:cstheme="majorBidi"/>
        </w:rPr>
        <w:t xml:space="preserve">1 (M.R.1) </w:t>
      </w:r>
      <w:r w:rsidR="00D27736" w:rsidRPr="00610276">
        <w:rPr>
          <w:rFonts w:asciiTheme="majorBidi" w:hAnsiTheme="majorBidi" w:cstheme="majorBidi"/>
        </w:rPr>
        <w:t xml:space="preserve">on </w:t>
      </w:r>
      <w:r w:rsidRPr="00F6634D">
        <w:rPr>
          <w:rFonts w:asciiTheme="majorBidi" w:hAnsiTheme="majorBidi" w:cstheme="majorBidi"/>
        </w:rPr>
        <w:t xml:space="preserve">the description and performance of test tools and devices necessary for the assessment of compliance of wheeled vehicles, equipment and parts according to the technical prescriptions specified in UN Regulations and UN </w:t>
      </w:r>
      <w:r w:rsidR="00E46940">
        <w:rPr>
          <w:rFonts w:asciiTheme="majorBidi" w:hAnsiTheme="majorBidi" w:cstheme="majorBidi"/>
        </w:rPr>
        <w:t>GTRs</w:t>
      </w:r>
      <w:r>
        <w:rPr>
          <w:rFonts w:asciiTheme="majorBidi" w:hAnsiTheme="majorBidi" w:cstheme="majorBidi"/>
        </w:rPr>
        <w:t>.</w:t>
      </w:r>
      <w:r w:rsidR="00F91B03" w:rsidRPr="00610276">
        <w:rPr>
          <w:rFonts w:asciiTheme="majorBidi" w:hAnsiTheme="majorBidi" w:cstheme="majorBidi"/>
        </w:rPr>
        <w:t xml:space="preserve"> </w:t>
      </w:r>
      <w:r w:rsidR="00390699" w:rsidRPr="00610276">
        <w:t>This will</w:t>
      </w:r>
      <w:r w:rsidR="00F91B03" w:rsidRPr="00610276">
        <w:t xml:space="preserve"> adapt the UN GTRs to the most recent technological </w:t>
      </w:r>
      <w:r w:rsidR="00F91B03" w:rsidRPr="00610276">
        <w:lastRenderedPageBreak/>
        <w:t>innovations and introduce more stringent requirements aimed at increasing both the safety and environmental performance of vehicles</w:t>
      </w:r>
      <w:r w:rsidR="00350C26">
        <w:rPr>
          <w:rFonts w:asciiTheme="majorBidi" w:hAnsiTheme="majorBidi" w:cstheme="majorBidi"/>
        </w:rPr>
        <w:t>.</w:t>
      </w:r>
    </w:p>
    <w:p w14:paraId="54316D77" w14:textId="517DAC0B" w:rsidR="00F91B03" w:rsidRPr="00610276" w:rsidRDefault="00F91B03" w:rsidP="004A530C">
      <w:pPr>
        <w:pStyle w:val="HChG"/>
      </w:pPr>
      <w:r w:rsidRPr="00610276">
        <w:tab/>
        <w:t>V</w:t>
      </w:r>
      <w:r w:rsidR="00F3689A">
        <w:t>I</w:t>
      </w:r>
      <w:r w:rsidRPr="00610276">
        <w:t>.</w:t>
      </w:r>
      <w:r w:rsidRPr="00610276">
        <w:tab/>
        <w:t xml:space="preserve">Link with the </w:t>
      </w:r>
      <w:r w:rsidRPr="004A530C">
        <w:t>2030</w:t>
      </w:r>
      <w:r w:rsidRPr="00610276">
        <w:t xml:space="preserve"> Agenda for Sustainable Development</w:t>
      </w:r>
    </w:p>
    <w:p w14:paraId="60899352" w14:textId="68ABE559" w:rsidR="00250503" w:rsidRPr="001B5AC9" w:rsidRDefault="00F91B03" w:rsidP="004A530C">
      <w:pPr>
        <w:pStyle w:val="SingleTxtG"/>
      </w:pPr>
      <w:r w:rsidRPr="00610276">
        <w:t>1</w:t>
      </w:r>
      <w:r w:rsidR="00F444EC">
        <w:t>4</w:t>
      </w:r>
      <w:r w:rsidRPr="00610276">
        <w:t>.</w:t>
      </w:r>
      <w:r w:rsidRPr="00610276">
        <w:tab/>
        <w:t xml:space="preserve">Accession to </w:t>
      </w:r>
      <w:r w:rsidR="0092132E">
        <w:t>UN</w:t>
      </w:r>
      <w:r w:rsidRPr="00610276">
        <w:t xml:space="preserve"> vehicle agreements and adherence to annexed UN Regulations, Rules and </w:t>
      </w:r>
      <w:r w:rsidR="00390699" w:rsidRPr="00610276">
        <w:t xml:space="preserve">UN </w:t>
      </w:r>
      <w:r w:rsidRPr="00610276">
        <w:t xml:space="preserve">GTRs can contribute to progress in achieving targets 3.6, 3.9, 7.3, 9.1, 11.2 and 13.2 of the Sustainable </w:t>
      </w:r>
      <w:r w:rsidRPr="004A530C">
        <w:t>Development</w:t>
      </w:r>
      <w:r w:rsidRPr="00610276">
        <w:t xml:space="preserve"> Goals.</w:t>
      </w:r>
    </w:p>
    <w:p w14:paraId="03372C90" w14:textId="76B53194" w:rsidR="005C1615" w:rsidRPr="00610276" w:rsidRDefault="005C1615" w:rsidP="005C1615">
      <w:pPr>
        <w:spacing w:before="240"/>
        <w:jc w:val="center"/>
        <w:rPr>
          <w:u w:val="single"/>
        </w:rPr>
      </w:pPr>
      <w:r w:rsidRPr="00610276">
        <w:rPr>
          <w:u w:val="single"/>
        </w:rPr>
        <w:tab/>
      </w:r>
      <w:r w:rsidRPr="00610276">
        <w:rPr>
          <w:u w:val="single"/>
        </w:rPr>
        <w:tab/>
      </w:r>
      <w:r w:rsidRPr="00610276">
        <w:rPr>
          <w:u w:val="single"/>
        </w:rPr>
        <w:tab/>
      </w:r>
    </w:p>
    <w:sectPr w:rsidR="005C1615" w:rsidRPr="00610276" w:rsidSect="00954785">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37B5D" w14:textId="77777777" w:rsidR="00076C47" w:rsidRDefault="00076C47"/>
  </w:endnote>
  <w:endnote w:type="continuationSeparator" w:id="0">
    <w:p w14:paraId="41DBA124" w14:textId="77777777" w:rsidR="00076C47" w:rsidRDefault="00076C47"/>
  </w:endnote>
  <w:endnote w:type="continuationNotice" w:id="1">
    <w:p w14:paraId="1ED7891E" w14:textId="77777777" w:rsidR="00076C47" w:rsidRDefault="00076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D" w14:textId="77777777" w:rsidR="000B7022" w:rsidRPr="00954785" w:rsidRDefault="000B7022"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E" w14:textId="77777777" w:rsidR="000B7022" w:rsidRPr="00954785" w:rsidRDefault="000B7022"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2C1B8" w14:textId="77777777" w:rsidR="00076C47" w:rsidRPr="000B175B" w:rsidRDefault="00076C47" w:rsidP="000B175B">
      <w:pPr>
        <w:tabs>
          <w:tab w:val="right" w:pos="2155"/>
        </w:tabs>
        <w:spacing w:after="80"/>
        <w:ind w:left="680"/>
        <w:rPr>
          <w:u w:val="single"/>
        </w:rPr>
      </w:pPr>
      <w:r>
        <w:rPr>
          <w:u w:val="single"/>
        </w:rPr>
        <w:tab/>
      </w:r>
    </w:p>
  </w:footnote>
  <w:footnote w:type="continuationSeparator" w:id="0">
    <w:p w14:paraId="146BBEA9" w14:textId="77777777" w:rsidR="00076C47" w:rsidRPr="00FC68B7" w:rsidRDefault="00076C47" w:rsidP="00FC68B7">
      <w:pPr>
        <w:tabs>
          <w:tab w:val="left" w:pos="2155"/>
        </w:tabs>
        <w:spacing w:after="80"/>
        <w:ind w:left="680"/>
        <w:rPr>
          <w:u w:val="single"/>
        </w:rPr>
      </w:pPr>
      <w:r>
        <w:rPr>
          <w:u w:val="single"/>
        </w:rPr>
        <w:tab/>
      </w:r>
    </w:p>
  </w:footnote>
  <w:footnote w:type="continuationNotice" w:id="1">
    <w:p w14:paraId="74EE3F97" w14:textId="77777777" w:rsidR="00076C47" w:rsidRDefault="00076C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B" w14:textId="46BCB1C3" w:rsidR="000B7022" w:rsidRPr="00954785" w:rsidRDefault="00CA1F0F">
    <w:pPr>
      <w:pStyle w:val="Header"/>
    </w:pPr>
    <w:fldSimple w:instr="TITLE  \* MERGEFORMAT">
      <w:r w:rsidR="008B7BFF">
        <w:t>ECE/TRANS/2022/22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C" w14:textId="2176564C" w:rsidR="000B7022" w:rsidRPr="0006395A" w:rsidRDefault="00CA1F0F" w:rsidP="00954785">
    <w:pPr>
      <w:pStyle w:val="Header"/>
      <w:jc w:val="right"/>
      <w:rPr>
        <w:lang w:val="fr-CH"/>
      </w:rPr>
    </w:pPr>
    <w:fldSimple w:instr="TITLE  \* MERGEFORMAT">
      <w:r w:rsidR="008B7BFF">
        <w:t>ECE/TRANS/2022/22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749039C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66AE868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53633C"/>
    <w:multiLevelType w:val="hybridMultilevel"/>
    <w:tmpl w:val="164C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DF7BB8"/>
    <w:multiLevelType w:val="multilevel"/>
    <w:tmpl w:val="086A0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35794E"/>
    <w:multiLevelType w:val="multilevel"/>
    <w:tmpl w:val="0F5A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7B6468"/>
    <w:multiLevelType w:val="hybridMultilevel"/>
    <w:tmpl w:val="0CC0A146"/>
    <w:lvl w:ilvl="0" w:tplc="5380EBFE">
      <w:start w:val="2"/>
      <w:numFmt w:val="bullet"/>
      <w:lvlText w:val="-"/>
      <w:lvlJc w:val="left"/>
      <w:pPr>
        <w:ind w:left="410" w:hanging="360"/>
      </w:pPr>
      <w:rPr>
        <w:rFonts w:ascii="Calibri" w:eastAsiaTheme="minorEastAsia"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A71467"/>
    <w:multiLevelType w:val="multilevel"/>
    <w:tmpl w:val="CCA6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96643B"/>
    <w:multiLevelType w:val="multilevel"/>
    <w:tmpl w:val="FFA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75A7B"/>
    <w:multiLevelType w:val="multilevel"/>
    <w:tmpl w:val="EA04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9F329B"/>
    <w:multiLevelType w:val="hybridMultilevel"/>
    <w:tmpl w:val="98E04A14"/>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25" w15:restartNumberingAfterBreak="0">
    <w:nsid w:val="65925DC1"/>
    <w:multiLevelType w:val="hybridMultilevel"/>
    <w:tmpl w:val="E49E3158"/>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8A6B7B"/>
    <w:multiLevelType w:val="multilevel"/>
    <w:tmpl w:val="1E56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35463D"/>
    <w:multiLevelType w:val="multilevel"/>
    <w:tmpl w:val="CD92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59587604">
    <w:abstractNumId w:val="1"/>
  </w:num>
  <w:num w:numId="2" w16cid:durableId="834107697">
    <w:abstractNumId w:val="0"/>
  </w:num>
  <w:num w:numId="3" w16cid:durableId="458184978">
    <w:abstractNumId w:val="2"/>
  </w:num>
  <w:num w:numId="4" w16cid:durableId="1289508807">
    <w:abstractNumId w:val="3"/>
  </w:num>
  <w:num w:numId="5" w16cid:durableId="391467480">
    <w:abstractNumId w:val="8"/>
  </w:num>
  <w:num w:numId="6" w16cid:durableId="1430082098">
    <w:abstractNumId w:val="9"/>
  </w:num>
  <w:num w:numId="7" w16cid:durableId="797451643">
    <w:abstractNumId w:val="7"/>
  </w:num>
  <w:num w:numId="8" w16cid:durableId="822158065">
    <w:abstractNumId w:val="6"/>
  </w:num>
  <w:num w:numId="9" w16cid:durableId="1697004065">
    <w:abstractNumId w:val="5"/>
  </w:num>
  <w:num w:numId="10" w16cid:durableId="1144933471">
    <w:abstractNumId w:val="4"/>
  </w:num>
  <w:num w:numId="11" w16cid:durableId="603878994">
    <w:abstractNumId w:val="19"/>
  </w:num>
  <w:num w:numId="12" w16cid:durableId="1235776367">
    <w:abstractNumId w:val="14"/>
  </w:num>
  <w:num w:numId="13" w16cid:durableId="286014394">
    <w:abstractNumId w:val="10"/>
  </w:num>
  <w:num w:numId="14" w16cid:durableId="680937311">
    <w:abstractNumId w:val="12"/>
  </w:num>
  <w:num w:numId="15" w16cid:durableId="1668900869">
    <w:abstractNumId w:val="20"/>
  </w:num>
  <w:num w:numId="16" w16cid:durableId="593516946">
    <w:abstractNumId w:val="13"/>
  </w:num>
  <w:num w:numId="17" w16cid:durableId="1268343336">
    <w:abstractNumId w:val="25"/>
  </w:num>
  <w:num w:numId="18" w16cid:durableId="174853755">
    <w:abstractNumId w:val="28"/>
  </w:num>
  <w:num w:numId="19" w16cid:durableId="2093964410">
    <w:abstractNumId w:val="11"/>
  </w:num>
  <w:num w:numId="20" w16cid:durableId="1300107154">
    <w:abstractNumId w:val="22"/>
  </w:num>
  <w:num w:numId="21" w16cid:durableId="1794790233">
    <w:abstractNumId w:val="15"/>
  </w:num>
  <w:num w:numId="22" w16cid:durableId="1112242032">
    <w:abstractNumId w:val="18"/>
  </w:num>
  <w:num w:numId="23" w16cid:durableId="961888569">
    <w:abstractNumId w:val="17"/>
  </w:num>
  <w:num w:numId="24" w16cid:durableId="948001393">
    <w:abstractNumId w:val="23"/>
  </w:num>
  <w:num w:numId="25" w16cid:durableId="1771006772">
    <w:abstractNumId w:val="16"/>
  </w:num>
  <w:num w:numId="26" w16cid:durableId="372510012">
    <w:abstractNumId w:val="27"/>
  </w:num>
  <w:num w:numId="27" w16cid:durableId="1017543691">
    <w:abstractNumId w:val="26"/>
  </w:num>
  <w:num w:numId="28" w16cid:durableId="1881701724">
    <w:abstractNumId w:val="21"/>
  </w:num>
  <w:num w:numId="29" w16cid:durableId="95254118">
    <w:abstractNumId w:val="24"/>
  </w:num>
  <w:num w:numId="30" w16cid:durableId="1611858704">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185A"/>
    <w:rsid w:val="00002A7D"/>
    <w:rsid w:val="00002DA5"/>
    <w:rsid w:val="000038A8"/>
    <w:rsid w:val="00006790"/>
    <w:rsid w:val="000103B8"/>
    <w:rsid w:val="00022045"/>
    <w:rsid w:val="0002646C"/>
    <w:rsid w:val="00027624"/>
    <w:rsid w:val="00032BF9"/>
    <w:rsid w:val="000353AA"/>
    <w:rsid w:val="000469D2"/>
    <w:rsid w:val="00050F6B"/>
    <w:rsid w:val="0005538C"/>
    <w:rsid w:val="000609C3"/>
    <w:rsid w:val="0006395A"/>
    <w:rsid w:val="00066E74"/>
    <w:rsid w:val="000678CD"/>
    <w:rsid w:val="000707E3"/>
    <w:rsid w:val="00072C8C"/>
    <w:rsid w:val="00074C0E"/>
    <w:rsid w:val="000767A9"/>
    <w:rsid w:val="00076C47"/>
    <w:rsid w:val="00081CE0"/>
    <w:rsid w:val="00084D30"/>
    <w:rsid w:val="00087519"/>
    <w:rsid w:val="00087C73"/>
    <w:rsid w:val="00090320"/>
    <w:rsid w:val="000931C0"/>
    <w:rsid w:val="000937D0"/>
    <w:rsid w:val="00097E0A"/>
    <w:rsid w:val="000A2E09"/>
    <w:rsid w:val="000A5A7B"/>
    <w:rsid w:val="000A70CA"/>
    <w:rsid w:val="000B175B"/>
    <w:rsid w:val="000B3A0F"/>
    <w:rsid w:val="000B7022"/>
    <w:rsid w:val="000C21FE"/>
    <w:rsid w:val="000D06A4"/>
    <w:rsid w:val="000D4BFB"/>
    <w:rsid w:val="000E0415"/>
    <w:rsid w:val="000E2F97"/>
    <w:rsid w:val="000F23FA"/>
    <w:rsid w:val="000F7715"/>
    <w:rsid w:val="001055E3"/>
    <w:rsid w:val="00107554"/>
    <w:rsid w:val="00113DF1"/>
    <w:rsid w:val="00115ABD"/>
    <w:rsid w:val="00116477"/>
    <w:rsid w:val="00126D9E"/>
    <w:rsid w:val="001270F3"/>
    <w:rsid w:val="00127251"/>
    <w:rsid w:val="00141375"/>
    <w:rsid w:val="00156B99"/>
    <w:rsid w:val="00163912"/>
    <w:rsid w:val="00166124"/>
    <w:rsid w:val="00174EEB"/>
    <w:rsid w:val="00184DDA"/>
    <w:rsid w:val="001900CD"/>
    <w:rsid w:val="001A0452"/>
    <w:rsid w:val="001B4B04"/>
    <w:rsid w:val="001B5875"/>
    <w:rsid w:val="001B5AC9"/>
    <w:rsid w:val="001B7F86"/>
    <w:rsid w:val="001C4B9C"/>
    <w:rsid w:val="001C5E0D"/>
    <w:rsid w:val="001C6663"/>
    <w:rsid w:val="001C7895"/>
    <w:rsid w:val="001D0A64"/>
    <w:rsid w:val="001D26DF"/>
    <w:rsid w:val="001D33B8"/>
    <w:rsid w:val="001D3D4C"/>
    <w:rsid w:val="001E1556"/>
    <w:rsid w:val="001F1599"/>
    <w:rsid w:val="001F19C4"/>
    <w:rsid w:val="001F4E9A"/>
    <w:rsid w:val="001F58E7"/>
    <w:rsid w:val="002001DF"/>
    <w:rsid w:val="00202DD8"/>
    <w:rsid w:val="002043F0"/>
    <w:rsid w:val="00204A09"/>
    <w:rsid w:val="00211E0B"/>
    <w:rsid w:val="00211FA5"/>
    <w:rsid w:val="0022062E"/>
    <w:rsid w:val="0022137B"/>
    <w:rsid w:val="00232575"/>
    <w:rsid w:val="002464C4"/>
    <w:rsid w:val="00247258"/>
    <w:rsid w:val="00250503"/>
    <w:rsid w:val="002526B5"/>
    <w:rsid w:val="00257229"/>
    <w:rsid w:val="00257CAC"/>
    <w:rsid w:val="00270C52"/>
    <w:rsid w:val="0027237A"/>
    <w:rsid w:val="002734D4"/>
    <w:rsid w:val="00276C8B"/>
    <w:rsid w:val="00292B57"/>
    <w:rsid w:val="002974E9"/>
    <w:rsid w:val="002A7F94"/>
    <w:rsid w:val="002B0475"/>
    <w:rsid w:val="002B109A"/>
    <w:rsid w:val="002C3A9B"/>
    <w:rsid w:val="002C4017"/>
    <w:rsid w:val="002C5E76"/>
    <w:rsid w:val="002C5FFF"/>
    <w:rsid w:val="002C6D45"/>
    <w:rsid w:val="002D60D4"/>
    <w:rsid w:val="002D6E53"/>
    <w:rsid w:val="002F046D"/>
    <w:rsid w:val="002F3023"/>
    <w:rsid w:val="00301764"/>
    <w:rsid w:val="00303D68"/>
    <w:rsid w:val="00305848"/>
    <w:rsid w:val="00307A0A"/>
    <w:rsid w:val="0031227B"/>
    <w:rsid w:val="00312756"/>
    <w:rsid w:val="003229D8"/>
    <w:rsid w:val="00326CA7"/>
    <w:rsid w:val="00335584"/>
    <w:rsid w:val="00336C97"/>
    <w:rsid w:val="00337EC6"/>
    <w:rsid w:val="00337F88"/>
    <w:rsid w:val="00342432"/>
    <w:rsid w:val="00350C26"/>
    <w:rsid w:val="0035223F"/>
    <w:rsid w:val="00352D4B"/>
    <w:rsid w:val="00352FFA"/>
    <w:rsid w:val="0035638C"/>
    <w:rsid w:val="00357C44"/>
    <w:rsid w:val="00364971"/>
    <w:rsid w:val="00376BB9"/>
    <w:rsid w:val="00377537"/>
    <w:rsid w:val="003802F8"/>
    <w:rsid w:val="00380C3E"/>
    <w:rsid w:val="00384419"/>
    <w:rsid w:val="00390699"/>
    <w:rsid w:val="00392549"/>
    <w:rsid w:val="0039451F"/>
    <w:rsid w:val="003A0715"/>
    <w:rsid w:val="003A46BB"/>
    <w:rsid w:val="003A4EC7"/>
    <w:rsid w:val="003A7295"/>
    <w:rsid w:val="003B1F60"/>
    <w:rsid w:val="003C2CC4"/>
    <w:rsid w:val="003C359D"/>
    <w:rsid w:val="003C745D"/>
    <w:rsid w:val="003D4B23"/>
    <w:rsid w:val="003D7AC3"/>
    <w:rsid w:val="003E059E"/>
    <w:rsid w:val="003E278A"/>
    <w:rsid w:val="003F28DE"/>
    <w:rsid w:val="00400FE3"/>
    <w:rsid w:val="0040185F"/>
    <w:rsid w:val="00413520"/>
    <w:rsid w:val="004168AD"/>
    <w:rsid w:val="00425C79"/>
    <w:rsid w:val="00432081"/>
    <w:rsid w:val="004325CB"/>
    <w:rsid w:val="00433E88"/>
    <w:rsid w:val="00440A07"/>
    <w:rsid w:val="00456FDF"/>
    <w:rsid w:val="00462880"/>
    <w:rsid w:val="004662B9"/>
    <w:rsid w:val="004768EE"/>
    <w:rsid w:val="00476F24"/>
    <w:rsid w:val="004923A8"/>
    <w:rsid w:val="00495157"/>
    <w:rsid w:val="00497DC0"/>
    <w:rsid w:val="004A530C"/>
    <w:rsid w:val="004B1AB3"/>
    <w:rsid w:val="004B29B3"/>
    <w:rsid w:val="004B36A7"/>
    <w:rsid w:val="004B3A0B"/>
    <w:rsid w:val="004B5B0D"/>
    <w:rsid w:val="004C55B0"/>
    <w:rsid w:val="004D31B6"/>
    <w:rsid w:val="004D4539"/>
    <w:rsid w:val="004E73C1"/>
    <w:rsid w:val="004F28C6"/>
    <w:rsid w:val="004F51B1"/>
    <w:rsid w:val="004F6BA0"/>
    <w:rsid w:val="00503BEA"/>
    <w:rsid w:val="0051364A"/>
    <w:rsid w:val="00516F9D"/>
    <w:rsid w:val="00521F35"/>
    <w:rsid w:val="00533616"/>
    <w:rsid w:val="00535ABA"/>
    <w:rsid w:val="00536ED8"/>
    <w:rsid w:val="0053768B"/>
    <w:rsid w:val="005420F2"/>
    <w:rsid w:val="0054285C"/>
    <w:rsid w:val="00550A91"/>
    <w:rsid w:val="00584173"/>
    <w:rsid w:val="00587018"/>
    <w:rsid w:val="00595520"/>
    <w:rsid w:val="0059623A"/>
    <w:rsid w:val="005A2BE0"/>
    <w:rsid w:val="005A44B9"/>
    <w:rsid w:val="005A5BBB"/>
    <w:rsid w:val="005B1BA0"/>
    <w:rsid w:val="005B3B9D"/>
    <w:rsid w:val="005B3DB3"/>
    <w:rsid w:val="005B680E"/>
    <w:rsid w:val="005B69B3"/>
    <w:rsid w:val="005C1615"/>
    <w:rsid w:val="005D15CA"/>
    <w:rsid w:val="005D4CC0"/>
    <w:rsid w:val="005E330C"/>
    <w:rsid w:val="005F08DF"/>
    <w:rsid w:val="005F3066"/>
    <w:rsid w:val="005F3E61"/>
    <w:rsid w:val="00601D58"/>
    <w:rsid w:val="006045DB"/>
    <w:rsid w:val="00604D9F"/>
    <w:rsid w:val="00604DDD"/>
    <w:rsid w:val="00610276"/>
    <w:rsid w:val="006115CC"/>
    <w:rsid w:val="00611FC4"/>
    <w:rsid w:val="00615B22"/>
    <w:rsid w:val="006176FB"/>
    <w:rsid w:val="00620F69"/>
    <w:rsid w:val="0062262C"/>
    <w:rsid w:val="00630FCB"/>
    <w:rsid w:val="00640B26"/>
    <w:rsid w:val="0064597D"/>
    <w:rsid w:val="0065766B"/>
    <w:rsid w:val="00657867"/>
    <w:rsid w:val="00660E9D"/>
    <w:rsid w:val="00670801"/>
    <w:rsid w:val="00676DAB"/>
    <w:rsid w:val="006770B2"/>
    <w:rsid w:val="006808F1"/>
    <w:rsid w:val="00686A48"/>
    <w:rsid w:val="006940E1"/>
    <w:rsid w:val="006A3C72"/>
    <w:rsid w:val="006A710E"/>
    <w:rsid w:val="006A7392"/>
    <w:rsid w:val="006B03A1"/>
    <w:rsid w:val="006B3ABA"/>
    <w:rsid w:val="006B4941"/>
    <w:rsid w:val="006B67D9"/>
    <w:rsid w:val="006C0288"/>
    <w:rsid w:val="006C5535"/>
    <w:rsid w:val="006C771E"/>
    <w:rsid w:val="006C797D"/>
    <w:rsid w:val="006D0589"/>
    <w:rsid w:val="006D1DAD"/>
    <w:rsid w:val="006D2024"/>
    <w:rsid w:val="006E07E5"/>
    <w:rsid w:val="006E45BD"/>
    <w:rsid w:val="006E564B"/>
    <w:rsid w:val="006E7154"/>
    <w:rsid w:val="006F4B05"/>
    <w:rsid w:val="006F5BCF"/>
    <w:rsid w:val="007003CD"/>
    <w:rsid w:val="00706F16"/>
    <w:rsid w:val="0070701E"/>
    <w:rsid w:val="00710660"/>
    <w:rsid w:val="0072632A"/>
    <w:rsid w:val="00726E0B"/>
    <w:rsid w:val="00732E28"/>
    <w:rsid w:val="007358E8"/>
    <w:rsid w:val="007366A5"/>
    <w:rsid w:val="00736ECE"/>
    <w:rsid w:val="0074533B"/>
    <w:rsid w:val="007568AB"/>
    <w:rsid w:val="00762DAA"/>
    <w:rsid w:val="007643BC"/>
    <w:rsid w:val="00773C41"/>
    <w:rsid w:val="007757FE"/>
    <w:rsid w:val="00780C68"/>
    <w:rsid w:val="007834F1"/>
    <w:rsid w:val="00786321"/>
    <w:rsid w:val="007959FE"/>
    <w:rsid w:val="007A0CF1"/>
    <w:rsid w:val="007A2C8E"/>
    <w:rsid w:val="007A3AAD"/>
    <w:rsid w:val="007A68DD"/>
    <w:rsid w:val="007B2DE4"/>
    <w:rsid w:val="007B6BA5"/>
    <w:rsid w:val="007B6F7C"/>
    <w:rsid w:val="007C0648"/>
    <w:rsid w:val="007C1230"/>
    <w:rsid w:val="007C3390"/>
    <w:rsid w:val="007C42D8"/>
    <w:rsid w:val="007C4F4B"/>
    <w:rsid w:val="007C6B7A"/>
    <w:rsid w:val="007D7362"/>
    <w:rsid w:val="007E6EA8"/>
    <w:rsid w:val="007F5CE2"/>
    <w:rsid w:val="007F5D51"/>
    <w:rsid w:val="007F6611"/>
    <w:rsid w:val="008041D8"/>
    <w:rsid w:val="00810BAC"/>
    <w:rsid w:val="00815316"/>
    <w:rsid w:val="008158CF"/>
    <w:rsid w:val="008175E9"/>
    <w:rsid w:val="008242D7"/>
    <w:rsid w:val="0082577B"/>
    <w:rsid w:val="00827556"/>
    <w:rsid w:val="0082784B"/>
    <w:rsid w:val="008304E1"/>
    <w:rsid w:val="008307A7"/>
    <w:rsid w:val="0084436C"/>
    <w:rsid w:val="00844CE9"/>
    <w:rsid w:val="00857CF5"/>
    <w:rsid w:val="008620C8"/>
    <w:rsid w:val="00866893"/>
    <w:rsid w:val="00866F02"/>
    <w:rsid w:val="00867D18"/>
    <w:rsid w:val="00871F9A"/>
    <w:rsid w:val="00871FD5"/>
    <w:rsid w:val="0088172E"/>
    <w:rsid w:val="00881EFA"/>
    <w:rsid w:val="00884982"/>
    <w:rsid w:val="008879CB"/>
    <w:rsid w:val="00892800"/>
    <w:rsid w:val="008979B1"/>
    <w:rsid w:val="008A1D1B"/>
    <w:rsid w:val="008A6B25"/>
    <w:rsid w:val="008A6C4F"/>
    <w:rsid w:val="008B389E"/>
    <w:rsid w:val="008B7BFF"/>
    <w:rsid w:val="008C6230"/>
    <w:rsid w:val="008D045E"/>
    <w:rsid w:val="008D3F25"/>
    <w:rsid w:val="008D4D82"/>
    <w:rsid w:val="008E0E46"/>
    <w:rsid w:val="008E1CD2"/>
    <w:rsid w:val="008E571D"/>
    <w:rsid w:val="008E7116"/>
    <w:rsid w:val="008E7605"/>
    <w:rsid w:val="008F143B"/>
    <w:rsid w:val="008F3882"/>
    <w:rsid w:val="008F4B7C"/>
    <w:rsid w:val="008F7468"/>
    <w:rsid w:val="00902399"/>
    <w:rsid w:val="009033D4"/>
    <w:rsid w:val="009035C7"/>
    <w:rsid w:val="0091411B"/>
    <w:rsid w:val="0091690A"/>
    <w:rsid w:val="00920649"/>
    <w:rsid w:val="0092132E"/>
    <w:rsid w:val="00926894"/>
    <w:rsid w:val="00926E47"/>
    <w:rsid w:val="00930FC6"/>
    <w:rsid w:val="00935890"/>
    <w:rsid w:val="00936F09"/>
    <w:rsid w:val="00943748"/>
    <w:rsid w:val="00943E8E"/>
    <w:rsid w:val="0094497E"/>
    <w:rsid w:val="00947162"/>
    <w:rsid w:val="00954785"/>
    <w:rsid w:val="00960F3E"/>
    <w:rsid w:val="009610D0"/>
    <w:rsid w:val="0096375C"/>
    <w:rsid w:val="00964415"/>
    <w:rsid w:val="009657A5"/>
    <w:rsid w:val="009662E6"/>
    <w:rsid w:val="0097095E"/>
    <w:rsid w:val="00973905"/>
    <w:rsid w:val="00976EC5"/>
    <w:rsid w:val="00980D34"/>
    <w:rsid w:val="0098592B"/>
    <w:rsid w:val="00985FC4"/>
    <w:rsid w:val="00990766"/>
    <w:rsid w:val="00991261"/>
    <w:rsid w:val="009964C4"/>
    <w:rsid w:val="009A538A"/>
    <w:rsid w:val="009A73E4"/>
    <w:rsid w:val="009A7B81"/>
    <w:rsid w:val="009B098D"/>
    <w:rsid w:val="009B2CCB"/>
    <w:rsid w:val="009B465B"/>
    <w:rsid w:val="009C0E1A"/>
    <w:rsid w:val="009C5EAC"/>
    <w:rsid w:val="009C6EA7"/>
    <w:rsid w:val="009D01C0"/>
    <w:rsid w:val="009D221F"/>
    <w:rsid w:val="009D6A08"/>
    <w:rsid w:val="009E0A16"/>
    <w:rsid w:val="009E44ED"/>
    <w:rsid w:val="009E600B"/>
    <w:rsid w:val="009E6CB7"/>
    <w:rsid w:val="009E7970"/>
    <w:rsid w:val="009F0A43"/>
    <w:rsid w:val="009F2EAC"/>
    <w:rsid w:val="009F57E3"/>
    <w:rsid w:val="009F6C0F"/>
    <w:rsid w:val="00A02A18"/>
    <w:rsid w:val="00A0363E"/>
    <w:rsid w:val="00A10F4F"/>
    <w:rsid w:val="00A11067"/>
    <w:rsid w:val="00A1151B"/>
    <w:rsid w:val="00A11DA8"/>
    <w:rsid w:val="00A13992"/>
    <w:rsid w:val="00A14A96"/>
    <w:rsid w:val="00A1704A"/>
    <w:rsid w:val="00A2287A"/>
    <w:rsid w:val="00A425EB"/>
    <w:rsid w:val="00A44513"/>
    <w:rsid w:val="00A44590"/>
    <w:rsid w:val="00A50B98"/>
    <w:rsid w:val="00A51515"/>
    <w:rsid w:val="00A631F3"/>
    <w:rsid w:val="00A72F22"/>
    <w:rsid w:val="00A733BC"/>
    <w:rsid w:val="00A748A6"/>
    <w:rsid w:val="00A74E82"/>
    <w:rsid w:val="00A76A69"/>
    <w:rsid w:val="00A80FC7"/>
    <w:rsid w:val="00A85577"/>
    <w:rsid w:val="00A879A4"/>
    <w:rsid w:val="00A90747"/>
    <w:rsid w:val="00AA0FF8"/>
    <w:rsid w:val="00AA3354"/>
    <w:rsid w:val="00AB5FE8"/>
    <w:rsid w:val="00AB69EA"/>
    <w:rsid w:val="00AC0F2C"/>
    <w:rsid w:val="00AC502A"/>
    <w:rsid w:val="00AE2016"/>
    <w:rsid w:val="00AE4DDD"/>
    <w:rsid w:val="00AE7CBF"/>
    <w:rsid w:val="00AF5561"/>
    <w:rsid w:val="00AF58C1"/>
    <w:rsid w:val="00B026B7"/>
    <w:rsid w:val="00B04A3F"/>
    <w:rsid w:val="00B06643"/>
    <w:rsid w:val="00B11D87"/>
    <w:rsid w:val="00B15055"/>
    <w:rsid w:val="00B20551"/>
    <w:rsid w:val="00B24DD2"/>
    <w:rsid w:val="00B2636C"/>
    <w:rsid w:val="00B30179"/>
    <w:rsid w:val="00B33FC7"/>
    <w:rsid w:val="00B3410A"/>
    <w:rsid w:val="00B36F2A"/>
    <w:rsid w:val="00B37B15"/>
    <w:rsid w:val="00B45C02"/>
    <w:rsid w:val="00B4664A"/>
    <w:rsid w:val="00B5742E"/>
    <w:rsid w:val="00B662EB"/>
    <w:rsid w:val="00B70B63"/>
    <w:rsid w:val="00B721CD"/>
    <w:rsid w:val="00B72A1E"/>
    <w:rsid w:val="00B81E12"/>
    <w:rsid w:val="00B92037"/>
    <w:rsid w:val="00B94754"/>
    <w:rsid w:val="00BA339B"/>
    <w:rsid w:val="00BB23CC"/>
    <w:rsid w:val="00BB6D12"/>
    <w:rsid w:val="00BC1E7E"/>
    <w:rsid w:val="00BC74E9"/>
    <w:rsid w:val="00BD3578"/>
    <w:rsid w:val="00BE36A9"/>
    <w:rsid w:val="00BE4DD5"/>
    <w:rsid w:val="00BE618E"/>
    <w:rsid w:val="00BE7BEC"/>
    <w:rsid w:val="00BF0A5A"/>
    <w:rsid w:val="00BF0E63"/>
    <w:rsid w:val="00BF12A3"/>
    <w:rsid w:val="00BF16D7"/>
    <w:rsid w:val="00BF2373"/>
    <w:rsid w:val="00BF5E93"/>
    <w:rsid w:val="00C012CF"/>
    <w:rsid w:val="00C044E2"/>
    <w:rsid w:val="00C048CB"/>
    <w:rsid w:val="00C0498F"/>
    <w:rsid w:val="00C066F3"/>
    <w:rsid w:val="00C101B2"/>
    <w:rsid w:val="00C13037"/>
    <w:rsid w:val="00C13097"/>
    <w:rsid w:val="00C30B6F"/>
    <w:rsid w:val="00C31C9B"/>
    <w:rsid w:val="00C34F3C"/>
    <w:rsid w:val="00C37A3A"/>
    <w:rsid w:val="00C41F9F"/>
    <w:rsid w:val="00C463DD"/>
    <w:rsid w:val="00C656C3"/>
    <w:rsid w:val="00C71286"/>
    <w:rsid w:val="00C745C3"/>
    <w:rsid w:val="00C77ADD"/>
    <w:rsid w:val="00C848B9"/>
    <w:rsid w:val="00C978F5"/>
    <w:rsid w:val="00CA1591"/>
    <w:rsid w:val="00CA1F0F"/>
    <w:rsid w:val="00CA24A4"/>
    <w:rsid w:val="00CA32D9"/>
    <w:rsid w:val="00CB0EAD"/>
    <w:rsid w:val="00CB1422"/>
    <w:rsid w:val="00CB1494"/>
    <w:rsid w:val="00CB2652"/>
    <w:rsid w:val="00CB348D"/>
    <w:rsid w:val="00CB42AE"/>
    <w:rsid w:val="00CB675E"/>
    <w:rsid w:val="00CC1904"/>
    <w:rsid w:val="00CC26AE"/>
    <w:rsid w:val="00CD2741"/>
    <w:rsid w:val="00CD2C9A"/>
    <w:rsid w:val="00CD3488"/>
    <w:rsid w:val="00CD46F5"/>
    <w:rsid w:val="00CE4154"/>
    <w:rsid w:val="00CE4A8F"/>
    <w:rsid w:val="00CF071D"/>
    <w:rsid w:val="00CF331B"/>
    <w:rsid w:val="00CF499C"/>
    <w:rsid w:val="00D0123D"/>
    <w:rsid w:val="00D01E10"/>
    <w:rsid w:val="00D0590A"/>
    <w:rsid w:val="00D063F4"/>
    <w:rsid w:val="00D15B04"/>
    <w:rsid w:val="00D2031B"/>
    <w:rsid w:val="00D249F3"/>
    <w:rsid w:val="00D25FE2"/>
    <w:rsid w:val="00D27736"/>
    <w:rsid w:val="00D306FB"/>
    <w:rsid w:val="00D36B93"/>
    <w:rsid w:val="00D37D95"/>
    <w:rsid w:val="00D37DA9"/>
    <w:rsid w:val="00D406A7"/>
    <w:rsid w:val="00D40AC9"/>
    <w:rsid w:val="00D43252"/>
    <w:rsid w:val="00D44D86"/>
    <w:rsid w:val="00D5043E"/>
    <w:rsid w:val="00D50B7D"/>
    <w:rsid w:val="00D52012"/>
    <w:rsid w:val="00D52FB8"/>
    <w:rsid w:val="00D54D7C"/>
    <w:rsid w:val="00D626CE"/>
    <w:rsid w:val="00D704E5"/>
    <w:rsid w:val="00D72727"/>
    <w:rsid w:val="00D81A22"/>
    <w:rsid w:val="00D823D4"/>
    <w:rsid w:val="00D97397"/>
    <w:rsid w:val="00D978C6"/>
    <w:rsid w:val="00DA0956"/>
    <w:rsid w:val="00DA2033"/>
    <w:rsid w:val="00DA357F"/>
    <w:rsid w:val="00DA3E12"/>
    <w:rsid w:val="00DA41D5"/>
    <w:rsid w:val="00DA4C68"/>
    <w:rsid w:val="00DC022A"/>
    <w:rsid w:val="00DC13B3"/>
    <w:rsid w:val="00DC18AD"/>
    <w:rsid w:val="00DD60E8"/>
    <w:rsid w:val="00DD72BC"/>
    <w:rsid w:val="00DE0714"/>
    <w:rsid w:val="00DF12EB"/>
    <w:rsid w:val="00DF6A00"/>
    <w:rsid w:val="00DF6A38"/>
    <w:rsid w:val="00DF7CAE"/>
    <w:rsid w:val="00E025B3"/>
    <w:rsid w:val="00E11BD6"/>
    <w:rsid w:val="00E11EFE"/>
    <w:rsid w:val="00E1433D"/>
    <w:rsid w:val="00E20187"/>
    <w:rsid w:val="00E22972"/>
    <w:rsid w:val="00E272BD"/>
    <w:rsid w:val="00E27B32"/>
    <w:rsid w:val="00E30F0C"/>
    <w:rsid w:val="00E364EB"/>
    <w:rsid w:val="00E37E94"/>
    <w:rsid w:val="00E423C0"/>
    <w:rsid w:val="00E4349C"/>
    <w:rsid w:val="00E4366D"/>
    <w:rsid w:val="00E46940"/>
    <w:rsid w:val="00E474BD"/>
    <w:rsid w:val="00E5265A"/>
    <w:rsid w:val="00E56255"/>
    <w:rsid w:val="00E6414C"/>
    <w:rsid w:val="00E6426A"/>
    <w:rsid w:val="00E70EE1"/>
    <w:rsid w:val="00E7260F"/>
    <w:rsid w:val="00E74E2A"/>
    <w:rsid w:val="00E8702D"/>
    <w:rsid w:val="00E871CB"/>
    <w:rsid w:val="00E905F4"/>
    <w:rsid w:val="00E916A9"/>
    <w:rsid w:val="00E916DE"/>
    <w:rsid w:val="00E9220A"/>
    <w:rsid w:val="00E925AD"/>
    <w:rsid w:val="00E94B7A"/>
    <w:rsid w:val="00E958B8"/>
    <w:rsid w:val="00E96630"/>
    <w:rsid w:val="00E96999"/>
    <w:rsid w:val="00E97356"/>
    <w:rsid w:val="00EB5B7F"/>
    <w:rsid w:val="00EB5C39"/>
    <w:rsid w:val="00EB7245"/>
    <w:rsid w:val="00EC4AF0"/>
    <w:rsid w:val="00ED18DC"/>
    <w:rsid w:val="00ED304B"/>
    <w:rsid w:val="00ED6201"/>
    <w:rsid w:val="00ED659D"/>
    <w:rsid w:val="00ED7A2A"/>
    <w:rsid w:val="00EE0255"/>
    <w:rsid w:val="00EE0BE5"/>
    <w:rsid w:val="00EE25EE"/>
    <w:rsid w:val="00EE307D"/>
    <w:rsid w:val="00EF1D7F"/>
    <w:rsid w:val="00F0137E"/>
    <w:rsid w:val="00F02C10"/>
    <w:rsid w:val="00F060D1"/>
    <w:rsid w:val="00F06C9C"/>
    <w:rsid w:val="00F1725D"/>
    <w:rsid w:val="00F21786"/>
    <w:rsid w:val="00F23011"/>
    <w:rsid w:val="00F30882"/>
    <w:rsid w:val="00F30AC8"/>
    <w:rsid w:val="00F3689A"/>
    <w:rsid w:val="00F3742B"/>
    <w:rsid w:val="00F41FDB"/>
    <w:rsid w:val="00F444EC"/>
    <w:rsid w:val="00F56D63"/>
    <w:rsid w:val="00F609A9"/>
    <w:rsid w:val="00F61D85"/>
    <w:rsid w:val="00F6634D"/>
    <w:rsid w:val="00F7483D"/>
    <w:rsid w:val="00F80C99"/>
    <w:rsid w:val="00F867EC"/>
    <w:rsid w:val="00F91B03"/>
    <w:rsid w:val="00F91B2B"/>
    <w:rsid w:val="00F94965"/>
    <w:rsid w:val="00F95212"/>
    <w:rsid w:val="00FA1BE3"/>
    <w:rsid w:val="00FA6C8C"/>
    <w:rsid w:val="00FC03CD"/>
    <w:rsid w:val="00FC0595"/>
    <w:rsid w:val="00FC0646"/>
    <w:rsid w:val="00FC1997"/>
    <w:rsid w:val="00FC68B7"/>
    <w:rsid w:val="00FD78EB"/>
    <w:rsid w:val="00FE62D5"/>
    <w:rsid w:val="00FE6477"/>
    <w:rsid w:val="00FE6985"/>
    <w:rsid w:val="00FE7EE2"/>
    <w:rsid w:val="00FF02F5"/>
    <w:rsid w:val="00FF6766"/>
    <w:rsid w:val="21FF00C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qFormat/>
    <w:rsid w:val="00F91B03"/>
    <w:rPr>
      <w:lang w:val="en-GB"/>
    </w:rPr>
  </w:style>
  <w:style w:type="character" w:customStyle="1" w:styleId="normaltextrun">
    <w:name w:val="normaltextrun"/>
    <w:basedOn w:val="DefaultParagraphFont"/>
    <w:rsid w:val="00F91B03"/>
  </w:style>
  <w:style w:type="character" w:styleId="CommentReference">
    <w:name w:val="annotation reference"/>
    <w:basedOn w:val="DefaultParagraphFont"/>
    <w:semiHidden/>
    <w:unhideWhenUsed/>
    <w:rsid w:val="00141375"/>
    <w:rPr>
      <w:sz w:val="16"/>
      <w:szCs w:val="16"/>
    </w:rPr>
  </w:style>
  <w:style w:type="paragraph" w:styleId="CommentText">
    <w:name w:val="annotation text"/>
    <w:basedOn w:val="Normal"/>
    <w:link w:val="CommentTextChar"/>
    <w:unhideWhenUsed/>
    <w:rsid w:val="00141375"/>
    <w:pPr>
      <w:spacing w:line="240" w:lineRule="auto"/>
    </w:pPr>
  </w:style>
  <w:style w:type="character" w:customStyle="1" w:styleId="CommentTextChar">
    <w:name w:val="Comment Text Char"/>
    <w:basedOn w:val="DefaultParagraphFont"/>
    <w:link w:val="CommentText"/>
    <w:rsid w:val="00141375"/>
    <w:rPr>
      <w:lang w:val="en-GB"/>
    </w:rPr>
  </w:style>
  <w:style w:type="paragraph" w:styleId="CommentSubject">
    <w:name w:val="annotation subject"/>
    <w:basedOn w:val="CommentText"/>
    <w:next w:val="CommentText"/>
    <w:link w:val="CommentSubjectChar"/>
    <w:semiHidden/>
    <w:unhideWhenUsed/>
    <w:rsid w:val="00141375"/>
    <w:rPr>
      <w:b/>
      <w:bCs/>
    </w:rPr>
  </w:style>
  <w:style w:type="character" w:customStyle="1" w:styleId="CommentSubjectChar">
    <w:name w:val="Comment Subject Char"/>
    <w:basedOn w:val="CommentTextChar"/>
    <w:link w:val="CommentSubject"/>
    <w:semiHidden/>
    <w:rsid w:val="00141375"/>
    <w:rPr>
      <w:b/>
      <w:bCs/>
      <w:lang w:val="en-GB"/>
    </w:rPr>
  </w:style>
  <w:style w:type="character" w:customStyle="1" w:styleId="Heading2Char">
    <w:name w:val="Heading 2 Char"/>
    <w:basedOn w:val="DefaultParagraphFont"/>
    <w:link w:val="Heading2"/>
    <w:uiPriority w:val="9"/>
    <w:rsid w:val="00610276"/>
    <w:rPr>
      <w:lang w:val="en-GB"/>
    </w:rPr>
  </w:style>
  <w:style w:type="paragraph" w:styleId="NormalWeb">
    <w:name w:val="Normal (Web)"/>
    <w:basedOn w:val="Normal"/>
    <w:uiPriority w:val="99"/>
    <w:unhideWhenUsed/>
    <w:rsid w:val="00610276"/>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610276"/>
    <w:rPr>
      <w:b/>
      <w:bCs/>
    </w:rPr>
  </w:style>
  <w:style w:type="paragraph" w:styleId="ListParagraph">
    <w:name w:val="List Paragraph"/>
    <w:basedOn w:val="Normal"/>
    <w:uiPriority w:val="34"/>
    <w:qFormat/>
    <w:rsid w:val="00610276"/>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character" w:styleId="Emphasis">
    <w:name w:val="Emphasis"/>
    <w:basedOn w:val="DefaultParagraphFont"/>
    <w:uiPriority w:val="20"/>
    <w:qFormat/>
    <w:rsid w:val="006C0288"/>
    <w:rPr>
      <w:i/>
      <w:iCs/>
    </w:rPr>
  </w:style>
  <w:style w:type="paragraph" w:styleId="Revision">
    <w:name w:val="Revision"/>
    <w:hidden/>
    <w:uiPriority w:val="99"/>
    <w:semiHidden/>
    <w:rsid w:val="00ED659D"/>
    <w:rPr>
      <w:lang w:val="en-GB"/>
    </w:rPr>
  </w:style>
  <w:style w:type="character" w:customStyle="1" w:styleId="hwsect">
    <w:name w:val="hwsect"/>
    <w:basedOn w:val="DefaultParagraphFont"/>
    <w:rsid w:val="000B7022"/>
  </w:style>
  <w:style w:type="character" w:customStyle="1" w:styleId="hw">
    <w:name w:val="hw"/>
    <w:basedOn w:val="DefaultParagraphFont"/>
    <w:rsid w:val="000B7022"/>
  </w:style>
  <w:style w:type="character" w:customStyle="1" w:styleId="ps">
    <w:name w:val="ps"/>
    <w:basedOn w:val="DefaultParagraphFont"/>
    <w:rsid w:val="000B7022"/>
  </w:style>
  <w:style w:type="paragraph" w:customStyle="1" w:styleId="rightlink">
    <w:name w:val="rightlink"/>
    <w:basedOn w:val="Normal"/>
    <w:rsid w:val="000B7022"/>
    <w:pPr>
      <w:suppressAutoHyphens w:val="0"/>
      <w:spacing w:before="100" w:beforeAutospacing="1" w:after="100" w:afterAutospacing="1" w:line="240" w:lineRule="auto"/>
    </w:pPr>
    <w:rPr>
      <w:sz w:val="24"/>
      <w:szCs w:val="24"/>
      <w:lang w:eastAsia="zh-CN"/>
    </w:rPr>
  </w:style>
  <w:style w:type="character" w:customStyle="1" w:styleId="screen-reader-text">
    <w:name w:val="screen-reader-text"/>
    <w:basedOn w:val="DefaultParagraphFont"/>
    <w:rsid w:val="000B7022"/>
  </w:style>
  <w:style w:type="character" w:customStyle="1" w:styleId="phonetics-block">
    <w:name w:val="phonetics-block"/>
    <w:basedOn w:val="DefaultParagraphFont"/>
    <w:rsid w:val="000B7022"/>
  </w:style>
  <w:style w:type="character" w:customStyle="1" w:styleId="phonetics">
    <w:name w:val="phonetics"/>
    <w:basedOn w:val="DefaultParagraphFont"/>
    <w:rsid w:val="000B7022"/>
  </w:style>
  <w:style w:type="paragraph" w:customStyle="1" w:styleId="entry-header">
    <w:name w:val="entry-header"/>
    <w:basedOn w:val="Normal"/>
    <w:rsid w:val="000B7022"/>
    <w:pPr>
      <w:suppressAutoHyphens w:val="0"/>
      <w:spacing w:before="100" w:beforeAutospacing="1" w:after="100" w:afterAutospacing="1" w:line="240" w:lineRule="auto"/>
    </w:pPr>
    <w:rPr>
      <w:sz w:val="24"/>
      <w:szCs w:val="24"/>
      <w:lang w:eastAsia="zh-CN"/>
    </w:rPr>
  </w:style>
  <w:style w:type="character" w:customStyle="1" w:styleId="noindent">
    <w:name w:val="noindent"/>
    <w:basedOn w:val="DefaultParagraphFont"/>
    <w:rsid w:val="000B7022"/>
  </w:style>
  <w:style w:type="character" w:customStyle="1" w:styleId="smallcaps">
    <w:name w:val="smallcaps"/>
    <w:basedOn w:val="DefaultParagraphFont"/>
    <w:rsid w:val="000B7022"/>
  </w:style>
  <w:style w:type="character" w:customStyle="1" w:styleId="quotationkeyword">
    <w:name w:val="quotationkeyword"/>
    <w:basedOn w:val="DefaultParagraphFont"/>
    <w:rsid w:val="000B7022"/>
  </w:style>
  <w:style w:type="character" w:customStyle="1" w:styleId="sr-only">
    <w:name w:val="sr-only"/>
    <w:basedOn w:val="DefaultParagraphFont"/>
    <w:rsid w:val="00844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3429">
      <w:bodyDiv w:val="1"/>
      <w:marLeft w:val="0"/>
      <w:marRight w:val="0"/>
      <w:marTop w:val="0"/>
      <w:marBottom w:val="0"/>
      <w:divBdr>
        <w:top w:val="none" w:sz="0" w:space="0" w:color="auto"/>
        <w:left w:val="none" w:sz="0" w:space="0" w:color="auto"/>
        <w:bottom w:val="none" w:sz="0" w:space="0" w:color="auto"/>
        <w:right w:val="none" w:sz="0" w:space="0" w:color="auto"/>
      </w:divBdr>
      <w:divsChild>
        <w:div w:id="869337537">
          <w:marLeft w:val="0"/>
          <w:marRight w:val="0"/>
          <w:marTop w:val="0"/>
          <w:marBottom w:val="0"/>
          <w:divBdr>
            <w:top w:val="none" w:sz="0" w:space="0" w:color="auto"/>
            <w:left w:val="none" w:sz="0" w:space="0" w:color="auto"/>
            <w:bottom w:val="none" w:sz="0" w:space="0" w:color="auto"/>
            <w:right w:val="none" w:sz="0" w:space="0" w:color="auto"/>
          </w:divBdr>
          <w:divsChild>
            <w:div w:id="1419138420">
              <w:marLeft w:val="0"/>
              <w:marRight w:val="0"/>
              <w:marTop w:val="0"/>
              <w:marBottom w:val="0"/>
              <w:divBdr>
                <w:top w:val="none" w:sz="0" w:space="0" w:color="auto"/>
                <w:left w:val="none" w:sz="0" w:space="0" w:color="auto"/>
                <w:bottom w:val="none" w:sz="0" w:space="0" w:color="auto"/>
                <w:right w:val="none" w:sz="0" w:space="0" w:color="auto"/>
              </w:divBdr>
              <w:divsChild>
                <w:div w:id="66926181">
                  <w:marLeft w:val="0"/>
                  <w:marRight w:val="0"/>
                  <w:marTop w:val="0"/>
                  <w:marBottom w:val="0"/>
                  <w:divBdr>
                    <w:top w:val="none" w:sz="0" w:space="0" w:color="auto"/>
                    <w:left w:val="none" w:sz="0" w:space="0" w:color="auto"/>
                    <w:bottom w:val="none" w:sz="0" w:space="0" w:color="auto"/>
                    <w:right w:val="none" w:sz="0" w:space="0" w:color="auto"/>
                  </w:divBdr>
                </w:div>
                <w:div w:id="951059181">
                  <w:marLeft w:val="0"/>
                  <w:marRight w:val="0"/>
                  <w:marTop w:val="0"/>
                  <w:marBottom w:val="0"/>
                  <w:divBdr>
                    <w:top w:val="none" w:sz="0" w:space="0" w:color="auto"/>
                    <w:left w:val="none" w:sz="0" w:space="0" w:color="auto"/>
                    <w:bottom w:val="none" w:sz="0" w:space="0" w:color="auto"/>
                    <w:right w:val="none" w:sz="0" w:space="0" w:color="auto"/>
                  </w:divBdr>
                </w:div>
                <w:div w:id="530383788">
                  <w:marLeft w:val="0"/>
                  <w:marRight w:val="0"/>
                  <w:marTop w:val="0"/>
                  <w:marBottom w:val="0"/>
                  <w:divBdr>
                    <w:top w:val="none" w:sz="0" w:space="0" w:color="auto"/>
                    <w:left w:val="none" w:sz="0" w:space="0" w:color="auto"/>
                    <w:bottom w:val="none" w:sz="0" w:space="0" w:color="auto"/>
                    <w:right w:val="none" w:sz="0" w:space="0" w:color="auto"/>
                  </w:divBdr>
                </w:div>
              </w:divsChild>
            </w:div>
            <w:div w:id="1940679586">
              <w:marLeft w:val="0"/>
              <w:marRight w:val="0"/>
              <w:marTop w:val="0"/>
              <w:marBottom w:val="0"/>
              <w:divBdr>
                <w:top w:val="none" w:sz="0" w:space="0" w:color="auto"/>
                <w:left w:val="none" w:sz="0" w:space="0" w:color="auto"/>
                <w:bottom w:val="none" w:sz="0" w:space="0" w:color="auto"/>
                <w:right w:val="none" w:sz="0" w:space="0" w:color="auto"/>
              </w:divBdr>
              <w:divsChild>
                <w:div w:id="1742633268">
                  <w:marLeft w:val="0"/>
                  <w:marRight w:val="0"/>
                  <w:marTop w:val="0"/>
                  <w:marBottom w:val="0"/>
                  <w:divBdr>
                    <w:top w:val="none" w:sz="0" w:space="0" w:color="auto"/>
                    <w:left w:val="none" w:sz="0" w:space="0" w:color="auto"/>
                    <w:bottom w:val="none" w:sz="0" w:space="0" w:color="auto"/>
                    <w:right w:val="none" w:sz="0" w:space="0" w:color="auto"/>
                  </w:divBdr>
                </w:div>
                <w:div w:id="1512987125">
                  <w:marLeft w:val="0"/>
                  <w:marRight w:val="0"/>
                  <w:marTop w:val="0"/>
                  <w:marBottom w:val="0"/>
                  <w:divBdr>
                    <w:top w:val="none" w:sz="0" w:space="0" w:color="auto"/>
                    <w:left w:val="none" w:sz="0" w:space="0" w:color="auto"/>
                    <w:bottom w:val="none" w:sz="0" w:space="0" w:color="auto"/>
                    <w:right w:val="none" w:sz="0" w:space="0" w:color="auto"/>
                  </w:divBdr>
                </w:div>
                <w:div w:id="574046215">
                  <w:marLeft w:val="0"/>
                  <w:marRight w:val="0"/>
                  <w:marTop w:val="0"/>
                  <w:marBottom w:val="0"/>
                  <w:divBdr>
                    <w:top w:val="none" w:sz="0" w:space="0" w:color="auto"/>
                    <w:left w:val="none" w:sz="0" w:space="0" w:color="auto"/>
                    <w:bottom w:val="none" w:sz="0" w:space="0" w:color="auto"/>
                    <w:right w:val="none" w:sz="0" w:space="0" w:color="auto"/>
                  </w:divBdr>
                </w:div>
                <w:div w:id="1841776508">
                  <w:marLeft w:val="0"/>
                  <w:marRight w:val="0"/>
                  <w:marTop w:val="0"/>
                  <w:marBottom w:val="0"/>
                  <w:divBdr>
                    <w:top w:val="none" w:sz="0" w:space="0" w:color="auto"/>
                    <w:left w:val="none" w:sz="0" w:space="0" w:color="auto"/>
                    <w:bottom w:val="none" w:sz="0" w:space="0" w:color="auto"/>
                    <w:right w:val="none" w:sz="0" w:space="0" w:color="auto"/>
                  </w:divBdr>
                </w:div>
              </w:divsChild>
            </w:div>
            <w:div w:id="1546453602">
              <w:marLeft w:val="0"/>
              <w:marRight w:val="0"/>
              <w:marTop w:val="0"/>
              <w:marBottom w:val="0"/>
              <w:divBdr>
                <w:top w:val="none" w:sz="0" w:space="0" w:color="auto"/>
                <w:left w:val="none" w:sz="0" w:space="0" w:color="auto"/>
                <w:bottom w:val="none" w:sz="0" w:space="0" w:color="auto"/>
                <w:right w:val="none" w:sz="0" w:space="0" w:color="auto"/>
              </w:divBdr>
            </w:div>
            <w:div w:id="1884515489">
              <w:marLeft w:val="0"/>
              <w:marRight w:val="0"/>
              <w:marTop w:val="0"/>
              <w:marBottom w:val="0"/>
              <w:divBdr>
                <w:top w:val="none" w:sz="0" w:space="0" w:color="auto"/>
                <w:left w:val="none" w:sz="0" w:space="0" w:color="auto"/>
                <w:bottom w:val="none" w:sz="0" w:space="0" w:color="auto"/>
                <w:right w:val="none" w:sz="0" w:space="0" w:color="auto"/>
              </w:divBdr>
            </w:div>
            <w:div w:id="2065830709">
              <w:marLeft w:val="0"/>
              <w:marRight w:val="0"/>
              <w:marTop w:val="0"/>
              <w:marBottom w:val="0"/>
              <w:divBdr>
                <w:top w:val="none" w:sz="0" w:space="0" w:color="auto"/>
                <w:left w:val="none" w:sz="0" w:space="0" w:color="auto"/>
                <w:bottom w:val="none" w:sz="0" w:space="0" w:color="auto"/>
                <w:right w:val="none" w:sz="0" w:space="0" w:color="auto"/>
              </w:divBdr>
            </w:div>
            <w:div w:id="1393458950">
              <w:marLeft w:val="0"/>
              <w:marRight w:val="0"/>
              <w:marTop w:val="0"/>
              <w:marBottom w:val="0"/>
              <w:divBdr>
                <w:top w:val="none" w:sz="0" w:space="0" w:color="auto"/>
                <w:left w:val="none" w:sz="0" w:space="0" w:color="auto"/>
                <w:bottom w:val="none" w:sz="0" w:space="0" w:color="auto"/>
                <w:right w:val="none" w:sz="0" w:space="0" w:color="auto"/>
              </w:divBdr>
              <w:divsChild>
                <w:div w:id="227495667">
                  <w:marLeft w:val="0"/>
                  <w:marRight w:val="0"/>
                  <w:marTop w:val="0"/>
                  <w:marBottom w:val="0"/>
                  <w:divBdr>
                    <w:top w:val="none" w:sz="0" w:space="0" w:color="auto"/>
                    <w:left w:val="none" w:sz="0" w:space="0" w:color="auto"/>
                    <w:bottom w:val="none" w:sz="0" w:space="0" w:color="auto"/>
                    <w:right w:val="none" w:sz="0" w:space="0" w:color="auto"/>
                  </w:divBdr>
                  <w:divsChild>
                    <w:div w:id="1864896560">
                      <w:marLeft w:val="0"/>
                      <w:marRight w:val="0"/>
                      <w:marTop w:val="0"/>
                      <w:marBottom w:val="0"/>
                      <w:divBdr>
                        <w:top w:val="none" w:sz="0" w:space="0" w:color="auto"/>
                        <w:left w:val="none" w:sz="0" w:space="0" w:color="auto"/>
                        <w:bottom w:val="none" w:sz="0" w:space="0" w:color="auto"/>
                        <w:right w:val="none" w:sz="0" w:space="0" w:color="auto"/>
                      </w:divBdr>
                      <w:divsChild>
                        <w:div w:id="654458760">
                          <w:marLeft w:val="0"/>
                          <w:marRight w:val="0"/>
                          <w:marTop w:val="0"/>
                          <w:marBottom w:val="0"/>
                          <w:divBdr>
                            <w:top w:val="none" w:sz="0" w:space="0" w:color="auto"/>
                            <w:left w:val="none" w:sz="0" w:space="0" w:color="auto"/>
                            <w:bottom w:val="none" w:sz="0" w:space="0" w:color="auto"/>
                            <w:right w:val="none" w:sz="0" w:space="0" w:color="auto"/>
                          </w:divBdr>
                          <w:divsChild>
                            <w:div w:id="817651159">
                              <w:marLeft w:val="0"/>
                              <w:marRight w:val="0"/>
                              <w:marTop w:val="0"/>
                              <w:marBottom w:val="0"/>
                              <w:divBdr>
                                <w:top w:val="none" w:sz="0" w:space="0" w:color="auto"/>
                                <w:left w:val="none" w:sz="0" w:space="0" w:color="auto"/>
                                <w:bottom w:val="none" w:sz="0" w:space="0" w:color="auto"/>
                                <w:right w:val="none" w:sz="0" w:space="0" w:color="auto"/>
                              </w:divBdr>
                              <w:divsChild>
                                <w:div w:id="318074807">
                                  <w:marLeft w:val="0"/>
                                  <w:marRight w:val="0"/>
                                  <w:marTop w:val="0"/>
                                  <w:marBottom w:val="0"/>
                                  <w:divBdr>
                                    <w:top w:val="none" w:sz="0" w:space="0" w:color="auto"/>
                                    <w:left w:val="none" w:sz="0" w:space="0" w:color="auto"/>
                                    <w:bottom w:val="none" w:sz="0" w:space="0" w:color="auto"/>
                                    <w:right w:val="none" w:sz="0" w:space="0" w:color="auto"/>
                                  </w:divBdr>
                                  <w:divsChild>
                                    <w:div w:id="1947156281">
                                      <w:marLeft w:val="0"/>
                                      <w:marRight w:val="0"/>
                                      <w:marTop w:val="0"/>
                                      <w:marBottom w:val="0"/>
                                      <w:divBdr>
                                        <w:top w:val="none" w:sz="0" w:space="0" w:color="auto"/>
                                        <w:left w:val="none" w:sz="0" w:space="0" w:color="auto"/>
                                        <w:bottom w:val="none" w:sz="0" w:space="0" w:color="auto"/>
                                        <w:right w:val="none" w:sz="0" w:space="0" w:color="auto"/>
                                      </w:divBdr>
                                      <w:divsChild>
                                        <w:div w:id="16137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4472">
                                  <w:marLeft w:val="0"/>
                                  <w:marRight w:val="0"/>
                                  <w:marTop w:val="0"/>
                                  <w:marBottom w:val="0"/>
                                  <w:divBdr>
                                    <w:top w:val="none" w:sz="0" w:space="0" w:color="auto"/>
                                    <w:left w:val="none" w:sz="0" w:space="0" w:color="auto"/>
                                    <w:bottom w:val="none" w:sz="0" w:space="0" w:color="auto"/>
                                    <w:right w:val="none" w:sz="0" w:space="0" w:color="auto"/>
                                  </w:divBdr>
                                  <w:divsChild>
                                    <w:div w:id="1206063669">
                                      <w:marLeft w:val="0"/>
                                      <w:marRight w:val="0"/>
                                      <w:marTop w:val="0"/>
                                      <w:marBottom w:val="0"/>
                                      <w:divBdr>
                                        <w:top w:val="none" w:sz="0" w:space="0" w:color="auto"/>
                                        <w:left w:val="none" w:sz="0" w:space="0" w:color="auto"/>
                                        <w:bottom w:val="none" w:sz="0" w:space="0" w:color="auto"/>
                                        <w:right w:val="none" w:sz="0" w:space="0" w:color="auto"/>
                                      </w:divBdr>
                                      <w:divsChild>
                                        <w:div w:id="1940023581">
                                          <w:marLeft w:val="0"/>
                                          <w:marRight w:val="0"/>
                                          <w:marTop w:val="0"/>
                                          <w:marBottom w:val="0"/>
                                          <w:divBdr>
                                            <w:top w:val="none" w:sz="0" w:space="0" w:color="auto"/>
                                            <w:left w:val="none" w:sz="0" w:space="0" w:color="auto"/>
                                            <w:bottom w:val="none" w:sz="0" w:space="0" w:color="auto"/>
                                            <w:right w:val="none" w:sz="0" w:space="0" w:color="auto"/>
                                          </w:divBdr>
                                        </w:div>
                                        <w:div w:id="881138488">
                                          <w:marLeft w:val="0"/>
                                          <w:marRight w:val="0"/>
                                          <w:marTop w:val="0"/>
                                          <w:marBottom w:val="0"/>
                                          <w:divBdr>
                                            <w:top w:val="none" w:sz="0" w:space="0" w:color="auto"/>
                                            <w:left w:val="none" w:sz="0" w:space="0" w:color="auto"/>
                                            <w:bottom w:val="none" w:sz="0" w:space="0" w:color="auto"/>
                                            <w:right w:val="none" w:sz="0" w:space="0" w:color="auto"/>
                                          </w:divBdr>
                                        </w:div>
                                        <w:div w:id="1448699128">
                                          <w:marLeft w:val="0"/>
                                          <w:marRight w:val="0"/>
                                          <w:marTop w:val="0"/>
                                          <w:marBottom w:val="0"/>
                                          <w:divBdr>
                                            <w:top w:val="none" w:sz="0" w:space="0" w:color="auto"/>
                                            <w:left w:val="none" w:sz="0" w:space="0" w:color="auto"/>
                                            <w:bottom w:val="none" w:sz="0" w:space="0" w:color="auto"/>
                                            <w:right w:val="none" w:sz="0" w:space="0" w:color="auto"/>
                                          </w:divBdr>
                                        </w:div>
                                        <w:div w:id="470444379">
                                          <w:marLeft w:val="0"/>
                                          <w:marRight w:val="0"/>
                                          <w:marTop w:val="0"/>
                                          <w:marBottom w:val="0"/>
                                          <w:divBdr>
                                            <w:top w:val="none" w:sz="0" w:space="0" w:color="auto"/>
                                            <w:left w:val="none" w:sz="0" w:space="0" w:color="auto"/>
                                            <w:bottom w:val="none" w:sz="0" w:space="0" w:color="auto"/>
                                            <w:right w:val="none" w:sz="0" w:space="0" w:color="auto"/>
                                          </w:divBdr>
                                        </w:div>
                                        <w:div w:id="1560051091">
                                          <w:marLeft w:val="0"/>
                                          <w:marRight w:val="0"/>
                                          <w:marTop w:val="0"/>
                                          <w:marBottom w:val="0"/>
                                          <w:divBdr>
                                            <w:top w:val="none" w:sz="0" w:space="0" w:color="auto"/>
                                            <w:left w:val="none" w:sz="0" w:space="0" w:color="auto"/>
                                            <w:bottom w:val="none" w:sz="0" w:space="0" w:color="auto"/>
                                            <w:right w:val="none" w:sz="0" w:space="0" w:color="auto"/>
                                          </w:divBdr>
                                        </w:div>
                                        <w:div w:id="3080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936045">
      <w:bodyDiv w:val="1"/>
      <w:marLeft w:val="0"/>
      <w:marRight w:val="0"/>
      <w:marTop w:val="0"/>
      <w:marBottom w:val="0"/>
      <w:divBdr>
        <w:top w:val="none" w:sz="0" w:space="0" w:color="auto"/>
        <w:left w:val="none" w:sz="0" w:space="0" w:color="auto"/>
        <w:bottom w:val="none" w:sz="0" w:space="0" w:color="auto"/>
        <w:right w:val="none" w:sz="0" w:space="0" w:color="auto"/>
      </w:divBdr>
    </w:div>
    <w:div w:id="1609854588">
      <w:bodyDiv w:val="1"/>
      <w:marLeft w:val="0"/>
      <w:marRight w:val="0"/>
      <w:marTop w:val="0"/>
      <w:marBottom w:val="0"/>
      <w:divBdr>
        <w:top w:val="none" w:sz="0" w:space="0" w:color="auto"/>
        <w:left w:val="none" w:sz="0" w:space="0" w:color="auto"/>
        <w:bottom w:val="none" w:sz="0" w:space="0" w:color="auto"/>
        <w:right w:val="none" w:sz="0" w:space="0" w:color="auto"/>
      </w:divBdr>
    </w:div>
    <w:div w:id="17675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Yuwei Li</DisplayName>
        <AccountId>42</AccountId>
        <AccountType/>
      </UserInfo>
      <UserInfo>
        <DisplayName>Franziska Hirsch</DisplayName>
        <AccountId>1339</AccountId>
        <AccountType/>
      </UserInfo>
      <UserInfo>
        <DisplayName>Christine Seifert</DisplayName>
        <AccountId>941</AccountId>
        <AccountType/>
      </UserInfo>
      <UserInfo>
        <DisplayName>Anastasia Barinova</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2.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F9F8CED1-D5B5-4F4F-9E0E-255218D13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ECE/TRANS/2022/22</vt:lpstr>
    </vt:vector>
  </TitlesOfParts>
  <Company>CSD</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ECE/TRANS/2022/22</dc:title>
  <dc:subject>2118500</dc:subject>
  <dc:creator>Una Philippa GILTSOFF</dc:creator>
  <cp:keywords/>
  <dc:description/>
  <cp:lastModifiedBy>Christine Seifert</cp:lastModifiedBy>
  <cp:revision>15</cp:revision>
  <cp:lastPrinted>2023-12-18T14:41:00Z</cp:lastPrinted>
  <dcterms:created xsi:type="dcterms:W3CDTF">2023-12-07T16:32:00Z</dcterms:created>
  <dcterms:modified xsi:type="dcterms:W3CDTF">2023-12-18T14:41:00Z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