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B7EEC8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47F822" w14:textId="77777777" w:rsidR="002D5AAC" w:rsidRDefault="002D5AAC" w:rsidP="009416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06EEB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DFFDAF0" w14:textId="0E9F5C15" w:rsidR="002D5AAC" w:rsidRDefault="00941672" w:rsidP="00941672">
            <w:pPr>
              <w:jc w:val="right"/>
            </w:pPr>
            <w:r w:rsidRPr="00941672">
              <w:rPr>
                <w:sz w:val="40"/>
              </w:rPr>
              <w:t>ECE</w:t>
            </w:r>
            <w:r>
              <w:t>/TRANS/2024/17</w:t>
            </w:r>
          </w:p>
        </w:tc>
      </w:tr>
      <w:tr w:rsidR="002D5AAC" w:rsidRPr="00A37A5C" w14:paraId="7524159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459C0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00FA84B" wp14:editId="73B7F56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7F012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775F398" w14:textId="77777777" w:rsidR="002D5AAC" w:rsidRDefault="0094167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73709F" w14:textId="783BC76F" w:rsidR="00941672" w:rsidRDefault="00941672" w:rsidP="009416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2023</w:t>
            </w:r>
          </w:p>
          <w:p w14:paraId="47829084" w14:textId="77777777" w:rsidR="00941672" w:rsidRDefault="00941672" w:rsidP="009416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5CC5FC" w14:textId="46F87357" w:rsidR="00941672" w:rsidRPr="008D53B6" w:rsidRDefault="00941672" w:rsidP="009416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D437B3D" w14:textId="77777777" w:rsidR="00941672" w:rsidRDefault="00941672" w:rsidP="0094167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DBD4B7" w14:textId="77777777" w:rsidR="00941672" w:rsidRPr="00FB2042" w:rsidRDefault="00941672" w:rsidP="00941672">
      <w:pPr>
        <w:spacing w:before="120"/>
        <w:rPr>
          <w:sz w:val="28"/>
          <w:szCs w:val="28"/>
        </w:rPr>
      </w:pPr>
      <w:r w:rsidRPr="00FB2042">
        <w:rPr>
          <w:sz w:val="28"/>
          <w:szCs w:val="28"/>
        </w:rPr>
        <w:t>Комитет по внутреннему транспорту</w:t>
      </w:r>
    </w:p>
    <w:p w14:paraId="2C7C2635" w14:textId="77777777" w:rsidR="00941672" w:rsidRPr="00FB2042" w:rsidRDefault="00941672" w:rsidP="00941672">
      <w:pPr>
        <w:spacing w:before="120"/>
        <w:rPr>
          <w:b/>
          <w:bCs/>
        </w:rPr>
      </w:pPr>
      <w:r>
        <w:rPr>
          <w:b/>
          <w:bCs/>
        </w:rPr>
        <w:t>Восемьдесят шестая сессия</w:t>
      </w:r>
    </w:p>
    <w:p w14:paraId="31D27BCC" w14:textId="77777777" w:rsidR="00941672" w:rsidRPr="00FB2042" w:rsidRDefault="00941672" w:rsidP="00941672">
      <w:r>
        <w:t>Женева, 20–23 февраля 2024 года</w:t>
      </w:r>
    </w:p>
    <w:p w14:paraId="72E411F4" w14:textId="77777777" w:rsidR="00941672" w:rsidRPr="00FB2042" w:rsidRDefault="00941672" w:rsidP="00941672">
      <w:r>
        <w:t>Пункт 10 b) предварительной повестки дня</w:t>
      </w:r>
    </w:p>
    <w:p w14:paraId="3291BD78" w14:textId="77777777" w:rsidR="00941672" w:rsidRPr="00FB2042" w:rsidRDefault="00941672" w:rsidP="00941672">
      <w:pPr>
        <w:rPr>
          <w:b/>
          <w:bCs/>
        </w:rPr>
      </w:pPr>
      <w:r>
        <w:rPr>
          <w:b/>
          <w:bCs/>
        </w:rPr>
        <w:t xml:space="preserve">Стратегические вопросы горизонтальной </w:t>
      </w:r>
      <w:r>
        <w:rPr>
          <w:b/>
          <w:bCs/>
        </w:rPr>
        <w:br/>
        <w:t>и</w:t>
      </w:r>
      <w:r w:rsidRPr="00824777">
        <w:rPr>
          <w:b/>
          <w:bCs/>
        </w:rPr>
        <w:t xml:space="preserve"> </w:t>
      </w:r>
      <w:r>
        <w:rPr>
          <w:b/>
          <w:bCs/>
        </w:rPr>
        <w:t xml:space="preserve">межсекторальной политики или нормативного </w:t>
      </w:r>
      <w:r>
        <w:rPr>
          <w:b/>
          <w:bCs/>
        </w:rPr>
        <w:br/>
        <w:t>характера:</w:t>
      </w:r>
      <w:r w:rsidRPr="00824777">
        <w:rPr>
          <w:b/>
          <w:bCs/>
        </w:rPr>
        <w:t xml:space="preserve"> </w:t>
      </w:r>
      <w:r>
        <w:rPr>
          <w:b/>
          <w:bCs/>
        </w:rPr>
        <w:t xml:space="preserve">Осуществление международных конвенций </w:t>
      </w:r>
      <w:r>
        <w:rPr>
          <w:b/>
          <w:bCs/>
        </w:rPr>
        <w:br/>
        <w:t>и соглашений</w:t>
      </w:r>
      <w:r w:rsidRPr="00824777">
        <w:rPr>
          <w:b/>
          <w:bCs/>
        </w:rPr>
        <w:t xml:space="preserve"> </w:t>
      </w:r>
      <w:r>
        <w:rPr>
          <w:b/>
          <w:bCs/>
        </w:rPr>
        <w:t xml:space="preserve">Организации Объединенных Наций </w:t>
      </w:r>
      <w:r>
        <w:rPr>
          <w:b/>
          <w:bCs/>
        </w:rPr>
        <w:br/>
        <w:t>в области внутреннего транспорта</w:t>
      </w:r>
      <w:r w:rsidRPr="00824777">
        <w:rPr>
          <w:b/>
          <w:bCs/>
        </w:rPr>
        <w:t xml:space="preserve"> </w:t>
      </w:r>
      <w:r>
        <w:rPr>
          <w:b/>
          <w:bCs/>
        </w:rPr>
        <w:t>(заявления делегатов)</w:t>
      </w:r>
    </w:p>
    <w:p w14:paraId="1C1E79F1" w14:textId="77777777" w:rsidR="00941672" w:rsidRPr="00FB2042" w:rsidRDefault="00941672" w:rsidP="00941672">
      <w:pPr>
        <w:pStyle w:val="HChG"/>
      </w:pPr>
      <w:r>
        <w:tab/>
      </w:r>
      <w:r>
        <w:tab/>
      </w:r>
      <w:r>
        <w:rPr>
          <w:bCs/>
        </w:rPr>
        <w:t xml:space="preserve">Динамика присоединения различных регионов </w:t>
      </w:r>
      <w:r>
        <w:rPr>
          <w:bCs/>
        </w:rPr>
        <w:br/>
        <w:t>и важнейшая роль усиления мониторинга осуществления ключевых правовых документов, относящихся к ведению Комитета по внутреннему транспорту</w:t>
      </w:r>
    </w:p>
    <w:p w14:paraId="5838C1C1" w14:textId="0D7CB479" w:rsidR="00941672" w:rsidRPr="00FB2042" w:rsidRDefault="00941672" w:rsidP="00941672">
      <w:pPr>
        <w:pStyle w:val="H1G"/>
      </w:pPr>
      <w:r>
        <w:tab/>
      </w:r>
      <w:r>
        <w:tab/>
        <w:t>Записка секретариата</w:t>
      </w:r>
    </w:p>
    <w:p w14:paraId="146DF397" w14:textId="77777777" w:rsidR="00941672" w:rsidRPr="00FB2042" w:rsidRDefault="00941672" w:rsidP="00941672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Справочная информация и мандат</w:t>
      </w:r>
    </w:p>
    <w:p w14:paraId="59269F9A" w14:textId="4B72ACF0" w:rsidR="00941672" w:rsidRPr="00FB2042" w:rsidRDefault="00941672" w:rsidP="00941672">
      <w:pPr>
        <w:pStyle w:val="SingleTxtG"/>
      </w:pPr>
      <w:r>
        <w:t>1.</w:t>
      </w:r>
      <w:r>
        <w:tab/>
        <w:t>В ведении Комитета по внутреннему транспорту (КВТ) Европейской экономической комиссии (ЕЭК) находятся 60 юридически обязательных документов Организации Объединенных Наций (конвенций, соглашений и протоколов к ним), 49</w:t>
      </w:r>
      <w:r w:rsidR="00605491">
        <w:rPr>
          <w:lang w:val="en-US"/>
        </w:rPr>
        <w:t> </w:t>
      </w:r>
      <w:r>
        <w:t>из которых действуют в настоящее время.</w:t>
      </w:r>
    </w:p>
    <w:p w14:paraId="39C5B62E" w14:textId="77777777" w:rsidR="00941672" w:rsidRPr="00FB2042" w:rsidRDefault="00941672" w:rsidP="00941672">
      <w:pPr>
        <w:pStyle w:val="SingleTxtG"/>
      </w:pPr>
      <w:r>
        <w:t>2.</w:t>
      </w:r>
      <w:r>
        <w:tab/>
        <w:t>На момент подготовки настоящей записки 152 государства — члена Организации Объединенных Наций являются договаривающейся стороной по крайней мере одного из этих документов. За последние годы общее число присоединяющихся стран, не входящих в регион ЕЭК, все больше превышает число присоединяющихся стран из региона ЕЭК. В разделе II настоящего документа представлена динамика присоединения различных регионов.</w:t>
      </w:r>
    </w:p>
    <w:p w14:paraId="70EAD761" w14:textId="77777777" w:rsidR="00941672" w:rsidRPr="00FB2042" w:rsidRDefault="00941672" w:rsidP="00941672">
      <w:pPr>
        <w:pStyle w:val="SingleTxtG"/>
      </w:pPr>
      <w:r>
        <w:t>3.</w:t>
      </w:r>
      <w:r>
        <w:tab/>
        <w:t>Такая динамика способствует повышению важности понимания вопросов, связанных с осуществлением правовых документов, включая их мониторинг, особенно в свете того, что темпы присоединения, как представляется, ускоряются за пределами региона ЕЭК, где Комитет в настоящее время не имеет средств регулярного бюджета для оказания поддержки в развитии потенциала. Поэтому неудивительно, что в</w:t>
      </w:r>
      <w:r>
        <w:br/>
        <w:t>пункте d) постановляющей части министерской резолюции «</w:t>
      </w:r>
      <w:r w:rsidRPr="0090526B">
        <w:t>Вступая в десятилетие свершений в интересах устойчивого внутреннего транспорта и устойчивого развития</w:t>
      </w:r>
      <w:r>
        <w:t xml:space="preserve">» (ECE/TRANS/316, приложение I) секретариату было поручено определить варианты разработки механизмов для усиления мониторинга осуществления основных конвенций и представить всеобъемлющий документ по вопросам политики на рассмотрение КВТ на его 86-й сессии. Раздел III настоящего документа был составлен </w:t>
      </w:r>
      <w:r>
        <w:lastRenderedPageBreak/>
        <w:t>в целях непосредственной реализации этого пункта постановляющей части министерской резолюции</w:t>
      </w:r>
      <w:r>
        <w:rPr>
          <w:rStyle w:val="aa"/>
        </w:rPr>
        <w:footnoteReference w:id="1"/>
      </w:r>
      <w:r>
        <w:t>.</w:t>
      </w:r>
    </w:p>
    <w:p w14:paraId="7C5587D1" w14:textId="77777777" w:rsidR="00941672" w:rsidRPr="00FB2042" w:rsidRDefault="00941672" w:rsidP="00941672">
      <w:pPr>
        <w:pStyle w:val="SingleTxtG"/>
      </w:pPr>
      <w:r>
        <w:t>4.</w:t>
      </w:r>
      <w:r>
        <w:tab/>
        <w:t>В разделе IV приведен перечень возможных решений для рассмотрения Комитетом.</w:t>
      </w:r>
    </w:p>
    <w:p w14:paraId="78484632" w14:textId="77777777" w:rsidR="00941672" w:rsidRPr="00FB2042" w:rsidRDefault="00941672" w:rsidP="00941672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 xml:space="preserve">Динамика присоединения регионов в разбивке </w:t>
      </w:r>
      <w:r>
        <w:rPr>
          <w:bCs/>
        </w:rPr>
        <w:br/>
        <w:t xml:space="preserve">по региональным комиссиям и связанные </w:t>
      </w:r>
      <w:r>
        <w:rPr>
          <w:bCs/>
        </w:rPr>
        <w:br/>
        <w:t>с этим соображения</w:t>
      </w:r>
    </w:p>
    <w:p w14:paraId="07B9F450" w14:textId="77777777" w:rsidR="00941672" w:rsidRPr="00FB2042" w:rsidRDefault="00941672" w:rsidP="00941672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Динамика присоединения в разбивке по региональным комиссиям</w:t>
      </w:r>
    </w:p>
    <w:p w14:paraId="03DE5631" w14:textId="77777777" w:rsidR="00941672" w:rsidRPr="00FB2042" w:rsidRDefault="00941672" w:rsidP="00941672">
      <w:pPr>
        <w:pStyle w:val="SingleTxtG"/>
      </w:pPr>
      <w:r>
        <w:t>5.</w:t>
      </w:r>
      <w:r>
        <w:tab/>
        <w:t xml:space="preserve">При отнесении стран к членам соответствующей региональной комиссии важно учитывать членство многих из них в нескольких региональных комиссиях. </w:t>
      </w:r>
      <w:r>
        <w:br/>
        <w:t>В отдельных случаях прослеживается четкая географическая связь таких стран с одной региональной комиссией, и поэтому им приписывается членство только в этой комиссии. В то же время имеются две основные зоны, характеризующиеся взаимным наложением сфер действия различных региональных комиссий: Северная Африка/Западная Азия (охватываемые страны: Алжир, Египет, Ливия, Мавритания, Марокко, Судан, Тунис) и Центральная Азия (Азербайджан, Казахстан, Кыргызстан, Российская Федерация, Таджикистан, Туркменистан, Узбекистан). В обоих указанных случаях при анализе соответствующие страны учтены в качестве членов обеих региональных комиссий.</w:t>
      </w:r>
    </w:p>
    <w:p w14:paraId="039D40F7" w14:textId="77777777" w:rsidR="00941672" w:rsidRPr="00FB2042" w:rsidRDefault="00941672" w:rsidP="00941672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Регион Европейской экономической комиссии</w:t>
      </w:r>
    </w:p>
    <w:p w14:paraId="42D1E8D2" w14:textId="7519D41C" w:rsidR="00941672" w:rsidRPr="00FB2042" w:rsidRDefault="00941672" w:rsidP="00941672">
      <w:pPr>
        <w:pStyle w:val="SingleTxtG"/>
      </w:pPr>
      <w:r>
        <w:t>6.</w:t>
      </w:r>
      <w:r>
        <w:tab/>
        <w:t>Из 1833 присоединений всех договаривающихся сторон ко всем конвенциям 1402 (76</w:t>
      </w:r>
      <w:r>
        <w:rPr>
          <w:lang w:val="en-US"/>
        </w:rPr>
        <w:t> </w:t>
      </w:r>
      <w:r>
        <w:t xml:space="preserve">%) приходится на 56 государств — членов ЕЭК. Из них 371 присоединение приходится на 17 стран — участниц программ ЕЭК, которые получают поддержку в рамках Регулярной программы технического сотрудничества (РПТС) ЕЭК. </w:t>
      </w:r>
      <w:r w:rsidR="00605491">
        <w:br/>
      </w:r>
      <w:r>
        <w:t xml:space="preserve">По числу присоединений к различным конвенциям лидируют Люксембург (44), </w:t>
      </w:r>
      <w:r w:rsidR="00605491">
        <w:br/>
      </w:r>
      <w:r>
        <w:t>Нидерланды (44) и Сербия (42).</w:t>
      </w:r>
    </w:p>
    <w:p w14:paraId="09DD96C3" w14:textId="77777777" w:rsidR="00941672" w:rsidRPr="00F636F2" w:rsidRDefault="00941672" w:rsidP="00941672">
      <w:pPr>
        <w:pStyle w:val="H23G"/>
        <w:rPr>
          <w:bCs/>
        </w:rPr>
      </w:pPr>
      <w:r>
        <w:rPr>
          <w:bCs/>
        </w:rPr>
        <w:tab/>
        <w:t>2.</w:t>
      </w:r>
      <w:r>
        <w:t xml:space="preserve"> </w:t>
      </w:r>
      <w:r>
        <w:tab/>
      </w:r>
      <w:r>
        <w:rPr>
          <w:bCs/>
        </w:rPr>
        <w:t xml:space="preserve">Регион Экономической комиссии для Латинской Америки </w:t>
      </w:r>
      <w:r w:rsidRPr="009C7F73">
        <w:rPr>
          <w:bCs/>
        </w:rPr>
        <w:t>и Карибского бассейна</w:t>
      </w:r>
    </w:p>
    <w:p w14:paraId="14ED5B7C" w14:textId="73BB8A79" w:rsidR="00941672" w:rsidRPr="00FB2042" w:rsidRDefault="00941672" w:rsidP="00941672">
      <w:pPr>
        <w:pStyle w:val="SingleTxtG"/>
      </w:pPr>
      <w:r>
        <w:t>7.</w:t>
      </w:r>
      <w:r>
        <w:tab/>
        <w:t xml:space="preserve">На долю государств — членов </w:t>
      </w:r>
      <w:r w:rsidRPr="009C7F73">
        <w:t>Экономической комиссии для Латинской Америки и Карибского бассейна</w:t>
      </w:r>
      <w:r w:rsidRPr="00605491">
        <w:t xml:space="preserve"> </w:t>
      </w:r>
      <w:r w:rsidRPr="009C7F73">
        <w:t>(</w:t>
      </w:r>
      <w:r>
        <w:t xml:space="preserve">ЭКЛАК) приходится 80 присоединений. </w:t>
      </w:r>
      <w:r>
        <w:br/>
        <w:t xml:space="preserve">Из 33 государств — членов ЭКЛАК хотя бы к одной из конвенции по транспорту, относящейся к ведению КВТ, присоединились лишь 22. Оставшимися </w:t>
      </w:r>
      <w:r>
        <w:br/>
        <w:t xml:space="preserve">11 государствами-членами, не подписавшими ни одну конвенцию, являются Белиз, Боливия, Гренада, Доминика, Колумбия, Никарагуа, Панама, Сент-Винсент и Гренадины, Сент-Китс и Невис, Сент-Люсия и Суринам. По </w:t>
      </w:r>
      <w:r w:rsidR="00193CC6">
        <w:t>показателю</w:t>
      </w:r>
      <w:r>
        <w:t xml:space="preserve"> общего количества присоединений в регионе ЭКЛАК лидируют Куба (15 присоединений) и Тринидад и Тобаго (7).</w:t>
      </w:r>
    </w:p>
    <w:p w14:paraId="70DB50B4" w14:textId="77777777" w:rsidR="00941672" w:rsidRPr="00FB2042" w:rsidRDefault="00941672" w:rsidP="00941672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Регион Экономической комиссии для Африки</w:t>
      </w:r>
    </w:p>
    <w:p w14:paraId="28B3ED1F" w14:textId="77777777" w:rsidR="00941672" w:rsidRPr="00FB2042" w:rsidRDefault="00941672" w:rsidP="00941672">
      <w:pPr>
        <w:pStyle w:val="SingleTxtG"/>
      </w:pPr>
      <w:r>
        <w:t>8.</w:t>
      </w:r>
      <w:r>
        <w:tab/>
        <w:t xml:space="preserve">На сегодняшний день на страны — члены </w:t>
      </w:r>
      <w:r w:rsidRPr="009C7F73">
        <w:t>Экономической комиссии для Африки</w:t>
      </w:r>
      <w:r>
        <w:t xml:space="preserve"> (ЭКА) приходится </w:t>
      </w:r>
      <w:r w:rsidRPr="00C021CE">
        <w:t>163</w:t>
      </w:r>
      <w:r>
        <w:t xml:space="preserve"> присоединения к</w:t>
      </w:r>
      <w:r w:rsidRPr="00C021CE">
        <w:t xml:space="preserve"> </w:t>
      </w:r>
      <w:r>
        <w:t>конвенциям по транспорту. 36 стран присоединились по крайней мере к одной конвенции, тогда как 18 (33</w:t>
      </w:r>
      <w:r>
        <w:rPr>
          <w:lang w:val="en-US"/>
        </w:rPr>
        <w:t> </w:t>
      </w:r>
      <w:r>
        <w:t xml:space="preserve">%) — ни к одной. Темпы присоединения стран региона ЭКА значительно ускорились за годы, прошедшие с момента принятия Стратегии КВТ на период до 2030 года. В 2022 году </w:t>
      </w:r>
      <w:r>
        <w:lastRenderedPageBreak/>
        <w:t xml:space="preserve">наблюдался резкая активизация присоединений, из которых шесть приходятся на Уганду и два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—</w:t>
      </w:r>
      <w:r>
        <w:t xml:space="preserve"> на Бенин. По количеству присоединений в регионе лидируют Тунис (18 присоединений), Марокко (15) и Уганда (11).</w:t>
      </w:r>
    </w:p>
    <w:p w14:paraId="199C8F1D" w14:textId="77777777" w:rsidR="00941672" w:rsidRPr="00FB2042" w:rsidRDefault="00941672" w:rsidP="00941672">
      <w:pPr>
        <w:pStyle w:val="H23G"/>
      </w:pPr>
      <w:r>
        <w:rPr>
          <w:bCs/>
        </w:rPr>
        <w:tab/>
        <w:t>4.</w:t>
      </w:r>
      <w:r>
        <w:tab/>
      </w:r>
      <w:r>
        <w:rPr>
          <w:bCs/>
        </w:rPr>
        <w:t>Регион Экономической и социальной комиссии для Западной Азии</w:t>
      </w:r>
    </w:p>
    <w:p w14:paraId="262AFEA3" w14:textId="77777777" w:rsidR="00941672" w:rsidRPr="00FB2042" w:rsidRDefault="00941672" w:rsidP="00941672">
      <w:pPr>
        <w:pStyle w:val="SingleTxtG"/>
      </w:pPr>
      <w:r>
        <w:t>9.</w:t>
      </w:r>
      <w:r>
        <w:tab/>
        <w:t xml:space="preserve">По состоянию на ноябрь 2023 года 16 из 20 государств — членов </w:t>
      </w:r>
      <w:r>
        <w:rPr>
          <w:bCs/>
        </w:rPr>
        <w:t>Экономической и социальной комиссии для Западной Азии</w:t>
      </w:r>
      <w:r>
        <w:t xml:space="preserve"> (ЭСКЗА) в совокупности осуществили 92 присоединения к </w:t>
      </w:r>
      <w:r w:rsidRPr="009C7F73">
        <w:t>24</w:t>
      </w:r>
      <w:r>
        <w:t xml:space="preserve"> конвенциям ЕЭК по транспорту. Йемен, Ливия, Мавритания и Сомали пока не присоединились ни к одной конвенции. По числу присоединений в регионе лидируют Тунис (18), Марокко (15), Алжир и Иордания (по 9).</w:t>
      </w:r>
    </w:p>
    <w:p w14:paraId="5A778868" w14:textId="77777777" w:rsidR="00941672" w:rsidRPr="00FB2042" w:rsidRDefault="00941672" w:rsidP="00941672">
      <w:pPr>
        <w:pStyle w:val="H23G"/>
      </w:pPr>
      <w:r>
        <w:rPr>
          <w:bCs/>
        </w:rPr>
        <w:tab/>
        <w:t>5.</w:t>
      </w:r>
      <w:r>
        <w:tab/>
      </w:r>
      <w:r>
        <w:rPr>
          <w:bCs/>
        </w:rPr>
        <w:t>Регион Экономической и социальной комиссии для Азии и Тихого океана</w:t>
      </w:r>
    </w:p>
    <w:p w14:paraId="36B8EBC7" w14:textId="77777777" w:rsidR="00941672" w:rsidRPr="00FB2042" w:rsidRDefault="00941672" w:rsidP="00941672">
      <w:pPr>
        <w:pStyle w:val="SingleTxtG"/>
      </w:pPr>
      <w:r>
        <w:t>10.</w:t>
      </w:r>
      <w:r>
        <w:tab/>
        <w:t xml:space="preserve">Из 50 государств — членов </w:t>
      </w:r>
      <w:r>
        <w:rPr>
          <w:bCs/>
        </w:rPr>
        <w:t>Экономической и социальной комиссии для Азии и Тихого океана</w:t>
      </w:r>
      <w:r>
        <w:t xml:space="preserve"> (ЭСКАТО) на долю 37 государств региона приходится 308 присоединений к 41 различной конвенции ЕЭК по транспорту. Иными словами, 13 стран (или 26</w:t>
      </w:r>
      <w:r>
        <w:rPr>
          <w:lang w:val="en-US"/>
        </w:rPr>
        <w:t> </w:t>
      </w:r>
      <w:r>
        <w:t>%) не являются участницами ни одной конвенции по транспорту. По числу присоединений лидируют Российская Федерация (33), Турция (29), Казахстан и Грузия (по 18), причем все они также являются государствами — членами ЕЭК. Следует отдельно отметить активность Турции, которая в мае 2023 года осуществила присоединилась к ряду соглашений, касающихся дорожных знаков, сигналов и маркировки.</w:t>
      </w:r>
    </w:p>
    <w:p w14:paraId="6F39FDA4" w14:textId="77777777" w:rsidR="00941672" w:rsidRPr="00FB2042" w:rsidRDefault="00941672" w:rsidP="00941672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 xml:space="preserve">Динамика присоединения и связанные с этим проблемы </w:t>
      </w:r>
      <w:r>
        <w:rPr>
          <w:bCs/>
        </w:rPr>
        <w:br/>
        <w:t>и возможности в области развития потенциала</w:t>
      </w:r>
    </w:p>
    <w:p w14:paraId="1EC4804E" w14:textId="77777777" w:rsidR="00941672" w:rsidRPr="00FB2042" w:rsidRDefault="00941672" w:rsidP="00941672">
      <w:pPr>
        <w:pStyle w:val="SingleTxtG"/>
      </w:pPr>
      <w:r>
        <w:t>11.</w:t>
      </w:r>
      <w:r>
        <w:tab/>
        <w:t>С момента принятия Стратегии КВТ на период до 2030 года в динамике присоединения произошел заметный сдвиг. Как показано на рис. I ниже, в четырех случаях за последние шесть лет число присоединившихся стран, не входящих в регион ЕЭК, превышало число присоединившихся государств — членов ЕЭК.</w:t>
      </w:r>
    </w:p>
    <w:p w14:paraId="737AF066" w14:textId="77777777" w:rsidR="00941672" w:rsidRPr="00FB2042" w:rsidRDefault="00941672" w:rsidP="00941672">
      <w:pPr>
        <w:pStyle w:val="H23G"/>
      </w:pPr>
      <w:r>
        <w:tab/>
      </w:r>
      <w:r w:rsidRPr="001503E6">
        <w:rPr>
          <w:b w:val="0"/>
          <w:bCs/>
        </w:rPr>
        <w:tab/>
        <w:t>Рис. I</w:t>
      </w:r>
      <w:r w:rsidRPr="001503E6">
        <w:rPr>
          <w:b w:val="0"/>
          <w:bCs/>
        </w:rPr>
        <w:br/>
      </w:r>
      <w:r>
        <w:t xml:space="preserve">Присоединение договаривающихся сторон </w:t>
      </w:r>
      <w:r w:rsidRPr="006A1784">
        <w:t>—</w:t>
      </w:r>
      <w:r>
        <w:t xml:space="preserve"> членов и нечленов ЕЭК </w:t>
      </w:r>
      <w:r>
        <w:br/>
        <w:t>(1950–2023 годы)</w:t>
      </w:r>
    </w:p>
    <w:p w14:paraId="4E655E82" w14:textId="77777777" w:rsidR="00941672" w:rsidRDefault="00941672" w:rsidP="00941672">
      <w:pPr>
        <w:jc w:val="center"/>
      </w:pPr>
      <w:r w:rsidRPr="000A7239">
        <w:rPr>
          <w:noProof/>
        </w:rPr>
        <w:drawing>
          <wp:inline distT="0" distB="0" distL="0" distR="0" wp14:anchorId="33042A2E" wp14:editId="41D2FC81">
            <wp:extent cx="4699559" cy="2824639"/>
            <wp:effectExtent l="0" t="0" r="6350" b="0"/>
            <wp:docPr id="1340906370" name="Picture 1340906370" descr="A graph of a graph showing the number of ye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906370" name="Picture 1340906370" descr="A graph of a graph showing the number of yea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635" cy="2840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E778F8" w14:textId="77777777" w:rsidR="00941672" w:rsidRPr="00FE00E3" w:rsidRDefault="00941672" w:rsidP="00941672">
      <w:pPr>
        <w:keepNext/>
        <w:keepLines/>
        <w:spacing w:line="220" w:lineRule="exact"/>
        <w:ind w:left="1134" w:right="1134" w:firstLine="170"/>
        <w:rPr>
          <w:i/>
          <w:sz w:val="18"/>
          <w:szCs w:val="18"/>
        </w:rPr>
      </w:pPr>
      <w:r w:rsidRPr="00FE00E3">
        <w:rPr>
          <w:i/>
          <w:iCs/>
          <w:sz w:val="18"/>
          <w:szCs w:val="18"/>
        </w:rPr>
        <w:t>Условные обозначения</w:t>
      </w:r>
      <w:r w:rsidRPr="00FE00E3">
        <w:rPr>
          <w:sz w:val="18"/>
          <w:szCs w:val="18"/>
        </w:rPr>
        <w:t>: сплошная линия: государства — члены ЕЭК, пунктирная линия: государства — нечлены ЕЭК.</w:t>
      </w:r>
    </w:p>
    <w:p w14:paraId="48189078" w14:textId="77777777" w:rsidR="00941672" w:rsidRPr="00FE00E3" w:rsidRDefault="00941672" w:rsidP="00941672">
      <w:pPr>
        <w:spacing w:after="240" w:line="220" w:lineRule="exact"/>
        <w:ind w:left="1134" w:right="1134" w:firstLine="170"/>
        <w:rPr>
          <w:sz w:val="18"/>
          <w:szCs w:val="18"/>
        </w:rPr>
      </w:pPr>
      <w:r w:rsidRPr="00FE00E3">
        <w:rPr>
          <w:i/>
          <w:iCs/>
          <w:sz w:val="18"/>
          <w:szCs w:val="18"/>
        </w:rPr>
        <w:t>Источник</w:t>
      </w:r>
      <w:r w:rsidRPr="00FE00E3">
        <w:rPr>
          <w:sz w:val="18"/>
          <w:szCs w:val="18"/>
        </w:rPr>
        <w:t>: ЕЭК.</w:t>
      </w:r>
    </w:p>
    <w:p w14:paraId="716B2548" w14:textId="77777777" w:rsidR="00941672" w:rsidRPr="00FB2042" w:rsidRDefault="00941672" w:rsidP="00941672">
      <w:pPr>
        <w:pStyle w:val="SingleTxtG"/>
      </w:pPr>
      <w:r>
        <w:lastRenderedPageBreak/>
        <w:t>12.</w:t>
      </w:r>
      <w:r>
        <w:tab/>
        <w:t>Это важное изменение с учетом возросших потребностей в развитии потенциала для осуществления этих конвенций и соглашений.</w:t>
      </w:r>
    </w:p>
    <w:p w14:paraId="36822541" w14:textId="77777777" w:rsidR="00941672" w:rsidRPr="00FB2042" w:rsidRDefault="00941672" w:rsidP="00941672">
      <w:pPr>
        <w:pStyle w:val="SingleTxtG"/>
      </w:pPr>
      <w:r>
        <w:t>13.</w:t>
      </w:r>
      <w:r>
        <w:tab/>
        <w:t xml:space="preserve">По итогам одобрения </w:t>
      </w:r>
      <w:r w:rsidRPr="009C7F73">
        <w:t>Экономическ</w:t>
      </w:r>
      <w:r>
        <w:t xml:space="preserve">им </w:t>
      </w:r>
      <w:r w:rsidRPr="009C7F73">
        <w:t>и Социальн</w:t>
      </w:r>
      <w:r>
        <w:t>ым</w:t>
      </w:r>
      <w:r w:rsidRPr="009C7F73">
        <w:t xml:space="preserve"> Совет</w:t>
      </w:r>
      <w:r>
        <w:t xml:space="preserve">ом (ЭКОСОС) своего пересмотренного круга ведения (КВ) КВТ был признан центром Организации Объединенных Наций, выполняющим функции всеобъемлющей региональной и глобальной платформы для рассмотрения всех аспектов развития и сотрудничества в области внутреннего транспорта с уделением особого внимания </w:t>
      </w:r>
      <w:r>
        <w:rPr>
          <w:b/>
          <w:bCs/>
        </w:rPr>
        <w:t>межрегиональному и внутрирегиональному</w:t>
      </w:r>
      <w:r>
        <w:t xml:space="preserve"> регулированию на основе конвенций Организации Объединенных Наций по транспорту и других средств.</w:t>
      </w:r>
    </w:p>
    <w:p w14:paraId="39DC103F" w14:textId="6E917A89" w:rsidR="00941672" w:rsidRPr="00FB2042" w:rsidRDefault="00941672" w:rsidP="00941672">
      <w:pPr>
        <w:pStyle w:val="SingleTxtG"/>
      </w:pPr>
      <w:r>
        <w:t>14.</w:t>
      </w:r>
      <w:r>
        <w:tab/>
        <w:t>В разделе 23 Регулярной программы технического сотрудничества 2023 года (A/</w:t>
      </w:r>
      <w:r w:rsidR="00605491" w:rsidRPr="00605491">
        <w:t>7</w:t>
      </w:r>
      <w:r>
        <w:t>7/6 (разд.</w:t>
      </w:r>
      <w:r>
        <w:rPr>
          <w:lang w:val="en-US"/>
        </w:rPr>
        <w:t> </w:t>
      </w:r>
      <w:r>
        <w:t>23)) с точки зрения программ и бюджета рассматриваются внутрирегиональные аспекты вышеуказанного мандата КВТ для 56 государств — членов ЕЭК, особенно для тех 17 стран — участниц программ ЕЭК, которые вправе воспользоваться поддержкой РПТС. По состоянию на ноябрь 2023 года на долю 17</w:t>
      </w:r>
      <w:r w:rsidR="00605491">
        <w:rPr>
          <w:lang w:val="en-US"/>
        </w:rPr>
        <w:t> </w:t>
      </w:r>
      <w:r>
        <w:t xml:space="preserve">стран — участниц программ ЕЭК приходится </w:t>
      </w:r>
      <w:r>
        <w:rPr>
          <w:b/>
          <w:bCs/>
        </w:rPr>
        <w:t>в общей сложности 376</w:t>
      </w:r>
      <w:r w:rsidR="00605491">
        <w:rPr>
          <w:b/>
          <w:bCs/>
          <w:lang w:val="en-US"/>
        </w:rPr>
        <w:t> </w:t>
      </w:r>
      <w:r>
        <w:rPr>
          <w:b/>
          <w:bCs/>
        </w:rPr>
        <w:t>присоединений</w:t>
      </w:r>
      <w:r>
        <w:t xml:space="preserve"> к правовым документам.</w:t>
      </w:r>
    </w:p>
    <w:p w14:paraId="4A680E5D" w14:textId="77777777" w:rsidR="00941672" w:rsidRPr="00FB2042" w:rsidRDefault="00941672" w:rsidP="00941672">
      <w:pPr>
        <w:pStyle w:val="SingleTxtG"/>
      </w:pPr>
      <w:r>
        <w:t>15.</w:t>
      </w:r>
      <w:r>
        <w:tab/>
        <w:t xml:space="preserve">Напротив, подавляющее большинство из тех 95 государств </w:t>
      </w:r>
      <w:r>
        <w:rPr>
          <w:lang w:val="en-US"/>
        </w:rPr>
        <w:t>⸺</w:t>
      </w:r>
      <w:r>
        <w:t xml:space="preserve"> членов Организации Объединенных Наций, которые не входят в состав ЕЭК, но являются договаривающимися сторонами правовых документов по внутреннему транспорту, относящихся к ведению КВТ, и поэтому нуждаются в поддержке в соответствии с вышеуказанным мандатом ЭКОСОС, не охвачено бюджетом РПТС. На их долю приходилось </w:t>
      </w:r>
      <w:r w:rsidRPr="00DB2D52">
        <w:rPr>
          <w:b/>
          <w:bCs/>
        </w:rPr>
        <w:t xml:space="preserve">в общей сложности </w:t>
      </w:r>
      <w:r>
        <w:rPr>
          <w:b/>
          <w:bCs/>
        </w:rPr>
        <w:t>584 присоединения</w:t>
      </w:r>
      <w:r>
        <w:t xml:space="preserve"> к правовым документам, относящихся к ведению КВТ.</w:t>
      </w:r>
    </w:p>
    <w:p w14:paraId="14FBD895" w14:textId="77777777" w:rsidR="00941672" w:rsidRPr="00FB2042" w:rsidRDefault="00941672" w:rsidP="00941672">
      <w:pPr>
        <w:pStyle w:val="SingleTxtG"/>
      </w:pPr>
      <w:r>
        <w:t>16.</w:t>
      </w:r>
      <w:r>
        <w:tab/>
        <w:t>В связи с разрывом между фактическими потребностями/спросом и возможностями развития потенциала для поддержки этой весьма динамичной подгруппы договаривающихся сторон крайне важно усилить понимание вопросов, связанных с осуществлением правовых документов, относящихся к ведению Комитета, и мониторингом этого осуществления. В нижеследующем разделе продолжен анализ этой темы и связанных с ней вариантов.</w:t>
      </w:r>
    </w:p>
    <w:p w14:paraId="1CB09AF5" w14:textId="77777777" w:rsidR="00941672" w:rsidRPr="00FB2042" w:rsidRDefault="00941672" w:rsidP="00941672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 xml:space="preserve">Соображения и варианты для усиления мониторинга </w:t>
      </w:r>
      <w:r>
        <w:rPr>
          <w:bCs/>
        </w:rPr>
        <w:br/>
        <w:t>и активизации осуществления</w:t>
      </w:r>
      <w:r>
        <w:t xml:space="preserve"> </w:t>
      </w:r>
    </w:p>
    <w:p w14:paraId="3E355FC7" w14:textId="77777777" w:rsidR="00941672" w:rsidRPr="00FB2042" w:rsidRDefault="00941672" w:rsidP="00941672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Общие соображения по активизации осуществления</w:t>
      </w:r>
    </w:p>
    <w:p w14:paraId="20A826AB" w14:textId="77777777" w:rsidR="00941672" w:rsidRPr="00FB2042" w:rsidRDefault="00941672" w:rsidP="00941672">
      <w:pPr>
        <w:pStyle w:val="SingleTxtG"/>
      </w:pPr>
      <w:r>
        <w:t>17.</w:t>
      </w:r>
      <w:r>
        <w:tab/>
        <w:t>Для того чтобы юридически обязательные документы Организации Объединенных Наций по внутреннему транспорту оказывали влияние на свои договаривающиеся стороны и население в целом, они должны осуществляться. Нереализованные документы негативно отражаются на репутации КВТ и снижают доверие к международной системе регулирования в целом. Это, в свою очередь, повышает риск фрагментации регулирования.</w:t>
      </w:r>
    </w:p>
    <w:p w14:paraId="6DE02BA2" w14:textId="77777777" w:rsidR="00941672" w:rsidRPr="00FB2042" w:rsidRDefault="00941672" w:rsidP="00941672">
      <w:pPr>
        <w:pStyle w:val="SingleTxtG"/>
      </w:pPr>
      <w:r>
        <w:t>18.</w:t>
      </w:r>
      <w:r>
        <w:tab/>
        <w:t>Для осуществления таких документов требуется их применение на национальном уровне, имеющее юридические или практические последствия, а также обеспечение исполнения их положений, причем оба этих фактора зависят от национальных правовых систем каждой страны. Во многих случаях ответственность за осуществление документов возлагается в значительной степени или исключительно на договаривающиеся стороны этих документов. В некоторых случаях документы напрямую применяют конечные пользователи, будь то транспортные операторы, предприятия или партнеры.</w:t>
      </w:r>
    </w:p>
    <w:p w14:paraId="4BF6EAEC" w14:textId="77777777" w:rsidR="00941672" w:rsidRPr="00FE00E3" w:rsidRDefault="00941672" w:rsidP="00941672">
      <w:pPr>
        <w:pStyle w:val="SingleTxtG"/>
      </w:pPr>
      <w:r>
        <w:t>19.</w:t>
      </w:r>
      <w:r>
        <w:tab/>
        <w:t>Существует целый ряд механизмов, с помощью которых КВТ поддерживает более широкое и эффективное применение документов по транспорту посредством обмена знаниями, обеспечения руководства, пропагандирования, развития потенциала и оказания поддержки. К ним относятся:</w:t>
      </w:r>
    </w:p>
    <w:p w14:paraId="5A9F505A" w14:textId="77777777" w:rsidR="00941672" w:rsidRPr="00FB2042" w:rsidRDefault="00941672" w:rsidP="00941672">
      <w:pPr>
        <w:pStyle w:val="SingleTxtG"/>
        <w:ind w:firstLine="567"/>
      </w:pPr>
      <w:r>
        <w:lastRenderedPageBreak/>
        <w:t>a)</w:t>
      </w:r>
      <w:r>
        <w:tab/>
        <w:t>механизмы развития потенциала и технической помощи для оказания поддержки договаривающимся сторонам в осуществлении международных документов, в том числе посредством обучения, политической и правовой поддержки;</w:t>
      </w:r>
    </w:p>
    <w:p w14:paraId="2CDA66C3" w14:textId="77777777" w:rsidR="00941672" w:rsidRPr="00FB2042" w:rsidRDefault="00941672" w:rsidP="00941672">
      <w:pPr>
        <w:pStyle w:val="SingleTxtG"/>
        <w:ind w:firstLine="567"/>
      </w:pPr>
      <w:r>
        <w:t>b)</w:t>
      </w:r>
      <w:r>
        <w:tab/>
        <w:t>аналитическая работа по выявлению тенденций, связанных с существующими документами, которая направлена на повышение их актуальности, а также создание необходимой базы знаний для их дальнейшего развития либо разработки новых документов;</w:t>
      </w:r>
    </w:p>
    <w:p w14:paraId="51A5070D" w14:textId="263C3B2D" w:rsidR="00941672" w:rsidRPr="00FB2042" w:rsidRDefault="00941672" w:rsidP="00941672">
      <w:pPr>
        <w:pStyle w:val="SingleTxtG"/>
        <w:ind w:firstLine="567"/>
      </w:pPr>
      <w:r>
        <w:t>c)</w:t>
      </w:r>
      <w:r>
        <w:tab/>
        <w:t>механизмы информационно-пропагандистской деятельности для повышения осведомленности (например</w:t>
      </w:r>
      <w:r w:rsidR="00AD6F78" w:rsidRPr="00AD6F78">
        <w:t>,</w:t>
      </w:r>
      <w:r>
        <w:t xml:space="preserve"> сессии КВТ на уровне министров, Специальный посланник по безопасности дорожного движения и т. д.);</w:t>
      </w:r>
    </w:p>
    <w:p w14:paraId="430C711D" w14:textId="77777777" w:rsidR="00941672" w:rsidRPr="00FB2042" w:rsidRDefault="00941672" w:rsidP="00941672">
      <w:pPr>
        <w:pStyle w:val="SingleTxtG"/>
        <w:ind w:firstLine="567"/>
      </w:pPr>
      <w:r>
        <w:t>d)</w:t>
      </w:r>
      <w:r>
        <w:tab/>
        <w:t>механизмы мониторинга для отслеживания использования международных документов, выявления проблем и возможностей в рамках соответствующих заинтересованных групп и руководства дальнейшими действиями.</w:t>
      </w:r>
    </w:p>
    <w:p w14:paraId="4F5C34E2" w14:textId="77777777" w:rsidR="00941672" w:rsidRPr="00FB2042" w:rsidRDefault="00941672" w:rsidP="00941672">
      <w:pPr>
        <w:pStyle w:val="SingleTxtG"/>
      </w:pPr>
      <w:r>
        <w:t>20.</w:t>
      </w:r>
      <w:r>
        <w:tab/>
        <w:t xml:space="preserve">Применение пятого типа механизмов — механизмов соблюдения — </w:t>
      </w:r>
      <w:r>
        <w:br/>
        <w:t>в отношении транспортных конвенций в целом не практикуется, хотя и распространено в отношении правовых документов, обслуживаемых другими подразделениями ЕЭК (см., например, Орхусскую конвенцию), в целях укрепления соблюдения.</w:t>
      </w:r>
    </w:p>
    <w:p w14:paraId="1F65A9A8" w14:textId="77777777" w:rsidR="00941672" w:rsidRPr="00FB2042" w:rsidRDefault="00941672" w:rsidP="00941672">
      <w:pPr>
        <w:pStyle w:val="H1G"/>
      </w:pPr>
      <w:r>
        <w:tab/>
        <w:t>B.</w:t>
      </w:r>
      <w:r>
        <w:tab/>
        <w:t>Общие соображения относительно разработки вариантов усиления мониторинга</w:t>
      </w:r>
    </w:p>
    <w:p w14:paraId="1A2A468F" w14:textId="77777777" w:rsidR="00941672" w:rsidRPr="00FB2042" w:rsidRDefault="00941672" w:rsidP="00941672">
      <w:pPr>
        <w:pStyle w:val="SingleTxtG"/>
      </w:pPr>
      <w:r>
        <w:t>21.</w:t>
      </w:r>
      <w:r>
        <w:tab/>
        <w:t>КВТ и его вспомогательные органы непосредственно не отвечают за осуществление документов, которые они администрируют и помогают разрабатывать: осуществление остается на усмотрение их договаривающихся сторон. Однако КВТ может оказать поддержку в разработке необходимых механизмов для поддержки осуществления.</w:t>
      </w:r>
    </w:p>
    <w:p w14:paraId="62E19C16" w14:textId="77777777" w:rsidR="00941672" w:rsidRPr="00FE00E3" w:rsidRDefault="00941672" w:rsidP="00941672">
      <w:pPr>
        <w:pStyle w:val="SingleTxtG"/>
      </w:pPr>
      <w:r>
        <w:t>22.</w:t>
      </w:r>
      <w:r>
        <w:tab/>
        <w:t>Мониторинг осуществления правовых документов, относящихся к ведению Комитета, может проводиться на трех разных уровнях:</w:t>
      </w:r>
    </w:p>
    <w:p w14:paraId="042DE46B" w14:textId="77777777" w:rsidR="00941672" w:rsidRPr="00FB2042" w:rsidRDefault="00941672" w:rsidP="00941672">
      <w:pPr>
        <w:pStyle w:val="Bullet1G"/>
        <w:numPr>
          <w:ilvl w:val="0"/>
          <w:numId w:val="22"/>
        </w:numPr>
      </w:pPr>
      <w:r>
        <w:t xml:space="preserve">принятие правовых положений на национальном уровне; </w:t>
      </w:r>
    </w:p>
    <w:p w14:paraId="6FA089FA" w14:textId="77777777" w:rsidR="00941672" w:rsidRPr="009611C8" w:rsidRDefault="00941672" w:rsidP="00941672">
      <w:pPr>
        <w:pStyle w:val="Bullet1G"/>
        <w:numPr>
          <w:ilvl w:val="0"/>
          <w:numId w:val="22"/>
        </w:numPr>
      </w:pPr>
      <w:r>
        <w:t>обеспечение их соблюдения;</w:t>
      </w:r>
    </w:p>
    <w:p w14:paraId="7CDA22FE" w14:textId="77777777" w:rsidR="00941672" w:rsidRPr="00FB2042" w:rsidRDefault="00941672" w:rsidP="00941672">
      <w:pPr>
        <w:pStyle w:val="Bullet1G"/>
        <w:numPr>
          <w:ilvl w:val="0"/>
          <w:numId w:val="22"/>
        </w:numPr>
      </w:pPr>
      <w:r>
        <w:t>отчетность о мерах по обеспечению осуществления.</w:t>
      </w:r>
    </w:p>
    <w:p w14:paraId="577D6F1F" w14:textId="77777777" w:rsidR="00941672" w:rsidRPr="00FB2042" w:rsidRDefault="00941672" w:rsidP="00941672">
      <w:pPr>
        <w:pStyle w:val="SingleTxtG"/>
      </w:pPr>
      <w:r>
        <w:t>23.</w:t>
      </w:r>
      <w:r>
        <w:tab/>
        <w:t>Данные по всем трем уровням обеспечения осуществления по мере необходимости могут быть сформированы договаривающимися сторонами на национальном уровне путем самооценки и представлены в секретариат в заранее определенных, структурированных формах для облегчения их обработки и анализа.</w:t>
      </w:r>
    </w:p>
    <w:p w14:paraId="021CD40E" w14:textId="77777777" w:rsidR="00941672" w:rsidRPr="00FB2042" w:rsidRDefault="00941672" w:rsidP="00941672">
      <w:pPr>
        <w:pStyle w:val="SingleTxtG"/>
      </w:pPr>
      <w:r>
        <w:t>24.</w:t>
      </w:r>
      <w:r>
        <w:tab/>
        <w:t>Мониторинг должен соответствовать характеру конкретных положений документа, которые воплощаются в фактической реализации, а также рассматриваемой теме и основному вопросу, который в нем затрагивается. Это означает, что основа для проведения мониторинга должна быть индивидуализированной, а его результаты не являются универсальными.</w:t>
      </w:r>
    </w:p>
    <w:p w14:paraId="26FFBDC2" w14:textId="77777777" w:rsidR="00941672" w:rsidRPr="00FB2042" w:rsidRDefault="00941672" w:rsidP="00941672">
      <w:pPr>
        <w:pStyle w:val="SingleTxtG"/>
      </w:pPr>
      <w:r>
        <w:t>25.</w:t>
      </w:r>
      <w:r>
        <w:tab/>
        <w:t>В то же время объединение различных источников информации для поддержки создания системной базы знаний и разработки комплексного подхода на уровне организации имеет основополагающее значение для эффективного и систематического содействия осуществлению на уровне объединения/организации, что в свою очередь способствует активизации осуществления Стратегии КВТ на период до 2030 года. Опыт, накопленный в ходе мониторинга осуществления документов, следует использовать для подкрепления нормотворческого процесса.</w:t>
      </w:r>
    </w:p>
    <w:p w14:paraId="3C1F7673" w14:textId="77777777" w:rsidR="00941672" w:rsidRPr="00FB2042" w:rsidRDefault="00941672" w:rsidP="00941672">
      <w:pPr>
        <w:pStyle w:val="SingleTxtG"/>
      </w:pPr>
      <w:r>
        <w:t>26.</w:t>
      </w:r>
      <w:r>
        <w:tab/>
        <w:t>Логический вывод из вышеизложенных соображений заключается в том, что для этой работы, скорее всего, будет полезен централизованный обзор на уровне КВТ, а также непосредственное осуществление на уровне вспомогательных органов.</w:t>
      </w:r>
    </w:p>
    <w:p w14:paraId="1E0FE263" w14:textId="77777777" w:rsidR="00941672" w:rsidRPr="00FB2042" w:rsidRDefault="00941672" w:rsidP="00941672">
      <w:pPr>
        <w:pStyle w:val="SingleTxtG"/>
      </w:pPr>
      <w:r>
        <w:lastRenderedPageBreak/>
        <w:t>27.</w:t>
      </w:r>
      <w:r>
        <w:tab/>
        <w:t>Результаты мониторинга осуществления, который понимается как регулярный и непрерывный процесс, должны постоянно подкреплять межправительственные обсуждения. Для этого на институциональном уровне может представляться отчетность по мониторингу осуществления «ключевых конвенций» («Доклад о ходе осуществления и связанных с ним вопросах»), которая может быть:</w:t>
      </w:r>
    </w:p>
    <w:p w14:paraId="626CA3D0" w14:textId="77777777" w:rsidR="00941672" w:rsidRPr="00FB2042" w:rsidRDefault="00941672" w:rsidP="00941672">
      <w:pPr>
        <w:pStyle w:val="Bullet1G"/>
        <w:numPr>
          <w:ilvl w:val="0"/>
          <w:numId w:val="22"/>
        </w:numPr>
      </w:pPr>
      <w:r>
        <w:t>децентрализованной, т. е. представляемой на уровне вспомогательных органов КВТ, непосредственно отвечающих за выбранные документы, или</w:t>
      </w:r>
    </w:p>
    <w:p w14:paraId="7CD55713" w14:textId="77777777" w:rsidR="00941672" w:rsidRPr="00FB2042" w:rsidRDefault="00941672" w:rsidP="00941672">
      <w:pPr>
        <w:pStyle w:val="Bullet1G"/>
        <w:numPr>
          <w:ilvl w:val="0"/>
          <w:numId w:val="22"/>
        </w:numPr>
      </w:pPr>
      <w:r>
        <w:t>централизованной, т. е. представляемой в виде всеобъемлющего доклада Комитету, аналогичного докладу о ходе присоединения, который регулярно входит в программу пленарных заседаний Комитета, или</w:t>
      </w:r>
    </w:p>
    <w:p w14:paraId="1F7A5F0D" w14:textId="77777777" w:rsidR="00941672" w:rsidRPr="00FB2042" w:rsidRDefault="00941672" w:rsidP="00941672">
      <w:pPr>
        <w:pStyle w:val="Bullet1G"/>
        <w:numPr>
          <w:ilvl w:val="0"/>
          <w:numId w:val="22"/>
        </w:numPr>
      </w:pPr>
      <w:r>
        <w:t>представлена как на уровне КВТ, так и на уровне соответствующих вспомогательных органов.</w:t>
      </w:r>
    </w:p>
    <w:p w14:paraId="349D45F9" w14:textId="77777777" w:rsidR="00941672" w:rsidRPr="00FB2042" w:rsidRDefault="00941672" w:rsidP="00941672">
      <w:pPr>
        <w:pStyle w:val="SingleTxtG"/>
      </w:pPr>
      <w:r>
        <w:t>28.</w:t>
      </w:r>
      <w:r>
        <w:tab/>
        <w:t>Ожидается, что усиление мониторинга осуществления ключевых конвенций будет иметь ряд преимуществ.</w:t>
      </w:r>
    </w:p>
    <w:p w14:paraId="1092298B" w14:textId="77777777" w:rsidR="00941672" w:rsidRPr="00FB2042" w:rsidRDefault="00941672" w:rsidP="00941672">
      <w:pPr>
        <w:pStyle w:val="SingleTxtG"/>
      </w:pPr>
      <w:r>
        <w:t>29.</w:t>
      </w:r>
      <w:r>
        <w:tab/>
        <w:t>Анализ данных, собранных с помощью механизмов мониторинга, способствует:</w:t>
      </w:r>
    </w:p>
    <w:p w14:paraId="525062EE" w14:textId="77777777" w:rsidR="00941672" w:rsidRPr="009611C8" w:rsidRDefault="00941672" w:rsidP="00941672">
      <w:pPr>
        <w:pStyle w:val="Bullet1G"/>
        <w:numPr>
          <w:ilvl w:val="0"/>
          <w:numId w:val="22"/>
        </w:numPr>
      </w:pPr>
      <w:r>
        <w:t>пониманию того, каким образом, в какой степени, с какими результатами и воздействием осуществляются юридически обязательные документы ООН, относящиеся к ведению КВТ;</w:t>
      </w:r>
    </w:p>
    <w:p w14:paraId="70F02F75" w14:textId="77777777" w:rsidR="00941672" w:rsidRPr="00FB2042" w:rsidRDefault="00941672" w:rsidP="00941672">
      <w:pPr>
        <w:pStyle w:val="Bullet1G"/>
        <w:numPr>
          <w:ilvl w:val="0"/>
          <w:numId w:val="22"/>
        </w:numPr>
      </w:pPr>
      <w:r>
        <w:t>выявлению проблем, связанных с осуществлением, и оценке актуальности и эффективности этих документов (такой анализ может принимать форму «Доклада о пробелах», содержащего показатели того, насколько далеки договаривающиеся стороны от полного осуществления); и</w:t>
      </w:r>
    </w:p>
    <w:p w14:paraId="49598407" w14:textId="77777777" w:rsidR="00941672" w:rsidRPr="009611C8" w:rsidRDefault="00941672" w:rsidP="00941672">
      <w:pPr>
        <w:pStyle w:val="Bullet1G"/>
        <w:numPr>
          <w:ilvl w:val="0"/>
          <w:numId w:val="22"/>
        </w:numPr>
      </w:pPr>
      <w:r>
        <w:t>активизации осуществления.</w:t>
      </w:r>
    </w:p>
    <w:p w14:paraId="0A2AE95F" w14:textId="77777777" w:rsidR="00941672" w:rsidRPr="00FB2042" w:rsidRDefault="00941672" w:rsidP="00941672">
      <w:pPr>
        <w:pStyle w:val="SingleTxtG"/>
      </w:pPr>
      <w:r>
        <w:t>30.</w:t>
      </w:r>
      <w:r>
        <w:tab/>
        <w:t>Данные, полученные в результате мониторинга осуществления, могут быть использованы для:</w:t>
      </w:r>
    </w:p>
    <w:p w14:paraId="2B479969" w14:textId="77777777" w:rsidR="00941672" w:rsidRPr="00FB2042" w:rsidRDefault="00941672" w:rsidP="00941672">
      <w:pPr>
        <w:pStyle w:val="Bullet1G"/>
        <w:numPr>
          <w:ilvl w:val="0"/>
          <w:numId w:val="22"/>
        </w:numPr>
      </w:pPr>
      <w:r>
        <w:t>оказания индивидуализированной технической помощи на национальном или региональном уровне;</w:t>
      </w:r>
    </w:p>
    <w:p w14:paraId="74D517F3" w14:textId="77777777" w:rsidR="00941672" w:rsidRPr="00FB2042" w:rsidRDefault="00941672" w:rsidP="00941672">
      <w:pPr>
        <w:pStyle w:val="Bullet1G"/>
        <w:numPr>
          <w:ilvl w:val="0"/>
          <w:numId w:val="22"/>
        </w:numPr>
      </w:pPr>
      <w:r>
        <w:t>содействия оценке документов, активизации нормотворческой работы и усилению ее воздействия;</w:t>
      </w:r>
    </w:p>
    <w:p w14:paraId="2E04B812" w14:textId="77777777" w:rsidR="00941672" w:rsidRPr="00FB2042" w:rsidRDefault="00941672" w:rsidP="00941672">
      <w:pPr>
        <w:pStyle w:val="Bullet1G"/>
        <w:numPr>
          <w:ilvl w:val="0"/>
          <w:numId w:val="22"/>
        </w:numPr>
      </w:pPr>
      <w:r>
        <w:t>поощрения обмена знаниями и информацией между вспомогательными органами КВТ;</w:t>
      </w:r>
    </w:p>
    <w:p w14:paraId="06164882" w14:textId="77777777" w:rsidR="00941672" w:rsidRPr="00FB2042" w:rsidRDefault="00941672" w:rsidP="00941672">
      <w:pPr>
        <w:pStyle w:val="Bullet1G"/>
        <w:numPr>
          <w:ilvl w:val="0"/>
          <w:numId w:val="22"/>
        </w:numPr>
      </w:pPr>
      <w:r>
        <w:t>поощрения диалога между КВТ и его договаривающимися сторонами.</w:t>
      </w:r>
    </w:p>
    <w:p w14:paraId="1FE85F06" w14:textId="77777777" w:rsidR="00941672" w:rsidRPr="00FB2042" w:rsidRDefault="00941672" w:rsidP="00941672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Доступные варианты мониторинга осуществления</w:t>
      </w:r>
    </w:p>
    <w:p w14:paraId="30921AB5" w14:textId="77777777" w:rsidR="00941672" w:rsidRPr="00FE00E3" w:rsidRDefault="00941672" w:rsidP="00941672">
      <w:pPr>
        <w:pStyle w:val="SingleTxtG"/>
      </w:pPr>
      <w:r>
        <w:t>31.</w:t>
      </w:r>
      <w:r>
        <w:tab/>
        <w:t>В настоящем документе рассматриваются три доступных на данный момент варианта мониторинга и повышения эффективности осуществления правовых документов, относящихся к ведению Комитета, а именно:</w:t>
      </w:r>
    </w:p>
    <w:p w14:paraId="70176E10" w14:textId="77777777" w:rsidR="00941672" w:rsidRPr="00FB2042" w:rsidRDefault="00941672" w:rsidP="00941672">
      <w:pPr>
        <w:pStyle w:val="SingleTxtG"/>
        <w:ind w:firstLine="567"/>
      </w:pPr>
      <w:r>
        <w:t xml:space="preserve">a) </w:t>
      </w:r>
      <w:r>
        <w:tab/>
        <w:t>закрепление в правовых положениях конвенций усиленного мониторинга осуществления;</w:t>
      </w:r>
    </w:p>
    <w:p w14:paraId="4DE6539F" w14:textId="77777777" w:rsidR="00941672" w:rsidRPr="00FB2042" w:rsidRDefault="00941672" w:rsidP="00941672">
      <w:pPr>
        <w:pStyle w:val="SingleTxtG"/>
        <w:ind w:firstLine="567"/>
      </w:pPr>
      <w:r>
        <w:t xml:space="preserve">b) </w:t>
      </w:r>
      <w:r>
        <w:tab/>
        <w:t>представление отчетности о проблемах и вопросах, связанных с осуществлением, на ежегодных сессиях КВТ;</w:t>
      </w:r>
    </w:p>
    <w:p w14:paraId="1822E5B0" w14:textId="77777777" w:rsidR="00941672" w:rsidRPr="00FB2042" w:rsidRDefault="00941672" w:rsidP="00941672">
      <w:pPr>
        <w:pStyle w:val="SingleTxtG"/>
        <w:ind w:firstLine="567"/>
      </w:pPr>
      <w:r>
        <w:t xml:space="preserve">c) </w:t>
      </w:r>
      <w:r>
        <w:tab/>
        <w:t>показатели устойчивой связанности инфраструктуры внутреннего транспорта (ПУСИВТ): многоцелевой инструмент поддержки мониторинга.</w:t>
      </w:r>
    </w:p>
    <w:p w14:paraId="0DD24C22" w14:textId="77777777" w:rsidR="00941672" w:rsidRPr="00FB2042" w:rsidRDefault="00941672" w:rsidP="00941672">
      <w:pPr>
        <w:pStyle w:val="SingleTxtG"/>
        <w:rPr>
          <w:sz w:val="24"/>
          <w:szCs w:val="16"/>
        </w:rPr>
      </w:pPr>
      <w:r>
        <w:t>32.</w:t>
      </w:r>
      <w:r>
        <w:tab/>
        <w:t>Как отмечалось ранее в настоящем документе, за 75-летнюю историю Комитета правовые документы, относящиеся к его ведению, разрабатывались при различных обстоятельствах, с различными целями, различными требованиями к мониторингу и для решения широкого круга вопросов, связанных с внутренним транспортом. Таким образом, приведенные выше варианты не следует понимать как исчерпывающие или применимые ко всем ключевым правовым документам.</w:t>
      </w:r>
    </w:p>
    <w:p w14:paraId="57BF7ADC" w14:textId="77777777" w:rsidR="00941672" w:rsidRPr="00FB2042" w:rsidRDefault="00941672" w:rsidP="00941672">
      <w:pPr>
        <w:pStyle w:val="H23G"/>
      </w:pPr>
      <w:r>
        <w:rPr>
          <w:bCs/>
        </w:rPr>
        <w:lastRenderedPageBreak/>
        <w:tab/>
        <w:t>1.</w:t>
      </w:r>
      <w:r>
        <w:tab/>
      </w:r>
      <w:r>
        <w:rPr>
          <w:bCs/>
        </w:rPr>
        <w:t>Закрепление в правовых положениях конвенций усиленного мониторинга осуществления</w:t>
      </w:r>
    </w:p>
    <w:p w14:paraId="67D920D6" w14:textId="77777777" w:rsidR="00941672" w:rsidRPr="00FB2042" w:rsidRDefault="00941672" w:rsidP="00941672">
      <w:pPr>
        <w:pStyle w:val="SingleTxtG"/>
      </w:pPr>
      <w:r>
        <w:t>33.</w:t>
      </w:r>
      <w:r>
        <w:tab/>
        <w:t xml:space="preserve">Некоторые правовые документы, относящиеся к ведению Комитета, содержат четкие положения относительно мониторинга их осуществления, закрепленные в самих документах. Хорошим примером является мониторинг соблюдения правил в области транспортных средств, который основан на юридических требованиях, закрепленных во всех трех соглашениях: например, в Соглашении 1958 года и относящихся к нему правилах Организации Объединенных Наций содержится требование о том, чтобы орган по официальному утверждению типа направлял уведомления назначенным техническим службам по каждому своду правил Организации Объединенных Наций, которые применяет соответствующая договаривающаяся сторона. В настоящее время уведомления направляются </w:t>
      </w:r>
      <w:r>
        <w:br/>
        <w:t>в электронном виде через так называемое приложение «/343» (п.</w:t>
      </w:r>
      <w:r w:rsidRPr="001503E6">
        <w:t xml:space="preserve"> </w:t>
      </w:r>
      <w:r>
        <w:t>2 статьи</w:t>
      </w:r>
      <w:r w:rsidRPr="001503E6">
        <w:t xml:space="preserve"> </w:t>
      </w:r>
      <w:r>
        <w:t>2 и приложение</w:t>
      </w:r>
      <w:r w:rsidRPr="001503E6">
        <w:t xml:space="preserve"> </w:t>
      </w:r>
      <w:r>
        <w:t>2 к Соглашению 1958 года (</w:t>
      </w:r>
      <w:r w:rsidRPr="009C7F73">
        <w:t>ECE/TRANS/WP.29/343/Rev30</w:t>
      </w:r>
      <w:r w:rsidRPr="009C7F73">
        <w:rPr>
          <w:rStyle w:val="aa"/>
        </w:rPr>
        <w:footnoteReference w:id="2"/>
      </w:r>
      <w:r w:rsidRPr="009C7F73">
        <w:t>)). Аналогичные положения приводятся в Соглашении 1997 года и содержат требование об уведомлении органов, проводящих периодические технические осмотры и имеющих право выдавать международные сертификаты, касающиеся безопасности дорожного движения, а также образцы таких сертификатов в том случае, если их бланк отличается от воспроизведенного в соглашении (ECE/TRANS/WP.29/1074/Rev.18</w:t>
      </w:r>
      <w:r w:rsidRPr="009C7F73">
        <w:rPr>
          <w:rStyle w:val="aa"/>
        </w:rPr>
        <w:footnoteReference w:id="3"/>
      </w:r>
      <w:r w:rsidRPr="009C7F73">
        <w:t xml:space="preserve">). </w:t>
      </w:r>
      <w:r w:rsidRPr="009C7F73">
        <w:br/>
        <w:t>В соответствии с положениями Соглашения 1998 года договаривающиеся стороны, голосующие за принятие новых глобальных технических правил (ГТП) Организации Объединенных Наций или поправок к существующим правилам, обязаны передать их национальным органам, ответственным за нормотворческий процесс, для их осуществления в рамках национального законодательства, и должны регулярно отчитываться о ходе этого процесса (ECE/TRANS/WP.29/1073/Rev.36)</w:t>
      </w:r>
      <w:r w:rsidRPr="009C7F73">
        <w:rPr>
          <w:rStyle w:val="aa"/>
        </w:rPr>
        <w:footnoteReference w:id="4"/>
      </w:r>
      <w:r w:rsidRPr="009C7F73">
        <w:t>.</w:t>
      </w:r>
    </w:p>
    <w:p w14:paraId="0FCDA68F" w14:textId="77777777" w:rsidR="00941672" w:rsidRPr="00FB2042" w:rsidRDefault="00941672" w:rsidP="00941672">
      <w:pPr>
        <w:pStyle w:val="SingleTxtG"/>
      </w:pPr>
      <w:r>
        <w:t>34.</w:t>
      </w:r>
      <w:r>
        <w:tab/>
        <w:t>Ко всем трем Соглашениям прилагается так называемый документ о статусе, содержащий информацию о договаривающихся сторонах и выполнении ими правил Организации Объединенных Наций, предписаний Организации Объединенных Наций или ГТП Организации Объединенных Наций. Одной из частей документа о статусе Соглашения 1958 является приложение для обработки данных.</w:t>
      </w:r>
    </w:p>
    <w:p w14:paraId="5F7B763E" w14:textId="77777777" w:rsidR="00941672" w:rsidRPr="00FB2042" w:rsidRDefault="00941672" w:rsidP="00941672">
      <w:pPr>
        <w:pStyle w:val="SingleTxtG"/>
      </w:pPr>
      <w:r>
        <w:t>35.</w:t>
      </w:r>
      <w:r>
        <w:tab/>
        <w:t>В других соглашениях, например в соглашениях о международной дорожной перевозке опасных грузов и в европейских соглашениях о международной перевозке опасных грузов по внутренним водным путям, не содержится обязательств в отношении отчетности, однако содержится требование к компетентным органам договаривающихся сторон направлять информацию, связанную с осуществлением соглашений, через секретариат. Вместо внесения этой информации в отдельный документ о статусе она передается другим договаривающимся сторонам посредством веб-сайта ЕЭК.</w:t>
      </w:r>
    </w:p>
    <w:p w14:paraId="1E740E81" w14:textId="77777777" w:rsidR="00941672" w:rsidRPr="00FB2042" w:rsidRDefault="00941672" w:rsidP="00941672">
      <w:pPr>
        <w:pStyle w:val="H23G"/>
        <w:rPr>
          <w:sz w:val="24"/>
          <w:szCs w:val="16"/>
        </w:rPr>
      </w:pPr>
      <w:r>
        <w:tab/>
        <w:t>2.</w:t>
      </w:r>
      <w:r>
        <w:tab/>
        <w:t xml:space="preserve">Представление отчетности о проблемах и вопросах, связанных </w:t>
      </w:r>
      <w:r>
        <w:br/>
        <w:t>с осуществлением, на ежегодных сессиях Комитета по внутреннему транспорту</w:t>
      </w:r>
    </w:p>
    <w:p w14:paraId="655D2681" w14:textId="77777777" w:rsidR="00941672" w:rsidRPr="00FB2042" w:rsidRDefault="00941672" w:rsidP="00941672">
      <w:pPr>
        <w:pStyle w:val="SingleTxtG"/>
      </w:pPr>
      <w:r>
        <w:t>36.</w:t>
      </w:r>
      <w:r>
        <w:tab/>
        <w:t>В 2020 году, после принятия Стратегии КВТ на период до 2030 года и соответствующих решений Бюро КВТ в поддержку ее осуществления, повестка дня ежегодных сессий КВТ пополнилась двумя новыми пунктами повестки дня, а именно:</w:t>
      </w:r>
    </w:p>
    <w:p w14:paraId="419B132E" w14:textId="77777777" w:rsidR="00941672" w:rsidRPr="00FB2042" w:rsidRDefault="00941672" w:rsidP="00941672">
      <w:pPr>
        <w:pStyle w:val="SingleTxtG"/>
        <w:ind w:firstLine="567"/>
      </w:pPr>
      <w:r>
        <w:t xml:space="preserve">a) </w:t>
      </w:r>
      <w:r>
        <w:tab/>
        <w:t xml:space="preserve">«осуществление международных конвенций и соглашений Организации Объединенных Наций в области внутреннего транспорта (заявления делегатов)»; и </w:t>
      </w:r>
    </w:p>
    <w:p w14:paraId="753BB043" w14:textId="77777777" w:rsidR="00941672" w:rsidRPr="00FB2042" w:rsidRDefault="00941672" w:rsidP="00941672">
      <w:pPr>
        <w:pStyle w:val="SingleTxtG"/>
        <w:ind w:firstLine="567"/>
      </w:pPr>
      <w:r>
        <w:t xml:space="preserve">b) </w:t>
      </w:r>
      <w:r>
        <w:tab/>
        <w:t>«вызовы и новые тенденции внутреннего транспорта в различных регионах (заявления делегатов)».</w:t>
      </w:r>
    </w:p>
    <w:p w14:paraId="0DE5F167" w14:textId="77777777" w:rsidR="00941672" w:rsidRPr="00FB2042" w:rsidRDefault="00941672" w:rsidP="00941672">
      <w:pPr>
        <w:pStyle w:val="SingleTxtG"/>
      </w:pPr>
      <w:r>
        <w:t>37.</w:t>
      </w:r>
      <w:r>
        <w:tab/>
        <w:t xml:space="preserve">Цель обоих пунктов повестки дня состоит в оценке новых вопросов, связанных с выполнением мандатов Комитета, который является центром Организации Объединенных Наций, выполняющим функции всеобъемлющей региональной и </w:t>
      </w:r>
      <w:r>
        <w:lastRenderedPageBreak/>
        <w:t>глобальной платформы для рассмотрения всех аспектов развития и сотрудничества в области внутреннего транспорта с уделением особого внимания внутрирегиональному и межрегиональному регулированию на основе конвенций Организации Объединенных Наций по транспорту и других средств.</w:t>
      </w:r>
    </w:p>
    <w:p w14:paraId="496AC805" w14:textId="77777777" w:rsidR="00941672" w:rsidRPr="00FB2042" w:rsidRDefault="00941672" w:rsidP="00941672">
      <w:pPr>
        <w:pStyle w:val="SingleTxtG"/>
      </w:pPr>
      <w:r>
        <w:t>38.</w:t>
      </w:r>
      <w:r>
        <w:tab/>
        <w:t>Оба пункта повестки дня подкрепляются подробными документами, выпускаемыми секретариатом, в которых оцениваются глобальные и региональные тенденции и динамика присоединения, а также определяются ключевые вопросы, проблемы и новые тенденции, актуальные для различных регионов.</w:t>
      </w:r>
    </w:p>
    <w:p w14:paraId="20884C39" w14:textId="77777777" w:rsidR="00941672" w:rsidRPr="00FB2042" w:rsidRDefault="00941672" w:rsidP="00941672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ПУСИВТ: многоцелевой инструмент для поддержки мониторинга осуществления</w:t>
      </w:r>
    </w:p>
    <w:p w14:paraId="27E0E978" w14:textId="77777777" w:rsidR="00941672" w:rsidRPr="00D21551" w:rsidRDefault="00941672" w:rsidP="00941672">
      <w:pPr>
        <w:pStyle w:val="H23G"/>
        <w:rPr>
          <w:bCs/>
        </w:rPr>
      </w:pPr>
      <w:r>
        <w:tab/>
      </w:r>
      <w:r w:rsidRPr="001503E6">
        <w:rPr>
          <w:b w:val="0"/>
          <w:bCs/>
        </w:rPr>
        <w:tab/>
        <w:t>Рис. II</w:t>
      </w:r>
      <w:r w:rsidRPr="001503E6">
        <w:rPr>
          <w:b w:val="0"/>
          <w:bCs/>
        </w:rPr>
        <w:br/>
      </w:r>
      <w:r>
        <w:rPr>
          <w:bCs/>
        </w:rPr>
        <w:t>ЛОГОТИП ПУСИВТ</w:t>
      </w:r>
    </w:p>
    <w:p w14:paraId="7A69745C" w14:textId="77777777" w:rsidR="00941672" w:rsidRPr="009611C8" w:rsidRDefault="00941672" w:rsidP="00941672">
      <w:pPr>
        <w:pStyle w:val="SingleTxtG"/>
        <w:keepNext/>
        <w:keepLines/>
      </w:pPr>
      <w:r w:rsidRPr="009611C8">
        <w:tab/>
      </w:r>
      <w:r w:rsidRPr="009611C8">
        <w:rPr>
          <w:noProof/>
        </w:rPr>
        <w:drawing>
          <wp:inline distT="0" distB="0" distL="0" distR="0" wp14:anchorId="562DB9E1" wp14:editId="3340BE7C">
            <wp:extent cx="3581400" cy="946150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1F079" w14:textId="77777777" w:rsidR="00941672" w:rsidRPr="00FB2042" w:rsidRDefault="00941672" w:rsidP="00941672">
      <w:pPr>
        <w:pStyle w:val="SingleTxtG"/>
      </w:pPr>
      <w:r>
        <w:t>39.</w:t>
      </w:r>
      <w:r>
        <w:tab/>
        <w:t>В рамках финансируемого по линии СРООН проекта под названием «Устойчивая связанность транспортной инфраструктуры и достижение Целей устойчивого развития в области транспорта в отдельных не имеющих выхода к морю странах и странах транзита/промежуточных странах» Отдел устойчивого транспорта ЕЭК разработал всеобъемлющий набор из 215 показателей устойчивой связанности инфраструктуры внутреннего транспорта (ПУСИВТ). Эти показатели структурированы по трем основным компонентам устойчивости и применяются во всех четырех секторах внутреннего транспорта, а именно в автомобильном, железнодорожном, внутреннем водном транспорте и интермодальных перевозках.</w:t>
      </w:r>
    </w:p>
    <w:p w14:paraId="71931FF4" w14:textId="77777777" w:rsidR="00941672" w:rsidRPr="00FB2042" w:rsidRDefault="00941672" w:rsidP="00941672">
      <w:pPr>
        <w:pStyle w:val="SingleTxtG"/>
      </w:pPr>
      <w:r>
        <w:t>40.</w:t>
      </w:r>
      <w:r>
        <w:tab/>
        <w:t>ПУСИВТ — это современный инструмент оценки, представляющий собой пятиэтапный комплексный процесс самооценки для правительств, заинтересованных в повышении эффективности своей транспортной системы. Их основная цель — предоставить инструмент самооценки, содержащий универсальный набор измеримых критериев, которые позволяют странам контролировать степень связанности сетей внутреннего транспорта как внутри страны, так и на двусторонней/субрегиональной основе, а также на уровне мягкой и жесткой инфраструктуры.</w:t>
      </w:r>
    </w:p>
    <w:p w14:paraId="343DD737" w14:textId="77777777" w:rsidR="00941672" w:rsidRPr="00FB2042" w:rsidRDefault="00941672" w:rsidP="00941672">
      <w:pPr>
        <w:pStyle w:val="SingleTxtG"/>
      </w:pPr>
      <w:r>
        <w:t>41.</w:t>
      </w:r>
      <w:r>
        <w:tab/>
        <w:t>Посредством использования ПУСИВТ заинтересованные правительства могут:</w:t>
      </w:r>
    </w:p>
    <w:p w14:paraId="43763152" w14:textId="77777777" w:rsidR="00941672" w:rsidRPr="00FB2042" w:rsidRDefault="00941672" w:rsidP="00941672">
      <w:pPr>
        <w:pStyle w:val="Bullet1G"/>
        <w:numPr>
          <w:ilvl w:val="0"/>
          <w:numId w:val="22"/>
        </w:numPr>
      </w:pPr>
      <w:r>
        <w:t>провести оценку и самооценку степени эффективности осуществления соответствующих правовых документов, соглашений и конвенций Организации объединенных наций в области внутреннего транспорта;</w:t>
      </w:r>
    </w:p>
    <w:p w14:paraId="284EF68D" w14:textId="77777777" w:rsidR="00941672" w:rsidRPr="00FB2042" w:rsidRDefault="00941672" w:rsidP="00941672">
      <w:pPr>
        <w:pStyle w:val="Bullet1G"/>
        <w:numPr>
          <w:ilvl w:val="0"/>
          <w:numId w:val="22"/>
        </w:numPr>
      </w:pPr>
      <w:r>
        <w:t>оценить степень совместимости своей системы внутреннего транспорта с системами в соответствующем (суб-)регионе (в частности</w:t>
      </w:r>
      <w:r w:rsidRPr="004C0551">
        <w:t>,</w:t>
      </w:r>
      <w:r>
        <w:t xml:space="preserve"> совместимости в плане согласования стандартов инфраструктуры и технических параметров, </w:t>
      </w:r>
      <w:r>
        <w:br/>
        <w:t>а также в плане координации и интеграции административных процедур и действующих режимов регулирования);</w:t>
      </w:r>
    </w:p>
    <w:p w14:paraId="785537F1" w14:textId="77777777" w:rsidR="00941672" w:rsidRPr="00FB2042" w:rsidRDefault="00941672" w:rsidP="00941672">
      <w:pPr>
        <w:pStyle w:val="Bullet1G"/>
        <w:numPr>
          <w:ilvl w:val="0"/>
          <w:numId w:val="22"/>
        </w:numPr>
      </w:pPr>
      <w:r>
        <w:t>оценить степень внешнеэкономической интеграции страны исходя из эффективности внутреннего транспорта, логистики, торговли, таможенной очистки и упрощения процедур пересечения границ; и</w:t>
      </w:r>
    </w:p>
    <w:p w14:paraId="785005A5" w14:textId="7DD5C602" w:rsidR="00941672" w:rsidRPr="009611C8" w:rsidRDefault="00941672" w:rsidP="00941672">
      <w:pPr>
        <w:pStyle w:val="Bullet1G"/>
        <w:numPr>
          <w:ilvl w:val="0"/>
          <w:numId w:val="22"/>
        </w:numPr>
      </w:pPr>
      <w:r>
        <w:t xml:space="preserve">оценить прогресс страны в достижении связанных с транспортом </w:t>
      </w:r>
      <w:r w:rsidR="00283F13">
        <w:t xml:space="preserve">Целей </w:t>
      </w:r>
      <w:r>
        <w:t xml:space="preserve">в области устойчивого развития (т. е. целей Повестки дня на период до 2030 года) и выполнении обязательств в рамках Венской программы действий для развивающихся стран, не имеющих выхода к морю (на десятилетие </w:t>
      </w:r>
      <w:r>
        <w:br/>
        <w:t>2014–2024 годов), и представления докладов по этим вопросам.</w:t>
      </w:r>
    </w:p>
    <w:p w14:paraId="30F576C4" w14:textId="49FC7DF1" w:rsidR="00941672" w:rsidRPr="00811040" w:rsidRDefault="00941672" w:rsidP="00941672">
      <w:pPr>
        <w:pStyle w:val="HChG"/>
      </w:pPr>
      <w:r>
        <w:rPr>
          <w:bCs/>
        </w:rPr>
        <w:lastRenderedPageBreak/>
        <w:tab/>
      </w:r>
      <w:r w:rsidR="00A37A5C">
        <w:rPr>
          <w:bCs/>
          <w:lang w:val="en-US"/>
        </w:rPr>
        <w:t>I</w:t>
      </w:r>
      <w:r>
        <w:rPr>
          <w:bCs/>
        </w:rPr>
        <w:t>V.</w:t>
      </w:r>
      <w:r>
        <w:tab/>
      </w:r>
      <w:r>
        <w:rPr>
          <w:bCs/>
        </w:rPr>
        <w:t>Заключение</w:t>
      </w:r>
    </w:p>
    <w:p w14:paraId="53D9FF5D" w14:textId="77777777" w:rsidR="00941672" w:rsidRPr="00FB2042" w:rsidRDefault="00941672" w:rsidP="00941672">
      <w:pPr>
        <w:pStyle w:val="SingleTxtG"/>
      </w:pPr>
      <w:r>
        <w:t>42.</w:t>
      </w:r>
      <w:r>
        <w:tab/>
        <w:t>Обладая более полной информацией об осуществлении ключевых конвенций, КВТ может эффективнее администрировать, обновлять и модернизировать существующие документы или разрабатывать новые в зависимости от фактических потребностей. В быстро меняющейся нормативно-правовой среде, в том числе в связи с быстрым технологическим прогрессом, мониторинг осуществления правовых документов имеет для КВТ важное значение. Кроме того, благодаря мониторингу осуществления можно получить важные знания о различных группах, в первую очередь о договаривающихся сторонах, находящихся на разных уровнях развития и имеющих различные региональные и национальные характеристики и приоритеты. Эти знания могут помочь определить различные потребности и запросы и соответствующим образом предусмотреть целевые программы поддержки.</w:t>
      </w:r>
    </w:p>
    <w:p w14:paraId="6D267B88" w14:textId="0D1A4712" w:rsidR="00941672" w:rsidRPr="00FB2042" w:rsidRDefault="00941672" w:rsidP="00941672">
      <w:pPr>
        <w:pStyle w:val="SingleTxtG"/>
      </w:pPr>
      <w:r>
        <w:t>43.</w:t>
      </w:r>
      <w:r>
        <w:tab/>
        <w:t xml:space="preserve">Таким образом, усиление мониторинга совершенно необходимо для того, чтобы Комитет успешно играл роль «центра Организации Объединенных Наций, выполняющего функции всеобъемлющей платформы для рассмотрения всех аспектов развития и сотрудничества в области внутреннего транспорта </w:t>
      </w:r>
      <w:r>
        <w:rPr>
          <w:b/>
          <w:bCs/>
        </w:rPr>
        <w:t>с уделением особого внимания межрегиональному и внутрирегиональному регулированию</w:t>
      </w:r>
      <w:r>
        <w:t xml:space="preserve"> на основе конвенций Организации Объединенных Наций по транспорту и других средств» </w:t>
      </w:r>
      <w:r w:rsidR="00283F13">
        <w:br/>
      </w:r>
      <w:r>
        <w:t>(КВ КВТ).</w:t>
      </w:r>
    </w:p>
    <w:p w14:paraId="785E0E0F" w14:textId="77777777" w:rsidR="00941672" w:rsidRPr="00FB2042" w:rsidRDefault="00941672" w:rsidP="00941672">
      <w:pPr>
        <w:pStyle w:val="SingleTxtG"/>
      </w:pPr>
      <w:r>
        <w:t>44.</w:t>
      </w:r>
      <w:r>
        <w:tab/>
        <w:t>Для того чтобы лучше подготовить КВТ к будущему обслуживанию всех своих договаривающихся сторон, крайне важно улучшить понимание потребностей в технической поддержке полного осуществления конвенций, а также создать необходимую базу знаний заинтересованных государств-членов относительно конвенций, договаривающимися сторонами которых они еще не являются, но могут пожелать стать в будущем.</w:t>
      </w:r>
    </w:p>
    <w:p w14:paraId="4B4E46D1" w14:textId="44253942" w:rsidR="00941672" w:rsidRPr="00FB2042" w:rsidRDefault="00941672" w:rsidP="00941672">
      <w:pPr>
        <w:pStyle w:val="SingleTxtG"/>
      </w:pPr>
      <w:r>
        <w:t>45.</w:t>
      </w:r>
      <w:r>
        <w:tab/>
        <w:t>В целях улучшения понимания Комитет, возможно, пожелает</w:t>
      </w:r>
      <w:r>
        <w:rPr>
          <w:b/>
          <w:bCs/>
        </w:rPr>
        <w:t xml:space="preserve"> предложить</w:t>
      </w:r>
      <w:r>
        <w:t xml:space="preserve"> своим договаривающимся сторонам и другим заинтересованным государствам — членам Организации Объединенных Наций до 26 апреля 2024 года сообщить секретариату о своих потребностях в развитии потенциала, консультационных услугах или другой технической помощи для осуществления конвенций, участниками которых они уже являются, и, если это уместно и актуально, о своей заинтересованности в получении дополнительных знаний о конвенциях, к которым их правительство может пожелать присоединиться в будущем.</w:t>
      </w:r>
    </w:p>
    <w:p w14:paraId="14FF9306" w14:textId="77777777" w:rsidR="00941672" w:rsidRPr="00FB2042" w:rsidRDefault="00941672" w:rsidP="00941672">
      <w:pPr>
        <w:pStyle w:val="SingleTxtG"/>
      </w:pPr>
      <w:r>
        <w:t>46.</w:t>
      </w:r>
      <w:r>
        <w:tab/>
        <w:t xml:space="preserve">Кроме того, Комитету </w:t>
      </w:r>
      <w:r>
        <w:rPr>
          <w:b/>
          <w:bCs/>
        </w:rPr>
        <w:t>предлагается принять к сведению</w:t>
      </w:r>
      <w:r>
        <w:t xml:space="preserve"> информацию об имеющихся вариантах мониторинга осуществления ключевых конвенций, относящихся к его ведению, и </w:t>
      </w:r>
      <w:r>
        <w:rPr>
          <w:b/>
          <w:bCs/>
        </w:rPr>
        <w:t>дать</w:t>
      </w:r>
      <w:r>
        <w:t xml:space="preserve"> секретариату </w:t>
      </w:r>
      <w:r>
        <w:rPr>
          <w:b/>
          <w:bCs/>
        </w:rPr>
        <w:t>указания</w:t>
      </w:r>
      <w:r>
        <w:t xml:space="preserve"> относительно способов усиления мониторинга и осуществления правовых документов в целях более эффективного удовлетворения потребностей их государств-членов и договаривающихся сторон.</w:t>
      </w:r>
    </w:p>
    <w:p w14:paraId="2BB81184" w14:textId="77777777" w:rsidR="00941672" w:rsidRPr="00FB2042" w:rsidRDefault="00941672" w:rsidP="00941672">
      <w:pPr>
        <w:spacing w:before="240"/>
        <w:jc w:val="center"/>
        <w:rPr>
          <w:u w:val="single"/>
        </w:rPr>
      </w:pPr>
      <w:r w:rsidRPr="00FB2042">
        <w:rPr>
          <w:u w:val="single"/>
        </w:rPr>
        <w:tab/>
      </w:r>
      <w:r w:rsidRPr="00FB2042">
        <w:rPr>
          <w:u w:val="single"/>
        </w:rPr>
        <w:tab/>
      </w:r>
      <w:r w:rsidRPr="00FB2042">
        <w:rPr>
          <w:u w:val="single"/>
        </w:rPr>
        <w:tab/>
      </w:r>
    </w:p>
    <w:p w14:paraId="4F84C19B" w14:textId="77777777" w:rsidR="00941672" w:rsidRPr="008D53B6" w:rsidRDefault="00941672" w:rsidP="00941672"/>
    <w:p w14:paraId="5989A439" w14:textId="77777777" w:rsidR="00E12C5F" w:rsidRPr="008D53B6" w:rsidRDefault="00E12C5F" w:rsidP="00D9145B"/>
    <w:sectPr w:rsidR="00E12C5F" w:rsidRPr="008D53B6" w:rsidSect="0094167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A396" w14:textId="77777777" w:rsidR="00012B68" w:rsidRPr="00A312BC" w:rsidRDefault="00012B68" w:rsidP="00A312BC"/>
  </w:endnote>
  <w:endnote w:type="continuationSeparator" w:id="0">
    <w:p w14:paraId="44B7E145" w14:textId="77777777" w:rsidR="00012B68" w:rsidRPr="00A312BC" w:rsidRDefault="00012B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ED35" w14:textId="3E42F3DA" w:rsidR="00941672" w:rsidRPr="00941672" w:rsidRDefault="00941672">
    <w:pPr>
      <w:pStyle w:val="a8"/>
    </w:pPr>
    <w:r w:rsidRPr="00941672">
      <w:rPr>
        <w:b/>
        <w:sz w:val="18"/>
      </w:rPr>
      <w:fldChar w:fldCharType="begin"/>
    </w:r>
    <w:r w:rsidRPr="00941672">
      <w:rPr>
        <w:b/>
        <w:sz w:val="18"/>
      </w:rPr>
      <w:instrText xml:space="preserve"> PAGE  \* MERGEFORMAT </w:instrText>
    </w:r>
    <w:r w:rsidRPr="00941672">
      <w:rPr>
        <w:b/>
        <w:sz w:val="18"/>
      </w:rPr>
      <w:fldChar w:fldCharType="separate"/>
    </w:r>
    <w:r w:rsidRPr="00941672">
      <w:rPr>
        <w:b/>
        <w:noProof/>
        <w:sz w:val="18"/>
      </w:rPr>
      <w:t>2</w:t>
    </w:r>
    <w:r w:rsidRPr="00941672">
      <w:rPr>
        <w:b/>
        <w:sz w:val="18"/>
      </w:rPr>
      <w:fldChar w:fldCharType="end"/>
    </w:r>
    <w:r>
      <w:rPr>
        <w:b/>
        <w:sz w:val="18"/>
      </w:rPr>
      <w:tab/>
    </w:r>
    <w:r>
      <w:t>GE.23-24731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F736" w14:textId="53EFB2D7" w:rsidR="00941672" w:rsidRPr="00941672" w:rsidRDefault="00941672" w:rsidP="00941672">
    <w:pPr>
      <w:pStyle w:val="a8"/>
      <w:tabs>
        <w:tab w:val="clear" w:pos="9639"/>
        <w:tab w:val="right" w:pos="9638"/>
      </w:tabs>
      <w:rPr>
        <w:b/>
        <w:sz w:val="18"/>
      </w:rPr>
    </w:pPr>
    <w:r>
      <w:t>GE.23-24731</w:t>
    </w:r>
    <w:r>
      <w:tab/>
    </w:r>
    <w:r w:rsidRPr="00941672">
      <w:rPr>
        <w:b/>
        <w:sz w:val="18"/>
      </w:rPr>
      <w:fldChar w:fldCharType="begin"/>
    </w:r>
    <w:r w:rsidRPr="00941672">
      <w:rPr>
        <w:b/>
        <w:sz w:val="18"/>
      </w:rPr>
      <w:instrText xml:space="preserve"> PAGE  \* MERGEFORMAT </w:instrText>
    </w:r>
    <w:r w:rsidRPr="00941672">
      <w:rPr>
        <w:b/>
        <w:sz w:val="18"/>
      </w:rPr>
      <w:fldChar w:fldCharType="separate"/>
    </w:r>
    <w:r w:rsidRPr="00941672">
      <w:rPr>
        <w:b/>
        <w:noProof/>
        <w:sz w:val="18"/>
      </w:rPr>
      <w:t>3</w:t>
    </w:r>
    <w:r w:rsidRPr="009416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57E0" w14:textId="64525FBB" w:rsidR="00042B72" w:rsidRPr="00941672" w:rsidRDefault="00941672" w:rsidP="0094167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00DD4B8" wp14:editId="20CAE21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23-24731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53825B" wp14:editId="08A1B29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111223  131223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2891" w14:textId="77777777" w:rsidR="00012B68" w:rsidRPr="001075E9" w:rsidRDefault="00012B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83BE91" w14:textId="77777777" w:rsidR="00012B68" w:rsidRDefault="00012B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030EE2" w14:textId="77777777" w:rsidR="00941672" w:rsidRPr="00FB2042" w:rsidRDefault="00941672" w:rsidP="00941672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В отношении области применения следует отметить, что Комитет и его вспомогательные органы разрабатывают другие виды документов, не имеющие юридически обязательного характера, в частности резолюции, предписания, рекомендации. Настоящий документ будет посвящен исключительно юридически обязательным документам, относящихся к ведению Комитета в соответствии с его мандатом.</w:t>
      </w:r>
    </w:p>
  </w:footnote>
  <w:footnote w:id="2">
    <w:p w14:paraId="295EE698" w14:textId="77777777" w:rsidR="00941672" w:rsidRPr="00FB2042" w:rsidRDefault="00941672" w:rsidP="00941672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Последний пересмотренный вариант на момент подготовки настоящего документа.</w:t>
      </w:r>
    </w:p>
  </w:footnote>
  <w:footnote w:id="3">
    <w:p w14:paraId="38C11DAD" w14:textId="77777777" w:rsidR="00941672" w:rsidRPr="00FB2042" w:rsidRDefault="00941672" w:rsidP="00941672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Последний пересмотренный вариант на момент подготовки настоящего документа.</w:t>
      </w:r>
    </w:p>
  </w:footnote>
  <w:footnote w:id="4">
    <w:p w14:paraId="639C421F" w14:textId="77777777" w:rsidR="00941672" w:rsidRPr="00FB2042" w:rsidRDefault="00941672" w:rsidP="00941672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Последний пересмотренный вариант на момент подготовки настоящего документа.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74C6" w14:textId="6718A0EA" w:rsidR="00941672" w:rsidRPr="00941672" w:rsidRDefault="0078502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ECE/TRANS/2024/17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408" w14:textId="1B95982D" w:rsidR="00941672" w:rsidRPr="00941672" w:rsidRDefault="00785028" w:rsidP="0094167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ECE/TRANS/2024/17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6"/>
  </w:num>
  <w:num w:numId="20" w16cid:durableId="807743971">
    <w:abstractNumId w:val="12"/>
  </w:num>
  <w:num w:numId="21" w16cid:durableId="1591162185">
    <w:abstractNumId w:val="14"/>
  </w:num>
  <w:num w:numId="22" w16cid:durableId="38418565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68"/>
    <w:rsid w:val="00012B6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3CC6"/>
    <w:rsid w:val="00196389"/>
    <w:rsid w:val="001B3EF6"/>
    <w:rsid w:val="001C7A89"/>
    <w:rsid w:val="00255343"/>
    <w:rsid w:val="0027151D"/>
    <w:rsid w:val="00283F13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1506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5491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5028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1672"/>
    <w:rsid w:val="00951972"/>
    <w:rsid w:val="009608F3"/>
    <w:rsid w:val="009A24AC"/>
    <w:rsid w:val="009C59D7"/>
    <w:rsid w:val="009C6FE6"/>
    <w:rsid w:val="009D7E7D"/>
    <w:rsid w:val="00A14DA8"/>
    <w:rsid w:val="00A312BC"/>
    <w:rsid w:val="00A37A5C"/>
    <w:rsid w:val="00A84021"/>
    <w:rsid w:val="00A84D35"/>
    <w:rsid w:val="00A917B3"/>
    <w:rsid w:val="00AB4B51"/>
    <w:rsid w:val="00AD6F7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467D7"/>
  <w15:docId w15:val="{9F5D27D6-35DD-4046-9D5D-4F059E3D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94167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941672"/>
    <w:rPr>
      <w:lang w:val="ru-RU" w:eastAsia="en-US"/>
    </w:rPr>
  </w:style>
  <w:style w:type="character" w:customStyle="1" w:styleId="H1GChar">
    <w:name w:val="_ H_1_G Char"/>
    <w:link w:val="H1G"/>
    <w:rsid w:val="0094167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9</Pages>
  <Words>3178</Words>
  <Characters>22124</Characters>
  <Application>Microsoft Office Word</Application>
  <DocSecurity>0</DocSecurity>
  <Lines>409</Lines>
  <Paragraphs>110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ECE/TRANS/2024/17</vt:lpstr>
      <vt:lpstr>A/</vt:lpstr>
      <vt:lpstr>A/</vt:lpstr>
    </vt:vector>
  </TitlesOfParts>
  <Company>DCM</Company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ECE/TRANS/2024/17</dc:title>
  <dc:subject/>
  <dc:creator>No author</dc:creator>
  <cp:keywords/>
  <cp:lastModifiedBy>No author</cp:lastModifiedBy>
  <cp:revision>3</cp:revision>
  <cp:lastPrinted>2023-12-13T15:47:00Z</cp:lastPrinted>
  <dcterms:created xsi:type="dcterms:W3CDTF">2023-12-13T15:47:00Z</dcterms:created>
  <dcterms:modified xsi:type="dcterms:W3CDTF">2023-12-13T15:48:00Z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