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1B7E97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1B7E97">
              <w:rPr>
                <w:b/>
                <w:sz w:val="28"/>
                <w:szCs w:val="28"/>
              </w:rPr>
              <w:t>12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proofErr w:type="gramStart"/>
      <w:r>
        <w:rPr>
          <w:b/>
        </w:rPr>
        <w:t>102nd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EB3E6B">
        <w:rPr>
          <w:b/>
        </w:rPr>
        <w:t>27</w:t>
      </w:r>
      <w:r w:rsidR="00F1418D">
        <w:rPr>
          <w:b/>
        </w:rPr>
        <w:t xml:space="preserve"> April 2017</w:t>
      </w:r>
    </w:p>
    <w:p w:rsidR="00AB32F7" w:rsidRPr="008268C5" w:rsidRDefault="00AB32F7" w:rsidP="00AB32F7">
      <w:r w:rsidRPr="008268C5">
        <w:t xml:space="preserve">Geneva, </w:t>
      </w:r>
      <w:r w:rsidR="00A44D24">
        <w:t>8</w:t>
      </w:r>
      <w:r w:rsidR="00875C74">
        <w:t>-</w:t>
      </w:r>
      <w:r w:rsidR="00B25EB2" w:rsidRPr="008268C5">
        <w:t>1</w:t>
      </w:r>
      <w:r w:rsidR="00A44D24">
        <w:t>2</w:t>
      </w:r>
      <w:r w:rsidRPr="008268C5">
        <w:t xml:space="preserve"> May </w:t>
      </w:r>
      <w:r w:rsidR="00B25EB2" w:rsidRPr="008268C5">
        <w:t>201</w:t>
      </w:r>
      <w:r w:rsidR="00A44D24">
        <w:t>7</w:t>
      </w:r>
    </w:p>
    <w:p w:rsidR="007B45D1" w:rsidRPr="00863E41" w:rsidRDefault="007B45D1" w:rsidP="007B45D1">
      <w:r w:rsidRPr="00863E41">
        <w:t xml:space="preserve">Item 5 </w:t>
      </w:r>
      <w:r w:rsidR="00EB3E6B">
        <w:t>(a</w:t>
      </w:r>
      <w:r w:rsidRPr="00863E41">
        <w:t>) of the provisional agenda</w:t>
      </w:r>
    </w:p>
    <w:p w:rsidR="002F3C64" w:rsidRPr="00D105AA" w:rsidRDefault="007B45D1" w:rsidP="007B45D1">
      <w:pPr>
        <w:rPr>
          <w:b/>
        </w:rPr>
      </w:pPr>
      <w:r w:rsidRPr="00863E41">
        <w:rPr>
          <w:b/>
        </w:rPr>
        <w:t>Proposals for amendme</w:t>
      </w:r>
      <w:r>
        <w:rPr>
          <w:b/>
        </w:rPr>
        <w:t>nts to annexes A and B of ADR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EB3E6B">
        <w:rPr>
          <w:b/>
        </w:rPr>
        <w:t>c</w:t>
      </w:r>
      <w:bookmarkStart w:id="0" w:name="_GoBack"/>
      <w:bookmarkEnd w:id="0"/>
      <w:r w:rsidR="00EB3E6B" w:rsidRPr="00EB3E6B">
        <w:rPr>
          <w:b/>
        </w:rPr>
        <w:t>onstruction and approval of vehicles</w:t>
      </w:r>
    </w:p>
    <w:p w:rsidR="003643F4" w:rsidRPr="00863E41" w:rsidRDefault="00F1418D" w:rsidP="003643F4">
      <w:pPr>
        <w:pStyle w:val="HChG"/>
      </w:pPr>
      <w:r>
        <w:tab/>
      </w:r>
      <w:r>
        <w:tab/>
      </w:r>
      <w:r w:rsidR="003643F4" w:rsidRPr="00863E41">
        <w:t>Corrections to ADR 2017 – Part 9, Chapter 9.2</w:t>
      </w:r>
    </w:p>
    <w:p w:rsidR="003643F4" w:rsidRPr="00863E41" w:rsidRDefault="003643F4" w:rsidP="003643F4">
      <w:pPr>
        <w:pStyle w:val="H1G"/>
      </w:pPr>
      <w:r>
        <w:tab/>
      </w:r>
      <w:r>
        <w:tab/>
      </w:r>
      <w:r w:rsidRPr="00863E41">
        <w:t>Transmitted by the Government of Romania</w:t>
      </w:r>
    </w:p>
    <w:p w:rsidR="003643F4" w:rsidRPr="00863E41" w:rsidRDefault="003643F4" w:rsidP="003643F4">
      <w:pPr>
        <w:pStyle w:val="HChG"/>
      </w:pPr>
      <w:r>
        <w:tab/>
      </w:r>
      <w:r>
        <w:tab/>
      </w:r>
      <w:r w:rsidRPr="00863E41">
        <w:t>Introduction</w:t>
      </w:r>
    </w:p>
    <w:p w:rsidR="003643F4" w:rsidRPr="00863E41" w:rsidRDefault="003643F4" w:rsidP="003643F4">
      <w:pPr>
        <w:pStyle w:val="SingleTxtG"/>
        <w:rPr>
          <w:lang w:eastAsia="ro-RO"/>
        </w:rPr>
      </w:pPr>
      <w:proofErr w:type="gramStart"/>
      <w:r>
        <w:rPr>
          <w:lang w:eastAsia="ro-RO"/>
        </w:rPr>
        <w:t>1.</w:t>
      </w:r>
      <w:r w:rsidRPr="00863E41">
        <w:rPr>
          <w:lang w:eastAsia="ro-RO"/>
        </w:rPr>
        <w:tab/>
        <w:t>After analysing</w:t>
      </w:r>
      <w:proofErr w:type="gramEnd"/>
      <w:r w:rsidRPr="00863E41">
        <w:rPr>
          <w:lang w:eastAsia="ro-RO"/>
        </w:rPr>
        <w:t xml:space="preserve"> the text of Chapter 9.2 Romania has some corrections proposals that could be considered by the WP.15.</w:t>
      </w:r>
    </w:p>
    <w:p w:rsidR="003643F4" w:rsidRPr="00863E41" w:rsidRDefault="003643F4" w:rsidP="003643F4">
      <w:pPr>
        <w:pStyle w:val="HCh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863E41">
        <w:rPr>
          <w:rFonts w:eastAsia="Calibri"/>
        </w:rPr>
        <w:t>Corrections</w:t>
      </w:r>
    </w:p>
    <w:p w:rsidR="003643F4" w:rsidRPr="00D31B6D" w:rsidRDefault="003643F4" w:rsidP="003643F4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D31B6D">
        <w:rPr>
          <w:rFonts w:eastAsia="Calibri"/>
        </w:rPr>
        <w:t>Proposal 1</w:t>
      </w:r>
    </w:p>
    <w:p w:rsidR="003643F4" w:rsidRPr="00863E41" w:rsidRDefault="003643F4" w:rsidP="003643F4">
      <w:pPr>
        <w:pStyle w:val="SingleTxtG"/>
        <w:rPr>
          <w:lang w:eastAsia="ro-RO"/>
        </w:rPr>
      </w:pPr>
      <w:r w:rsidRPr="00863E41">
        <w:rPr>
          <w:rFonts w:eastAsia="Calibri"/>
          <w:bCs/>
        </w:rPr>
        <w:t>2.</w:t>
      </w:r>
      <w:r w:rsidRPr="00863E41">
        <w:rPr>
          <w:rFonts w:eastAsia="Calibri"/>
          <w:b/>
          <w:bCs/>
        </w:rPr>
        <w:tab/>
      </w:r>
      <w:r w:rsidRPr="00863E41">
        <w:t xml:space="preserve">In order to have the same wording as in the title of 9.2.2.6 it is necessary to correct the text in the table </w:t>
      </w:r>
      <w:r w:rsidRPr="00863E41">
        <w:rPr>
          <w:rFonts w:eastAsia="Calibri"/>
          <w:bCs/>
        </w:rPr>
        <w:t>9.2.1.1 for</w:t>
      </w:r>
      <w:r w:rsidRPr="00863E41">
        <w:t xml:space="preserve"> 9.2.2.6, second column to read </w:t>
      </w:r>
      <w:r w:rsidRPr="00863E41">
        <w:rPr>
          <w:lang w:eastAsia="ro-RO"/>
        </w:rPr>
        <w:t>(new text is in bold underlined print):</w:t>
      </w:r>
    </w:p>
    <w:p w:rsidR="003643F4" w:rsidRPr="00863E41" w:rsidRDefault="003643F4" w:rsidP="003643F4">
      <w:pPr>
        <w:pStyle w:val="SingleTxtG"/>
        <w:rPr>
          <w:b/>
          <w:u w:val="single"/>
        </w:rPr>
      </w:pPr>
      <w:r w:rsidRPr="00863E41">
        <w:t xml:space="preserve">Electrical connections </w:t>
      </w:r>
      <w:r w:rsidRPr="00863E41">
        <w:rPr>
          <w:b/>
          <w:iCs/>
          <w:u w:val="single"/>
        </w:rPr>
        <w:t>between motor vehicles and trailers</w:t>
      </w:r>
    </w:p>
    <w:p w:rsidR="003643F4" w:rsidRPr="00D31B6D" w:rsidRDefault="003643F4" w:rsidP="003643F4">
      <w:pPr>
        <w:pStyle w:val="H1G"/>
      </w:pPr>
      <w:r>
        <w:tab/>
      </w:r>
      <w:r>
        <w:tab/>
      </w:r>
      <w:r w:rsidRPr="00D31B6D">
        <w:t>Proposal 2</w:t>
      </w:r>
    </w:p>
    <w:p w:rsidR="003643F4" w:rsidRDefault="003643F4" w:rsidP="003643F4">
      <w:pPr>
        <w:pStyle w:val="SingleTxtG"/>
      </w:pPr>
      <w:r>
        <w:t>3.</w:t>
      </w:r>
      <w:r>
        <w:tab/>
      </w:r>
      <w:r w:rsidRPr="00863E41">
        <w:t>In order to have the same wording as in the title of 9.2.5 it is necessary to correct the text in the</w:t>
      </w:r>
      <w:r>
        <w:t xml:space="preserve"> </w:t>
      </w:r>
      <w:r w:rsidRPr="00863E41">
        <w:t>table</w:t>
      </w:r>
    </w:p>
    <w:p w:rsidR="003643F4" w:rsidRPr="00863E41" w:rsidRDefault="003643F4" w:rsidP="003643F4">
      <w:pPr>
        <w:pStyle w:val="SingleTxtG"/>
      </w:pPr>
      <w:r>
        <w:rPr>
          <w:rFonts w:eastAsia="Calibri"/>
          <w:bCs/>
        </w:rPr>
        <w:t>9.2.1.1</w:t>
      </w:r>
      <w:r>
        <w:rPr>
          <w:rFonts w:eastAsia="Calibri"/>
          <w:bCs/>
        </w:rPr>
        <w:tab/>
      </w:r>
      <w:r w:rsidRPr="00863E41">
        <w:rPr>
          <w:rFonts w:eastAsia="Calibri"/>
          <w:bCs/>
        </w:rPr>
        <w:t>for</w:t>
      </w:r>
      <w:r w:rsidRPr="00863E41">
        <w:t xml:space="preserve"> 9.2.5, second column to read (deleted text stricken through</w:t>
      </w:r>
      <w:r>
        <w:t xml:space="preserve"> in red</w:t>
      </w:r>
      <w:r w:rsidRPr="00863E41">
        <w:t>):</w:t>
      </w:r>
    </w:p>
    <w:p w:rsidR="003643F4" w:rsidRPr="00863E41" w:rsidRDefault="007B45D1" w:rsidP="007B45D1">
      <w:pPr>
        <w:pStyle w:val="HChG"/>
      </w:pPr>
      <w:r>
        <w:tab/>
      </w:r>
      <w:r>
        <w:tab/>
      </w:r>
      <w:r w:rsidR="003643F4" w:rsidRPr="00863E41">
        <w:t>SPEED LIMITING DEVICE</w:t>
      </w:r>
      <w:r w:rsidR="003643F4" w:rsidRPr="00D31B6D">
        <w:rPr>
          <w:strike/>
          <w:color w:val="FF0000"/>
        </w:rPr>
        <w:t>S</w:t>
      </w:r>
    </w:p>
    <w:p w:rsidR="003643F4" w:rsidRPr="00D31B6D" w:rsidRDefault="003643F4" w:rsidP="003643F4">
      <w:pPr>
        <w:pStyle w:val="H1G"/>
      </w:pPr>
      <w:r>
        <w:tab/>
      </w:r>
      <w:r>
        <w:tab/>
      </w:r>
      <w:r w:rsidRPr="00D31B6D">
        <w:t>Proposal 3</w:t>
      </w:r>
    </w:p>
    <w:p w:rsidR="003643F4" w:rsidRPr="00863E41" w:rsidRDefault="003643F4" w:rsidP="003643F4">
      <w:pPr>
        <w:pStyle w:val="SingleTxtG"/>
      </w:pPr>
      <w:r>
        <w:t>4.</w:t>
      </w:r>
      <w:r>
        <w:tab/>
      </w:r>
      <w:r w:rsidRPr="00863E41">
        <w:t>For consistency of the text it is necessary to correct the wording of the transitional measure “</w:t>
      </w:r>
      <w:proofErr w:type="spellStart"/>
      <w:r w:rsidRPr="00A20DF1">
        <w:rPr>
          <w:b/>
        </w:rPr>
        <w:t>i</w:t>
      </w:r>
      <w:proofErr w:type="spellEnd"/>
      <w:r w:rsidRPr="00863E41">
        <w:t>” in the</w:t>
      </w:r>
      <w:r>
        <w:t xml:space="preserve"> </w:t>
      </w:r>
      <w:r w:rsidRPr="00863E41">
        <w:t xml:space="preserve">table </w:t>
      </w:r>
      <w:r w:rsidRPr="00863E41">
        <w:rPr>
          <w:rFonts w:eastAsia="Calibri"/>
          <w:bCs/>
        </w:rPr>
        <w:t>9.2.1.1 for</w:t>
      </w:r>
      <w:r w:rsidRPr="00863E41">
        <w:t xml:space="preserve"> 9.2.5, in the column “comments” to read </w:t>
      </w:r>
      <w:r w:rsidRPr="00863E41">
        <w:rPr>
          <w:lang w:eastAsia="ro-RO"/>
        </w:rPr>
        <w:t>(new text is in bold underlined print):</w:t>
      </w:r>
    </w:p>
    <w:p w:rsidR="003643F4" w:rsidRPr="00863E41" w:rsidRDefault="003643F4" w:rsidP="003643F4">
      <w:pPr>
        <w:pStyle w:val="SingleTxtG"/>
      </w:pPr>
      <w:r>
        <w:rPr>
          <w:sz w:val="18"/>
          <w:szCs w:val="18"/>
          <w:vertAlign w:val="superscript"/>
        </w:rPr>
        <w:t>I</w:t>
      </w:r>
      <w:r>
        <w:rPr>
          <w:sz w:val="18"/>
          <w:szCs w:val="18"/>
          <w:vertAlign w:val="superscript"/>
        </w:rPr>
        <w:tab/>
      </w:r>
      <w:r w:rsidRPr="00863E41">
        <w:rPr>
          <w:sz w:val="18"/>
          <w:szCs w:val="18"/>
        </w:rPr>
        <w:t>Applicable to motor vehicles with a maximum mass exceeding 12 tonnes first registered</w:t>
      </w:r>
      <w:r>
        <w:rPr>
          <w:sz w:val="18"/>
          <w:szCs w:val="18"/>
        </w:rPr>
        <w:t xml:space="preserve"> after 31 December 1987, and all </w:t>
      </w:r>
      <w:r w:rsidRPr="00863E41">
        <w:rPr>
          <w:sz w:val="18"/>
          <w:szCs w:val="18"/>
        </w:rPr>
        <w:t xml:space="preserve">motor vehicles with a maximum mass exceeding 3.5 tonnes but not more than 12 tonnes </w:t>
      </w:r>
      <w:r w:rsidRPr="00863E41">
        <w:rPr>
          <w:b/>
          <w:sz w:val="18"/>
          <w:szCs w:val="18"/>
          <w:u w:val="single"/>
        </w:rPr>
        <w:t>first</w:t>
      </w:r>
      <w:r w:rsidRPr="00863E41">
        <w:rPr>
          <w:sz w:val="18"/>
          <w:szCs w:val="18"/>
        </w:rPr>
        <w:t xml:space="preserve"> registered after 31 December 2007.</w:t>
      </w:r>
    </w:p>
    <w:p w:rsidR="003643F4" w:rsidRPr="00D31B6D" w:rsidRDefault="003643F4" w:rsidP="003643F4">
      <w:pPr>
        <w:pStyle w:val="H1G"/>
      </w:pPr>
      <w:r>
        <w:lastRenderedPageBreak/>
        <w:tab/>
      </w:r>
      <w:r>
        <w:tab/>
      </w:r>
      <w:r w:rsidRPr="00D31B6D">
        <w:t>Proposal 4</w:t>
      </w:r>
    </w:p>
    <w:p w:rsidR="003643F4" w:rsidRPr="00863E41" w:rsidRDefault="003643F4" w:rsidP="003643F4">
      <w:pPr>
        <w:pStyle w:val="SingleTxtG"/>
      </w:pPr>
      <w:proofErr w:type="gramStart"/>
      <w:r w:rsidRPr="00863E41">
        <w:t>5.</w:t>
      </w:r>
      <w:r>
        <w:tab/>
      </w:r>
      <w:r w:rsidRPr="00863E41">
        <w:t>In 9.2.2.6.2 by document</w:t>
      </w:r>
      <w:proofErr w:type="gramEnd"/>
      <w:r w:rsidRPr="00863E41">
        <w:t xml:space="preserve"> ECE/TRANS/WP.15/2015/15</w:t>
      </w:r>
      <w:r>
        <w:t xml:space="preserve"> </w:t>
      </w:r>
      <w:r w:rsidRPr="00863E41">
        <w:t>for standard EN 15207:2014</w:t>
      </w:r>
      <w:r w:rsidRPr="00863E41">
        <w:rPr>
          <w:vertAlign w:val="superscript"/>
        </w:rPr>
        <w:t xml:space="preserve"> </w:t>
      </w:r>
      <w:r w:rsidRPr="00863E41">
        <w:t>was</w:t>
      </w:r>
      <w:r>
        <w:t xml:space="preserve"> </w:t>
      </w:r>
      <w:r w:rsidRPr="00863E41">
        <w:t>introduced</w:t>
      </w:r>
      <w:r>
        <w:t xml:space="preserve"> </w:t>
      </w:r>
      <w:r w:rsidRPr="00863E41">
        <w:t xml:space="preserve">the footnote </w:t>
      </w:r>
      <w:r>
        <w:t>“</w:t>
      </w:r>
      <w:r w:rsidRPr="00863E41">
        <w:rPr>
          <w:rStyle w:val="FootnoteReference"/>
          <w:b/>
        </w:rPr>
        <w:t>1</w:t>
      </w:r>
      <w:r w:rsidRPr="00863E41">
        <w:rPr>
          <w:rStyle w:val="FootnoteReference"/>
          <w:b/>
          <w:i/>
        </w:rPr>
        <w:t xml:space="preserve"> ISO 4009, referred to in this standard, need not be applied</w:t>
      </w:r>
      <w:r>
        <w:rPr>
          <w:i/>
        </w:rPr>
        <w:t>"</w:t>
      </w:r>
      <w:r w:rsidRPr="00D01998">
        <w:rPr>
          <w:rStyle w:val="FootnoteReference"/>
          <w:b/>
        </w:rPr>
        <w:t>.</w:t>
      </w:r>
      <w:r w:rsidRPr="00863E41">
        <w:t xml:space="preserve"> In the point </w:t>
      </w:r>
      <w:r w:rsidRPr="00863E41">
        <w:rPr>
          <w:rFonts w:eastAsia="Calibri"/>
          <w:bCs/>
        </w:rPr>
        <w:t>2 Normative</w:t>
      </w:r>
      <w:r>
        <w:rPr>
          <w:rFonts w:eastAsia="Calibri"/>
          <w:bCs/>
        </w:rPr>
        <w:t xml:space="preserve"> </w:t>
      </w:r>
      <w:r w:rsidRPr="00863E41">
        <w:rPr>
          <w:rFonts w:eastAsia="Calibri"/>
          <w:bCs/>
        </w:rPr>
        <w:t>references</w:t>
      </w:r>
      <w:r>
        <w:t xml:space="preserve"> </w:t>
      </w:r>
      <w:r w:rsidRPr="00863E41">
        <w:t>of the standard EN 15207:2014 there is no reference to the standard ISO 4009. Having in view this</w:t>
      </w:r>
      <w:r>
        <w:t xml:space="preserve"> </w:t>
      </w:r>
      <w:r w:rsidRPr="00863E41">
        <w:t>we propose</w:t>
      </w:r>
      <w:r>
        <w:t xml:space="preserve"> </w:t>
      </w:r>
      <w:r w:rsidRPr="00863E41">
        <w:t xml:space="preserve">to </w:t>
      </w:r>
      <w:r>
        <w:t>amend</w:t>
      </w:r>
      <w:r w:rsidRPr="00863E41">
        <w:t xml:space="preserve"> the text of the 9.2.2.6.2, first indent</w:t>
      </w:r>
      <w:r>
        <w:t>,</w:t>
      </w:r>
      <w:r w:rsidRPr="00863E41">
        <w:t xml:space="preserve"> to read (deleted text stricken through</w:t>
      </w:r>
      <w:r>
        <w:t xml:space="preserve"> in red</w:t>
      </w:r>
      <w:r w:rsidRPr="00863E41">
        <w:t>):</w:t>
      </w:r>
    </w:p>
    <w:p w:rsidR="003643F4" w:rsidRPr="00863E41" w:rsidRDefault="003643F4" w:rsidP="003643F4">
      <w:pPr>
        <w:pStyle w:val="SingleTxtG"/>
      </w:pPr>
      <w:r w:rsidRPr="00863E41">
        <w:t>-</w:t>
      </w:r>
      <w:r w:rsidRPr="00863E41">
        <w:tab/>
        <w:t>for connectors standardized for specific purposes according to ISO 12098:2004</w:t>
      </w:r>
      <w:r w:rsidRPr="00863E41">
        <w:rPr>
          <w:vertAlign w:val="superscript"/>
        </w:rPr>
        <w:t>1</w:t>
      </w:r>
      <w:r w:rsidRPr="00863E41">
        <w:t>, ISO 7638:2003</w:t>
      </w:r>
      <w:r w:rsidRPr="00863E41">
        <w:rPr>
          <w:vertAlign w:val="superscript"/>
        </w:rPr>
        <w:t>1</w:t>
      </w:r>
      <w:r w:rsidRPr="00863E41">
        <w:t>, EN 15207:2014</w:t>
      </w:r>
      <w:r w:rsidRPr="00A20DF1">
        <w:rPr>
          <w:b/>
          <w:strike/>
          <w:color w:val="FF0000"/>
          <w:vertAlign w:val="superscript"/>
        </w:rPr>
        <w:t>1</w:t>
      </w:r>
      <w:r w:rsidRPr="00863E41">
        <w:t xml:space="preserve"> or ISO 25981:2008</w:t>
      </w:r>
      <w:r w:rsidRPr="00863E41">
        <w:rPr>
          <w:vertAlign w:val="superscript"/>
        </w:rPr>
        <w:t>1</w:t>
      </w:r>
      <w:r w:rsidRPr="00863E41">
        <w:t xml:space="preserve">   </w:t>
      </w:r>
    </w:p>
    <w:p w:rsidR="003643F4" w:rsidRPr="00D31B6D" w:rsidRDefault="003643F4" w:rsidP="003643F4">
      <w:pPr>
        <w:pStyle w:val="H1G"/>
      </w:pPr>
      <w:r>
        <w:tab/>
      </w:r>
      <w:r>
        <w:tab/>
      </w:r>
      <w:r w:rsidRPr="00D31B6D">
        <w:t>Proposal 5</w:t>
      </w:r>
    </w:p>
    <w:p w:rsidR="003643F4" w:rsidRDefault="003643F4" w:rsidP="003643F4">
      <w:pPr>
        <w:pStyle w:val="SingleTxtG"/>
      </w:pPr>
      <w:r>
        <w:t>6.</w:t>
      </w:r>
      <w:r>
        <w:tab/>
      </w:r>
      <w:r w:rsidRPr="00863E41">
        <w:t xml:space="preserve">In 9.2.4.4 introduce the title to read </w:t>
      </w:r>
      <w:r w:rsidRPr="00863E41">
        <w:rPr>
          <w:lang w:eastAsia="ro-RO"/>
        </w:rPr>
        <w:t>(new text is in bold underlined print)</w:t>
      </w:r>
      <w:r w:rsidRPr="00863E41">
        <w:t>:</w:t>
      </w:r>
    </w:p>
    <w:p w:rsidR="003643F4" w:rsidRPr="00863E41" w:rsidRDefault="003643F4" w:rsidP="003643F4">
      <w:pPr>
        <w:pStyle w:val="SingleTxtG"/>
        <w:rPr>
          <w:b/>
          <w:i/>
          <w:u w:val="single"/>
        </w:rPr>
      </w:pPr>
      <w:r w:rsidRPr="00F92D40">
        <w:rPr>
          <w:b/>
        </w:rPr>
        <w:t>9.2.4.4</w:t>
      </w:r>
      <w:r w:rsidRPr="00863E41">
        <w:tab/>
      </w:r>
      <w:r w:rsidRPr="00863E41">
        <w:rPr>
          <w:b/>
          <w:i/>
          <w:u w:val="single"/>
        </w:rPr>
        <w:t>Engine</w:t>
      </w:r>
    </w:p>
    <w:p w:rsidR="003643F4" w:rsidRDefault="003643F4" w:rsidP="003643F4">
      <w:pPr>
        <w:pStyle w:val="SingleTxtG"/>
      </w:pPr>
      <w:r>
        <w:t>7.</w:t>
      </w:r>
      <w:r w:rsidRPr="00863E41">
        <w:tab/>
        <w:t xml:space="preserve">The French and Russian versions </w:t>
      </w:r>
      <w:proofErr w:type="gramStart"/>
      <w:r w:rsidRPr="00863E41">
        <w:t>should be checked</w:t>
      </w:r>
      <w:proofErr w:type="gramEnd"/>
      <w:r w:rsidRPr="00863E41">
        <w:t xml:space="preserve"> if the wording needs correction.</w:t>
      </w:r>
    </w:p>
    <w:p w:rsidR="007B45D1" w:rsidRPr="007B45D1" w:rsidRDefault="007B45D1" w:rsidP="007B45D1">
      <w:pPr>
        <w:pStyle w:val="SingleTxtG"/>
        <w:spacing w:before="240" w:after="0"/>
        <w:jc w:val="center"/>
        <w:rPr>
          <w:u w:val="single"/>
          <w:lang w:eastAsia="zh-CN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45D1" w:rsidRPr="007B45D1" w:rsidSect="00AC36B7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2C" w:rsidRDefault="00E3292C"/>
  </w:endnote>
  <w:endnote w:type="continuationSeparator" w:id="0">
    <w:p w:rsidR="00E3292C" w:rsidRDefault="00E3292C"/>
  </w:endnote>
  <w:endnote w:type="continuationNotice" w:id="1">
    <w:p w:rsidR="00E3292C" w:rsidRDefault="00E32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72121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B3E6B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21211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21211" w:rsidRPr="009D2A5B">
      <w:rPr>
        <w:b/>
        <w:sz w:val="18"/>
      </w:rPr>
      <w:fldChar w:fldCharType="separate"/>
    </w:r>
    <w:r w:rsidR="003643F4">
      <w:rPr>
        <w:b/>
        <w:noProof/>
        <w:sz w:val="18"/>
      </w:rPr>
      <w:t>15</w:t>
    </w:r>
    <w:r w:rsidR="00721211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2C" w:rsidRPr="000B175B" w:rsidRDefault="00E329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292C" w:rsidRPr="00FC68B7" w:rsidRDefault="00E329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292C" w:rsidRDefault="00E32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1B7E97">
      <w:rPr>
        <w:szCs w:val="18"/>
        <w:lang w:val="fr-CH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1B7E97">
      <w:rPr>
        <w:lang w:val="fr-CH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19AF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06306"/>
    <w:rsid w:val="00106B5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210E"/>
    <w:rsid w:val="00193CA7"/>
    <w:rsid w:val="001A1DCF"/>
    <w:rsid w:val="001A6E55"/>
    <w:rsid w:val="001B13A5"/>
    <w:rsid w:val="001B4B04"/>
    <w:rsid w:val="001B7E97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0267"/>
    <w:rsid w:val="00252290"/>
    <w:rsid w:val="00267F5F"/>
    <w:rsid w:val="00270C73"/>
    <w:rsid w:val="00280A1D"/>
    <w:rsid w:val="00284DBC"/>
    <w:rsid w:val="00286B4D"/>
    <w:rsid w:val="002A0CC5"/>
    <w:rsid w:val="002A3C85"/>
    <w:rsid w:val="002A603B"/>
    <w:rsid w:val="002B46EB"/>
    <w:rsid w:val="002C2008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643F4"/>
    <w:rsid w:val="003706D8"/>
    <w:rsid w:val="0037107E"/>
    <w:rsid w:val="00371178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1CC1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45D1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12465"/>
    <w:rsid w:val="00C22C0C"/>
    <w:rsid w:val="00C23978"/>
    <w:rsid w:val="00C25E1A"/>
    <w:rsid w:val="00C30215"/>
    <w:rsid w:val="00C33407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F7AC0"/>
    <w:rsid w:val="00D13F4D"/>
    <w:rsid w:val="00D2031B"/>
    <w:rsid w:val="00D224BF"/>
    <w:rsid w:val="00D22523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5D65"/>
    <w:rsid w:val="00E261FA"/>
    <w:rsid w:val="00E26778"/>
    <w:rsid w:val="00E27346"/>
    <w:rsid w:val="00E3292C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3E6B"/>
    <w:rsid w:val="00EB65AE"/>
    <w:rsid w:val="00EC098C"/>
    <w:rsid w:val="00EC106A"/>
    <w:rsid w:val="00EC32A0"/>
    <w:rsid w:val="00ED7A2A"/>
    <w:rsid w:val="00EE6B3A"/>
    <w:rsid w:val="00EF1D7F"/>
    <w:rsid w:val="00F05E4B"/>
    <w:rsid w:val="00F1418D"/>
    <w:rsid w:val="00F16B7D"/>
    <w:rsid w:val="00F227A6"/>
    <w:rsid w:val="00F31170"/>
    <w:rsid w:val="00F31E5F"/>
    <w:rsid w:val="00F36F0D"/>
    <w:rsid w:val="00F42999"/>
    <w:rsid w:val="00F42C87"/>
    <w:rsid w:val="00F51ECD"/>
    <w:rsid w:val="00F57ED1"/>
    <w:rsid w:val="00F6100A"/>
    <w:rsid w:val="00F66565"/>
    <w:rsid w:val="00F8015D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4577E6"/>
  <w15:docId w15:val="{AEC7A84C-CC8F-4414-AF0B-600C57C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B640-C5E7-4BE4-881D-5289E4F0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2017-04-13T07:27:00Z</cp:lastPrinted>
  <dcterms:created xsi:type="dcterms:W3CDTF">2017-04-27T08:31:00Z</dcterms:created>
  <dcterms:modified xsi:type="dcterms:W3CDTF">2017-04-27T13:41:00Z</dcterms:modified>
</cp:coreProperties>
</file>