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75118" w:rsidP="00475118">
            <w:pPr>
              <w:suppressAutoHyphens w:val="0"/>
              <w:spacing w:after="20"/>
              <w:jc w:val="right"/>
            </w:pPr>
            <w:r w:rsidRPr="00475118">
              <w:rPr>
                <w:sz w:val="40"/>
              </w:rPr>
              <w:t>ECE</w:t>
            </w:r>
            <w:r>
              <w:t>/TRANS/WP.15/AC.1/2019/48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75118" w:rsidP="00475118">
            <w:pPr>
              <w:spacing w:before="240"/>
            </w:pPr>
            <w:r>
              <w:t>Distr.: General</w:t>
            </w:r>
          </w:p>
          <w:p w:rsidR="00475118" w:rsidRDefault="00475118" w:rsidP="00475118">
            <w:pPr>
              <w:suppressAutoHyphens w:val="0"/>
            </w:pPr>
            <w:r>
              <w:t>28 June 2019</w:t>
            </w:r>
          </w:p>
          <w:p w:rsidR="00475118" w:rsidRDefault="00475118" w:rsidP="00475118">
            <w:pPr>
              <w:suppressAutoHyphens w:val="0"/>
            </w:pPr>
            <w:r>
              <w:t>English</w:t>
            </w:r>
          </w:p>
          <w:p w:rsidR="00475118" w:rsidRDefault="00475118" w:rsidP="00475118">
            <w:pPr>
              <w:suppressAutoHyphens w:val="0"/>
            </w:pPr>
            <w:r>
              <w:t>Original: French</w:t>
            </w:r>
          </w:p>
        </w:tc>
      </w:tr>
    </w:tbl>
    <w:p w:rsidR="0037439C" w:rsidRPr="00E0079D" w:rsidRDefault="0037439C" w:rsidP="0037439C">
      <w:pPr>
        <w:spacing w:before="120"/>
        <w:rPr>
          <w:b/>
          <w:sz w:val="28"/>
          <w:szCs w:val="28"/>
          <w:lang w:val="en-CA"/>
        </w:rPr>
      </w:pPr>
      <w:r w:rsidRPr="00E0079D">
        <w:rPr>
          <w:b/>
          <w:bCs/>
          <w:sz w:val="28"/>
          <w:szCs w:val="28"/>
          <w:lang w:val="en-CA"/>
        </w:rPr>
        <w:t>Economic Commission for Europe</w:t>
      </w:r>
    </w:p>
    <w:p w:rsidR="0037439C" w:rsidRPr="00E0079D" w:rsidRDefault="0037439C" w:rsidP="0037439C">
      <w:pPr>
        <w:spacing w:before="120"/>
        <w:rPr>
          <w:sz w:val="28"/>
          <w:szCs w:val="28"/>
          <w:lang w:val="en-CA"/>
        </w:rPr>
      </w:pPr>
      <w:r w:rsidRPr="00E0079D">
        <w:rPr>
          <w:sz w:val="28"/>
          <w:szCs w:val="28"/>
          <w:lang w:val="en-CA"/>
        </w:rPr>
        <w:t>Inland Transport Committee</w:t>
      </w:r>
    </w:p>
    <w:p w:rsidR="0037439C" w:rsidRPr="00E0079D" w:rsidRDefault="0037439C" w:rsidP="0037439C">
      <w:pPr>
        <w:spacing w:before="120"/>
        <w:rPr>
          <w:b/>
          <w:sz w:val="24"/>
          <w:szCs w:val="24"/>
          <w:lang w:val="en-CA"/>
        </w:rPr>
      </w:pPr>
      <w:r w:rsidRPr="00E0079D">
        <w:rPr>
          <w:b/>
          <w:bCs/>
          <w:sz w:val="24"/>
          <w:szCs w:val="24"/>
          <w:lang w:val="en-CA"/>
        </w:rPr>
        <w:t>Working Party on the Transport of Dangerous Goods</w:t>
      </w:r>
    </w:p>
    <w:p w:rsidR="0037439C" w:rsidRPr="00BF4680" w:rsidRDefault="0037439C" w:rsidP="0037439C">
      <w:pPr>
        <w:spacing w:before="120"/>
        <w:rPr>
          <w:b/>
          <w:lang w:val="en-CA"/>
        </w:rPr>
      </w:pPr>
      <w:r w:rsidRPr="00BF4680">
        <w:rPr>
          <w:b/>
          <w:bCs/>
          <w:lang w:val="en-CA"/>
        </w:rPr>
        <w:t xml:space="preserve">Joint Meeting of the RID Committee of Experts and the </w:t>
      </w:r>
      <w:r>
        <w:rPr>
          <w:b/>
          <w:bCs/>
          <w:lang w:val="en-CA"/>
        </w:rPr>
        <w:br/>
      </w:r>
      <w:r w:rsidRPr="00BF4680">
        <w:rPr>
          <w:b/>
          <w:bCs/>
          <w:lang w:val="en-CA"/>
        </w:rPr>
        <w:t>Working Party on the Transport of Dangerous Goods</w:t>
      </w:r>
    </w:p>
    <w:p w:rsidR="0037439C" w:rsidRPr="00BF4680" w:rsidRDefault="0037439C" w:rsidP="0037439C">
      <w:pPr>
        <w:rPr>
          <w:lang w:val="en-CA"/>
        </w:rPr>
      </w:pPr>
      <w:r w:rsidRPr="00BF4680">
        <w:rPr>
          <w:lang w:val="en-CA"/>
        </w:rPr>
        <w:t>Geneva, 17–27 September 2019</w:t>
      </w:r>
    </w:p>
    <w:p w:rsidR="0037439C" w:rsidRPr="00BF4680" w:rsidRDefault="0037439C" w:rsidP="0037439C">
      <w:pPr>
        <w:rPr>
          <w:lang w:val="en-CA"/>
        </w:rPr>
      </w:pPr>
      <w:r w:rsidRPr="00BF4680">
        <w:rPr>
          <w:lang w:val="en-CA"/>
        </w:rPr>
        <w:t>Item 5 (b) of the provisional agenda</w:t>
      </w:r>
    </w:p>
    <w:p w:rsidR="0037439C" w:rsidRPr="00BF4680" w:rsidRDefault="0037439C" w:rsidP="0037439C">
      <w:pPr>
        <w:rPr>
          <w:b/>
          <w:bCs/>
          <w:lang w:val="en-CA"/>
        </w:rPr>
      </w:pPr>
      <w:r w:rsidRPr="00BF4680">
        <w:rPr>
          <w:b/>
          <w:bCs/>
          <w:lang w:val="en-CA"/>
        </w:rPr>
        <w:t>New proposals</w:t>
      </w:r>
    </w:p>
    <w:p w:rsidR="0037439C" w:rsidRPr="00BF4680" w:rsidRDefault="0037439C" w:rsidP="0037439C">
      <w:pPr>
        <w:pStyle w:val="HChG"/>
        <w:spacing w:before="240" w:after="120"/>
        <w:rPr>
          <w:lang w:val="en-CA"/>
        </w:rPr>
      </w:pPr>
      <w:r w:rsidRPr="00BF4680">
        <w:rPr>
          <w:lang w:val="en-CA"/>
        </w:rPr>
        <w:tab/>
      </w:r>
      <w:r w:rsidRPr="00BF4680">
        <w:rPr>
          <w:lang w:val="en-CA"/>
        </w:rPr>
        <w:tab/>
      </w:r>
      <w:r w:rsidRPr="00BF4680">
        <w:rPr>
          <w:bCs/>
          <w:lang w:val="en-CA"/>
        </w:rPr>
        <w:t xml:space="preserve">Updating of references to UIC technical </w:t>
      </w:r>
      <w:r>
        <w:rPr>
          <w:bCs/>
          <w:lang w:val="en-CA"/>
        </w:rPr>
        <w:t>literature</w:t>
      </w:r>
      <w:r w:rsidRPr="00BF4680">
        <w:rPr>
          <w:bCs/>
          <w:lang w:val="en-CA"/>
        </w:rPr>
        <w:t xml:space="preserve"> </w:t>
      </w:r>
      <w:r>
        <w:rPr>
          <w:bCs/>
          <w:lang w:val="en-CA"/>
        </w:rPr>
        <w:t>on</w:t>
      </w:r>
      <w:r w:rsidRPr="00BF4680">
        <w:rPr>
          <w:bCs/>
          <w:lang w:val="en-CA"/>
        </w:rPr>
        <w:t xml:space="preserve"> combined transport</w:t>
      </w:r>
    </w:p>
    <w:p w:rsidR="0037439C" w:rsidRDefault="0037439C" w:rsidP="0037439C">
      <w:pPr>
        <w:pStyle w:val="H1G"/>
        <w:rPr>
          <w:b w:val="0"/>
          <w:bCs/>
          <w:sz w:val="20"/>
          <w:lang w:val="en-CA"/>
        </w:rPr>
      </w:pPr>
      <w:r w:rsidRPr="00BF4680">
        <w:rPr>
          <w:lang w:val="en-CA"/>
        </w:rPr>
        <w:tab/>
      </w:r>
      <w:r w:rsidRPr="00BF4680">
        <w:rPr>
          <w:lang w:val="en-CA"/>
        </w:rPr>
        <w:tab/>
      </w:r>
      <w:r w:rsidRPr="00BF4680">
        <w:rPr>
          <w:bCs/>
          <w:lang w:val="en-CA"/>
        </w:rPr>
        <w:t>Transmitted by the International Union of Railways (UIC)</w:t>
      </w:r>
      <w:r w:rsidRPr="00F306C9">
        <w:rPr>
          <w:rStyle w:val="FootnoteReference"/>
          <w:b w:val="0"/>
          <w:bCs/>
          <w:sz w:val="20"/>
          <w:szCs w:val="22"/>
          <w:vertAlign w:val="baseline"/>
        </w:rPr>
        <w:footnoteReference w:customMarkFollows="1" w:id="1"/>
        <w:t>*,</w:t>
      </w:r>
      <w:r w:rsidRPr="00F306C9">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A76A2" w:rsidTr="00FA76A2">
        <w:trPr>
          <w:jc w:val="center"/>
        </w:trPr>
        <w:tc>
          <w:tcPr>
            <w:tcW w:w="9637" w:type="dxa"/>
            <w:tcBorders>
              <w:bottom w:val="nil"/>
            </w:tcBorders>
          </w:tcPr>
          <w:p w:rsidR="00FA76A2" w:rsidRPr="00FA76A2" w:rsidRDefault="00FA76A2" w:rsidP="00FA76A2">
            <w:pPr>
              <w:tabs>
                <w:tab w:val="left" w:pos="255"/>
              </w:tabs>
              <w:suppressAutoHyphens w:val="0"/>
              <w:spacing w:before="240" w:after="120"/>
              <w:rPr>
                <w:sz w:val="24"/>
                <w:lang w:val="en-CA"/>
              </w:rPr>
            </w:pPr>
            <w:r>
              <w:rPr>
                <w:lang w:val="en-CA"/>
              </w:rPr>
              <w:tab/>
            </w:r>
            <w:r>
              <w:rPr>
                <w:i/>
                <w:sz w:val="24"/>
                <w:lang w:val="en-CA"/>
              </w:rPr>
              <w:t>Summary</w:t>
            </w:r>
          </w:p>
        </w:tc>
      </w:tr>
      <w:tr w:rsidR="00FA76A2" w:rsidTr="00FA76A2">
        <w:trPr>
          <w:jc w:val="center"/>
        </w:trPr>
        <w:tc>
          <w:tcPr>
            <w:tcW w:w="9637" w:type="dxa"/>
            <w:tcBorders>
              <w:top w:val="nil"/>
              <w:bottom w:val="nil"/>
            </w:tcBorders>
            <w:shd w:val="clear" w:color="auto" w:fill="auto"/>
          </w:tcPr>
          <w:p w:rsidR="00FA76A2" w:rsidRDefault="001F5418" w:rsidP="001F5418">
            <w:pPr>
              <w:pStyle w:val="SingleTxtG"/>
              <w:spacing w:after="60"/>
              <w:ind w:left="2552" w:hanging="2268"/>
              <w:rPr>
                <w:lang w:val="en-CA"/>
              </w:rPr>
            </w:pPr>
            <w:r w:rsidRPr="00BF4680">
              <w:rPr>
                <w:b/>
                <w:bCs/>
                <w:lang w:val="en-CA"/>
              </w:rPr>
              <w:t xml:space="preserve">Executive </w:t>
            </w:r>
            <w:r w:rsidRPr="00FA76A2">
              <w:rPr>
                <w:rFonts w:eastAsia="Times New Roman"/>
                <w:b/>
                <w:szCs w:val="22"/>
                <w:lang w:eastAsia="en-US"/>
              </w:rPr>
              <w:t>summary</w:t>
            </w:r>
            <w:r w:rsidRPr="001F5418">
              <w:rPr>
                <w:lang w:val="en-CA"/>
              </w:rPr>
              <w:t>:</w:t>
            </w:r>
            <w:r w:rsidRPr="00BF4680">
              <w:rPr>
                <w:lang w:val="en-CA"/>
              </w:rPr>
              <w:tab/>
              <w:t xml:space="preserve">The purpose of this proposal is to update the references to UIC technical </w:t>
            </w:r>
            <w:r>
              <w:rPr>
                <w:lang w:val="en-CA"/>
              </w:rPr>
              <w:t>literature</w:t>
            </w:r>
            <w:r w:rsidRPr="00BF4680">
              <w:rPr>
                <w:lang w:val="en-CA"/>
              </w:rPr>
              <w:t xml:space="preserve"> on combined transport. Since the 2014 Joint Meeting in Bern</w:t>
            </w:r>
            <w:r>
              <w:rPr>
                <w:lang w:val="en-CA"/>
              </w:rPr>
              <w:t>,</w:t>
            </w:r>
            <w:r w:rsidRPr="00BF4680">
              <w:rPr>
                <w:lang w:val="en-CA"/>
              </w:rPr>
              <w:t xml:space="preserve"> where the subject was discussed, UIC </w:t>
            </w:r>
            <w:r>
              <w:rPr>
                <w:lang w:val="en-CA"/>
              </w:rPr>
              <w:t>literature</w:t>
            </w:r>
            <w:r w:rsidRPr="00BF4680">
              <w:rPr>
                <w:lang w:val="en-CA"/>
              </w:rPr>
              <w:t xml:space="preserve"> has developed in form and content within the framework of ongoing dialogue with stakeholders. This evolution is part of the UIC plan to transform UIC leaflets into IRS (International Railway Solutions) in order to take into account </w:t>
            </w:r>
            <w:r>
              <w:rPr>
                <w:lang w:val="en-CA"/>
              </w:rPr>
              <w:t>changes in</w:t>
            </w:r>
            <w:r w:rsidRPr="00BF4680">
              <w:rPr>
                <w:lang w:val="en-CA"/>
              </w:rPr>
              <w:t xml:space="preserve"> in European and international railway legislation and to ensure that UIC </w:t>
            </w:r>
            <w:r>
              <w:rPr>
                <w:lang w:val="en-CA"/>
              </w:rPr>
              <w:t>literature</w:t>
            </w:r>
            <w:r w:rsidRPr="00BF4680">
              <w:rPr>
                <w:lang w:val="en-CA"/>
              </w:rPr>
              <w:t xml:space="preserve"> is consistent with the ISO and EN standards established by the standardization bodies.</w:t>
            </w:r>
          </w:p>
        </w:tc>
      </w:tr>
      <w:tr w:rsidR="00FA76A2" w:rsidTr="00FA76A2">
        <w:trPr>
          <w:jc w:val="center"/>
        </w:trPr>
        <w:tc>
          <w:tcPr>
            <w:tcW w:w="9637" w:type="dxa"/>
            <w:tcBorders>
              <w:top w:val="nil"/>
              <w:bottom w:val="nil"/>
            </w:tcBorders>
            <w:shd w:val="clear" w:color="auto" w:fill="auto"/>
          </w:tcPr>
          <w:p w:rsidR="00FA76A2" w:rsidRDefault="001F5418" w:rsidP="001F5418">
            <w:pPr>
              <w:pStyle w:val="SingleTxtG"/>
              <w:spacing w:after="60"/>
              <w:ind w:left="2552" w:hanging="2268"/>
              <w:rPr>
                <w:lang w:val="en-CA"/>
              </w:rPr>
            </w:pPr>
            <w:r w:rsidRPr="00BF4680">
              <w:rPr>
                <w:b/>
                <w:bCs/>
                <w:lang w:val="en-CA"/>
              </w:rPr>
              <w:t>Action to be taken</w:t>
            </w:r>
            <w:r w:rsidRPr="001F5418">
              <w:rPr>
                <w:lang w:val="en-CA"/>
              </w:rPr>
              <w:t>:</w:t>
            </w:r>
            <w:r w:rsidRPr="00BF4680">
              <w:rPr>
                <w:lang w:val="en-CA"/>
              </w:rPr>
              <w:tab/>
            </w:r>
            <w:r>
              <w:rPr>
                <w:lang w:val="en-CA"/>
              </w:rPr>
              <w:t>Amend</w:t>
            </w:r>
            <w:r w:rsidRPr="00BF4680">
              <w:rPr>
                <w:lang w:val="en-CA"/>
              </w:rPr>
              <w:t xml:space="preserve"> the text of 6.11.4.1 and 7.1.3 of RID/ADR where reference is made to UIC leaflets.</w:t>
            </w:r>
          </w:p>
        </w:tc>
      </w:tr>
      <w:tr w:rsidR="00FA76A2" w:rsidTr="00FA76A2">
        <w:trPr>
          <w:jc w:val="center"/>
        </w:trPr>
        <w:tc>
          <w:tcPr>
            <w:tcW w:w="9637" w:type="dxa"/>
            <w:tcBorders>
              <w:top w:val="nil"/>
              <w:bottom w:val="nil"/>
            </w:tcBorders>
            <w:shd w:val="clear" w:color="auto" w:fill="auto"/>
          </w:tcPr>
          <w:p w:rsidR="00FA76A2" w:rsidRDefault="001F5418" w:rsidP="001F5418">
            <w:pPr>
              <w:pStyle w:val="SingleTxtG"/>
              <w:spacing w:after="60"/>
              <w:ind w:left="2552" w:hanging="2268"/>
              <w:rPr>
                <w:lang w:val="en-CA"/>
              </w:rPr>
            </w:pPr>
            <w:r w:rsidRPr="00BF4680">
              <w:rPr>
                <w:b/>
                <w:bCs/>
                <w:lang w:val="en-CA"/>
              </w:rPr>
              <w:t>Document</w:t>
            </w:r>
            <w:r w:rsidRPr="001F5418">
              <w:rPr>
                <w:b/>
                <w:bCs/>
                <w:lang w:val="en-CA"/>
              </w:rPr>
              <w:t>s</w:t>
            </w:r>
            <w:r w:rsidRPr="001F5418">
              <w:t>:</w:t>
            </w:r>
            <w:r w:rsidRPr="00BF4680">
              <w:rPr>
                <w:lang w:val="en-CA"/>
              </w:rPr>
              <w:tab/>
              <w:t>ECE/TRANS/WP.15/AC.1/134 (New proposals, paras. 40–42)</w:t>
            </w:r>
          </w:p>
        </w:tc>
      </w:tr>
      <w:tr w:rsidR="00FA76A2" w:rsidTr="00FA76A2">
        <w:trPr>
          <w:jc w:val="center"/>
        </w:trPr>
        <w:tc>
          <w:tcPr>
            <w:tcW w:w="9637" w:type="dxa"/>
            <w:tcBorders>
              <w:top w:val="nil"/>
            </w:tcBorders>
          </w:tcPr>
          <w:p w:rsidR="00FA76A2" w:rsidRDefault="00FA76A2" w:rsidP="00FA76A2">
            <w:pPr>
              <w:suppressAutoHyphens w:val="0"/>
              <w:rPr>
                <w:lang w:val="en-CA"/>
              </w:rPr>
            </w:pPr>
          </w:p>
        </w:tc>
      </w:tr>
    </w:tbl>
    <w:p w:rsidR="0037439C" w:rsidRPr="00BF4680" w:rsidRDefault="0037439C" w:rsidP="00BF67B7">
      <w:pPr>
        <w:pStyle w:val="HChG"/>
        <w:rPr>
          <w:lang w:val="en-CA"/>
        </w:rPr>
      </w:pPr>
      <w:r w:rsidRPr="00BF4680">
        <w:rPr>
          <w:lang w:val="en-CA"/>
        </w:rPr>
        <w:tab/>
      </w:r>
      <w:r w:rsidRPr="00BF4680">
        <w:rPr>
          <w:lang w:val="en-CA"/>
        </w:rPr>
        <w:tab/>
      </w:r>
      <w:r w:rsidRPr="00BF4680">
        <w:rPr>
          <w:bCs/>
          <w:lang w:val="en-CA"/>
        </w:rPr>
        <w:t>Introduction</w:t>
      </w:r>
    </w:p>
    <w:p w:rsidR="0037439C" w:rsidRPr="00BF4680" w:rsidRDefault="0037439C" w:rsidP="008849C6">
      <w:pPr>
        <w:pStyle w:val="SingleTxtG"/>
        <w:rPr>
          <w:lang w:val="en-CA"/>
        </w:rPr>
      </w:pPr>
      <w:r w:rsidRPr="00BF4680">
        <w:rPr>
          <w:lang w:val="en-CA"/>
        </w:rPr>
        <w:t>1.</w:t>
      </w:r>
      <w:r w:rsidRPr="00BF4680">
        <w:rPr>
          <w:lang w:val="en-CA"/>
        </w:rPr>
        <w:tab/>
        <w:t xml:space="preserve">The regulations and technical </w:t>
      </w:r>
      <w:r>
        <w:rPr>
          <w:lang w:val="en-CA"/>
        </w:rPr>
        <w:t>literature</w:t>
      </w:r>
      <w:r w:rsidRPr="00BF4680">
        <w:rPr>
          <w:lang w:val="en-CA"/>
        </w:rPr>
        <w:t xml:space="preserve"> relating to combined transport </w:t>
      </w:r>
      <w:r>
        <w:rPr>
          <w:lang w:val="en-CA"/>
        </w:rPr>
        <w:t>are evolving</w:t>
      </w:r>
      <w:r w:rsidRPr="00BF4680">
        <w:rPr>
          <w:lang w:val="en-CA"/>
        </w:rPr>
        <w:t xml:space="preserve"> to facilitate the development of combined transport. Reference to technical </w:t>
      </w:r>
      <w:r>
        <w:rPr>
          <w:lang w:val="en-CA"/>
        </w:rPr>
        <w:t>literature</w:t>
      </w:r>
      <w:r w:rsidRPr="00BF4680">
        <w:rPr>
          <w:lang w:val="en-CA"/>
        </w:rPr>
        <w:t xml:space="preserve"> </w:t>
      </w:r>
      <w:r w:rsidRPr="00BF4680">
        <w:rPr>
          <w:lang w:val="en-CA"/>
        </w:rPr>
        <w:lastRenderedPageBreak/>
        <w:t>prepared by UIC dates back to the 1990s, when UIC was the main source of international rail standards. This is no longer the case today.</w:t>
      </w:r>
    </w:p>
    <w:p w:rsidR="0037439C" w:rsidRPr="00BF4680" w:rsidRDefault="0037439C" w:rsidP="008849C6">
      <w:pPr>
        <w:pStyle w:val="SingleTxtG"/>
        <w:rPr>
          <w:lang w:val="en-CA"/>
        </w:rPr>
      </w:pPr>
      <w:r w:rsidRPr="00BF4680">
        <w:rPr>
          <w:lang w:val="en-CA"/>
        </w:rPr>
        <w:t>2.</w:t>
      </w:r>
      <w:r w:rsidRPr="00BF4680">
        <w:rPr>
          <w:lang w:val="en-CA"/>
        </w:rPr>
        <w:tab/>
        <w:t xml:space="preserve">It is important to note that the technical </w:t>
      </w:r>
      <w:r>
        <w:rPr>
          <w:lang w:val="en-CA"/>
        </w:rPr>
        <w:t>literature</w:t>
      </w:r>
      <w:r w:rsidRPr="00BF4680">
        <w:rPr>
          <w:lang w:val="en-CA"/>
        </w:rPr>
        <w:t xml:space="preserve"> prepared by UIC is not specific to the transport of dangerous goods. The </w:t>
      </w:r>
      <w:r>
        <w:rPr>
          <w:lang w:val="en-CA"/>
        </w:rPr>
        <w:t>literature</w:t>
      </w:r>
      <w:r w:rsidRPr="00BF4680">
        <w:rPr>
          <w:lang w:val="en-CA"/>
        </w:rPr>
        <w:t xml:space="preserve"> concerns intermodal freight transport in general. It has been referenced in RID and ADR for its contribution to the safety of this type of loading on wagons.</w:t>
      </w:r>
    </w:p>
    <w:p w:rsidR="0037439C" w:rsidRPr="00BF4680" w:rsidRDefault="0037439C" w:rsidP="008849C6">
      <w:pPr>
        <w:pStyle w:val="SingleTxtG"/>
        <w:rPr>
          <w:lang w:val="en-CA"/>
        </w:rPr>
      </w:pPr>
      <w:r w:rsidRPr="00BF4680">
        <w:rPr>
          <w:lang w:val="en-CA"/>
        </w:rPr>
        <w:t>3.</w:t>
      </w:r>
      <w:r w:rsidRPr="00BF4680">
        <w:rPr>
          <w:lang w:val="en-CA"/>
        </w:rPr>
        <w:tab/>
        <w:t>UIC also publishes loading guidelines to ensure that goods are properly stowed on wagons. They</w:t>
      </w:r>
      <w:r>
        <w:rPr>
          <w:lang w:val="en-CA"/>
        </w:rPr>
        <w:t>,</w:t>
      </w:r>
      <w:r w:rsidRPr="00BF4680">
        <w:rPr>
          <w:lang w:val="en-CA"/>
        </w:rPr>
        <w:t xml:space="preserve"> </w:t>
      </w:r>
      <w:r>
        <w:rPr>
          <w:lang w:val="en-CA"/>
        </w:rPr>
        <w:t xml:space="preserve">too, </w:t>
      </w:r>
      <w:r w:rsidRPr="00BF4680">
        <w:rPr>
          <w:lang w:val="en-CA"/>
        </w:rPr>
        <w:t xml:space="preserve">are </w:t>
      </w:r>
      <w:r>
        <w:rPr>
          <w:lang w:val="en-CA"/>
        </w:rPr>
        <w:t>cited</w:t>
      </w:r>
      <w:r w:rsidRPr="00BF4680">
        <w:rPr>
          <w:lang w:val="en-CA"/>
        </w:rPr>
        <w:t xml:space="preserve"> in the </w:t>
      </w:r>
      <w:r>
        <w:rPr>
          <w:lang w:val="en-CA"/>
        </w:rPr>
        <w:t>provisions</w:t>
      </w:r>
      <w:r w:rsidRPr="00BF4680">
        <w:rPr>
          <w:lang w:val="en-CA"/>
        </w:rPr>
        <w:t xml:space="preserve"> on containers and as best practices in RID (7.5.7.1 Handling and stowage). </w:t>
      </w:r>
    </w:p>
    <w:p w:rsidR="0037439C" w:rsidRPr="00BF4680" w:rsidRDefault="0037439C" w:rsidP="008849C6">
      <w:pPr>
        <w:pStyle w:val="SingleTxtG"/>
        <w:rPr>
          <w:lang w:val="en-CA"/>
        </w:rPr>
      </w:pPr>
      <w:r w:rsidRPr="00BF4680">
        <w:rPr>
          <w:lang w:val="en-CA"/>
        </w:rPr>
        <w:t>4.</w:t>
      </w:r>
      <w:r w:rsidRPr="00BF4680">
        <w:rPr>
          <w:lang w:val="en-CA"/>
        </w:rPr>
        <w:tab/>
        <w:t>UIC</w:t>
      </w:r>
      <w:r w:rsidR="00915CE3">
        <w:rPr>
          <w:lang w:val="en-CA"/>
        </w:rPr>
        <w:t>’</w:t>
      </w:r>
      <w:r w:rsidRPr="00BF4680">
        <w:rPr>
          <w:lang w:val="en-CA"/>
        </w:rPr>
        <w:t xml:space="preserve">s technical </w:t>
      </w:r>
      <w:r>
        <w:rPr>
          <w:lang w:val="en-CA"/>
        </w:rPr>
        <w:t>literature</w:t>
      </w:r>
      <w:r w:rsidRPr="00BF4680">
        <w:rPr>
          <w:lang w:val="en-CA"/>
        </w:rPr>
        <w:t xml:space="preserve"> on combined transport in 2020 will be based on two IRS </w:t>
      </w:r>
      <w:r>
        <w:rPr>
          <w:lang w:val="en-CA"/>
        </w:rPr>
        <w:t>(International Railway Solutions)</w:t>
      </w:r>
      <w:r w:rsidRPr="00BF4680">
        <w:rPr>
          <w:lang w:val="en-CA"/>
        </w:rPr>
        <w:t>, as follows:</w:t>
      </w:r>
    </w:p>
    <w:p w:rsidR="0037439C" w:rsidRPr="00BF4680" w:rsidRDefault="00D305E9" w:rsidP="00D305E9">
      <w:pPr>
        <w:pStyle w:val="Bullet1G"/>
        <w:numPr>
          <w:ilvl w:val="0"/>
          <w:numId w:val="0"/>
        </w:numPr>
        <w:tabs>
          <w:tab w:val="left" w:pos="1701"/>
        </w:tabs>
        <w:ind w:left="1701" w:hanging="170"/>
        <w:rPr>
          <w:lang w:val="en-CA"/>
        </w:rPr>
      </w:pPr>
      <w:r w:rsidRPr="00BF4680">
        <w:rPr>
          <w:lang w:val="en-CA"/>
        </w:rPr>
        <w:t>•</w:t>
      </w:r>
      <w:r w:rsidRPr="00BF4680">
        <w:rPr>
          <w:lang w:val="en-CA"/>
        </w:rPr>
        <w:tab/>
      </w:r>
      <w:r w:rsidR="0037439C" w:rsidRPr="00BF4680">
        <w:rPr>
          <w:lang w:val="en-CA"/>
        </w:rPr>
        <w:t xml:space="preserve">IRS 50592: Intermodal Transport Units (other than semi-trailers) for vertical transhipment and suitable for carriage on wagons – Minimum requirements </w:t>
      </w:r>
    </w:p>
    <w:p w:rsidR="0037439C" w:rsidRPr="00BF4680" w:rsidRDefault="00D305E9" w:rsidP="00D305E9">
      <w:pPr>
        <w:pStyle w:val="Bullet1G"/>
        <w:numPr>
          <w:ilvl w:val="0"/>
          <w:numId w:val="0"/>
        </w:numPr>
        <w:tabs>
          <w:tab w:val="left" w:pos="1701"/>
        </w:tabs>
        <w:ind w:left="1701" w:hanging="170"/>
        <w:rPr>
          <w:lang w:val="en-CA"/>
        </w:rPr>
      </w:pPr>
      <w:r w:rsidRPr="00BF4680">
        <w:rPr>
          <w:lang w:val="en-CA"/>
        </w:rPr>
        <w:t>•</w:t>
      </w:r>
      <w:r w:rsidRPr="00BF4680">
        <w:rPr>
          <w:lang w:val="en-CA"/>
        </w:rPr>
        <w:tab/>
      </w:r>
      <w:r w:rsidR="0037439C" w:rsidRPr="00BF4680">
        <w:rPr>
          <w:lang w:val="en-CA"/>
        </w:rPr>
        <w:t xml:space="preserve">IRS 50591 (in progress): Roller units for horizontal transhipment – Technical conditions governing their use in international traffic </w:t>
      </w:r>
    </w:p>
    <w:p w:rsidR="0037439C" w:rsidRPr="00BF4680" w:rsidRDefault="0037439C" w:rsidP="008849C6">
      <w:pPr>
        <w:pStyle w:val="SingleTxtG"/>
        <w:rPr>
          <w:lang w:val="en-CA"/>
        </w:rPr>
      </w:pPr>
      <w:r w:rsidRPr="00BF4680">
        <w:rPr>
          <w:lang w:val="en-CA"/>
        </w:rPr>
        <w:t>5.</w:t>
      </w:r>
      <w:r w:rsidRPr="00BF4680">
        <w:rPr>
          <w:lang w:val="en-CA"/>
        </w:rPr>
        <w:tab/>
        <w:t>The scope of the IRS is specified in accordance with European and international standards. The IRS extract that appears in informal document INF.3 provides most of the information on the subject and a bibliography on standards.</w:t>
      </w:r>
    </w:p>
    <w:p w:rsidR="0037439C" w:rsidRPr="009C7421" w:rsidRDefault="0037439C" w:rsidP="00BF67B7">
      <w:pPr>
        <w:pStyle w:val="HChG"/>
        <w:rPr>
          <w:lang w:val="en-CA"/>
        </w:rPr>
      </w:pPr>
      <w:r w:rsidRPr="00BF4680">
        <w:rPr>
          <w:lang w:val="en-CA"/>
        </w:rPr>
        <w:tab/>
      </w:r>
      <w:r w:rsidRPr="00BF4680">
        <w:rPr>
          <w:lang w:val="en-CA"/>
        </w:rPr>
        <w:tab/>
      </w:r>
      <w:r w:rsidRPr="009C7421">
        <w:rPr>
          <w:lang w:val="en-CA"/>
        </w:rPr>
        <w:t xml:space="preserve">Proposals </w:t>
      </w:r>
    </w:p>
    <w:p w:rsidR="0037439C" w:rsidRPr="00BF4680" w:rsidRDefault="0037439C" w:rsidP="00BF67B7">
      <w:pPr>
        <w:pStyle w:val="SingleTxtG"/>
        <w:rPr>
          <w:lang w:val="en-CA"/>
        </w:rPr>
      </w:pPr>
      <w:r w:rsidRPr="00BF4680">
        <w:rPr>
          <w:lang w:val="en-CA"/>
        </w:rPr>
        <w:t>Make the following amendments:</w:t>
      </w:r>
    </w:p>
    <w:p w:rsidR="0037439C" w:rsidRPr="00BF67B7" w:rsidRDefault="00915CE3" w:rsidP="00BF67B7">
      <w:pPr>
        <w:pStyle w:val="SingleTxtG"/>
        <w:rPr>
          <w:b/>
          <w:bCs/>
          <w:sz w:val="22"/>
          <w:szCs w:val="22"/>
          <w:lang w:val="en-CA"/>
        </w:rPr>
      </w:pPr>
      <w:r w:rsidRPr="00BF67B7">
        <w:rPr>
          <w:b/>
          <w:bCs/>
          <w:lang w:val="en-CA"/>
        </w:rPr>
        <w:t>“</w:t>
      </w:r>
      <w:r w:rsidR="0037439C" w:rsidRPr="00BF67B7">
        <w:rPr>
          <w:b/>
          <w:bCs/>
          <w:lang w:val="en-CA"/>
        </w:rPr>
        <w:t xml:space="preserve">6.11.4.1 (…) </w:t>
      </w:r>
    </w:p>
    <w:p w:rsidR="0037439C" w:rsidRPr="00BF4680" w:rsidRDefault="0037439C" w:rsidP="00E44B4A">
      <w:pPr>
        <w:pStyle w:val="SingleTxtG"/>
        <w:rPr>
          <w:lang w:val="en-CA"/>
        </w:rPr>
      </w:pPr>
      <w:r w:rsidRPr="00BF4680">
        <w:rPr>
          <w:b/>
          <w:bCs/>
          <w:lang w:val="en-CA"/>
        </w:rPr>
        <w:t>NOTE:</w:t>
      </w:r>
      <w:r w:rsidRPr="00BF4680">
        <w:rPr>
          <w:lang w:val="en-CA"/>
        </w:rPr>
        <w:tab/>
        <w:t xml:space="preserve">These bulk containers also include containers conforming to </w:t>
      </w:r>
      <w:r w:rsidRPr="00BF4680">
        <w:rPr>
          <w:strike/>
          <w:lang w:val="en-CA"/>
        </w:rPr>
        <w:t>the UIC leaflets 591, 592 and 592- 2 to 592-4</w:t>
      </w:r>
      <w:r w:rsidRPr="00BF4680">
        <w:rPr>
          <w:lang w:val="en-CA"/>
        </w:rPr>
        <w:t xml:space="preserve"> </w:t>
      </w:r>
      <w:r w:rsidRPr="00BF4680">
        <w:rPr>
          <w:b/>
          <w:bCs/>
          <w:lang w:val="en-CA"/>
        </w:rPr>
        <w:t>IRS 50591 (Roller units for horizontal transhipment – Technical conditions governing their use in international traffic)</w:t>
      </w:r>
      <w:r w:rsidRPr="00B66442">
        <w:rPr>
          <w:lang w:val="en-CA"/>
        </w:rPr>
        <w:t>*</w:t>
      </w:r>
      <w:r w:rsidRPr="00BF4680">
        <w:rPr>
          <w:b/>
          <w:bCs/>
          <w:lang w:val="en-CA"/>
        </w:rPr>
        <w:t xml:space="preserve"> and 50592 (Intermodal Transport Units (other than semi-trailers) for vertical transhipment and suitable for carriage on wagons – Minimum requirements)</w:t>
      </w:r>
      <w:r w:rsidRPr="00B66442">
        <w:rPr>
          <w:lang w:val="en-CA"/>
        </w:rPr>
        <w:t>**</w:t>
      </w:r>
      <w:r w:rsidRPr="00BF4680">
        <w:rPr>
          <w:b/>
          <w:bCs/>
          <w:lang w:val="en-CA"/>
        </w:rPr>
        <w:t xml:space="preserve"> published by UIC </w:t>
      </w:r>
      <w:r w:rsidRPr="00BF4680">
        <w:rPr>
          <w:lang w:val="en-CA"/>
        </w:rPr>
        <w:t xml:space="preserve">as mentioned in 7.1.3 which do not conform to the CSC. </w:t>
      </w:r>
    </w:p>
    <w:p w:rsidR="0037439C" w:rsidRPr="00AA4E71" w:rsidRDefault="0037439C" w:rsidP="00AA4E71">
      <w:pPr>
        <w:pStyle w:val="SingleTxtG"/>
        <w:spacing w:before="120" w:after="0"/>
        <w:ind w:firstLine="170"/>
        <w:jc w:val="left"/>
        <w:rPr>
          <w:b/>
          <w:bCs/>
          <w:lang w:val="en-CA"/>
        </w:rPr>
      </w:pPr>
      <w:r w:rsidRPr="00AA4E71">
        <w:rPr>
          <w:sz w:val="18"/>
          <w:lang w:eastAsia="en-US"/>
        </w:rPr>
        <w:t>*</w:t>
      </w:r>
      <w:r w:rsidRPr="00AA4E71">
        <w:rPr>
          <w:b/>
          <w:bCs/>
          <w:sz w:val="18"/>
          <w:lang w:eastAsia="en-US"/>
        </w:rPr>
        <w:tab/>
        <w:t>1st edition of IRS (International Railway Solution) applicable as from 1 January 2020.</w:t>
      </w:r>
    </w:p>
    <w:p w:rsidR="0037439C" w:rsidRPr="00AA4E71" w:rsidRDefault="0037439C" w:rsidP="00AA4E71">
      <w:pPr>
        <w:pStyle w:val="SingleTxtG"/>
        <w:spacing w:after="240"/>
        <w:ind w:firstLine="170"/>
        <w:jc w:val="left"/>
        <w:rPr>
          <w:b/>
          <w:bCs/>
          <w:sz w:val="18"/>
          <w:lang w:eastAsia="en-US"/>
        </w:rPr>
      </w:pPr>
      <w:r w:rsidRPr="00AA4E71">
        <w:rPr>
          <w:sz w:val="18"/>
          <w:lang w:eastAsia="en-US"/>
        </w:rPr>
        <w:t>**</w:t>
      </w:r>
      <w:r w:rsidRPr="00AA4E71">
        <w:rPr>
          <w:sz w:val="18"/>
          <w:lang w:eastAsia="en-US"/>
        </w:rPr>
        <w:tab/>
      </w:r>
      <w:r w:rsidRPr="00AA4E71">
        <w:rPr>
          <w:b/>
          <w:bCs/>
          <w:sz w:val="18"/>
          <w:lang w:eastAsia="en-US"/>
        </w:rPr>
        <w:t>1st edition of IRS (International Railway Solution) applicable as from 1 January 2019.</w:t>
      </w:r>
    </w:p>
    <w:p w:rsidR="0037439C" w:rsidRPr="00BF4680" w:rsidRDefault="0037439C" w:rsidP="00E44B4A">
      <w:pPr>
        <w:pStyle w:val="SingleTxtG"/>
        <w:rPr>
          <w:lang w:val="en-CA"/>
        </w:rPr>
      </w:pPr>
      <w:r w:rsidRPr="00BF4680">
        <w:rPr>
          <w:lang w:val="en-CA"/>
        </w:rPr>
        <w:t>7.1.3</w:t>
      </w:r>
      <w:r w:rsidRPr="00BF4680">
        <w:rPr>
          <w:lang w:val="en-CA"/>
        </w:rPr>
        <w:tab/>
        <w:t xml:space="preserve">Large containers, portable tanks, MEGCs and tank-containers which meet the definition of </w:t>
      </w:r>
      <w:r w:rsidR="00915CE3">
        <w:rPr>
          <w:lang w:val="en-CA"/>
        </w:rPr>
        <w:t>“</w:t>
      </w:r>
      <w:r w:rsidRPr="00BF4680">
        <w:rPr>
          <w:lang w:val="en-CA"/>
        </w:rPr>
        <w:t>container</w:t>
      </w:r>
      <w:r w:rsidR="00915CE3">
        <w:rPr>
          <w:lang w:val="en-CA"/>
        </w:rPr>
        <w:t>”</w:t>
      </w:r>
      <w:r w:rsidRPr="00BF4680">
        <w:rPr>
          <w:lang w:val="en-CA"/>
        </w:rPr>
        <w:t xml:space="preserve"> given in the CSC (1972), as amended, or in </w:t>
      </w:r>
      <w:r w:rsidRPr="00BF4680">
        <w:rPr>
          <w:strike/>
          <w:lang w:val="en-CA"/>
        </w:rPr>
        <w:t>UIC leaflets 591 (status at 01.10.2007, 3rd edition), 592 (status at 01.10.2013, 2nd edition), 592-2 (status at 01.10.2004, 6th edition), 592-3 (status at 01.01.1998, 2nd edition) and 592-4 (status at 01.05.2007, 3rd edition)</w:t>
      </w:r>
      <w:r w:rsidRPr="00BF4680">
        <w:rPr>
          <w:lang w:val="en-CA"/>
        </w:rPr>
        <w:t xml:space="preserve"> </w:t>
      </w:r>
      <w:r w:rsidRPr="00BF4680">
        <w:rPr>
          <w:b/>
          <w:bCs/>
          <w:lang w:val="en-CA"/>
        </w:rPr>
        <w:t>IRS 50591 (Roller units for horizontal transhipment – Technical conditions governing their use in international traffic)</w:t>
      </w:r>
      <w:r w:rsidR="00A832E0" w:rsidRPr="00A832E0">
        <w:rPr>
          <w:lang w:val="en-CA"/>
        </w:rPr>
        <w:t>*</w:t>
      </w:r>
      <w:r w:rsidRPr="00BF4680">
        <w:rPr>
          <w:b/>
          <w:bCs/>
          <w:lang w:val="en-CA"/>
        </w:rPr>
        <w:t xml:space="preserve"> and 50592 (Intermodal Transport Units (other than semi-trailers) for vertical transhipment and suitable for carriage on wagons – Minimum requirements)</w:t>
      </w:r>
      <w:r w:rsidRPr="007347C8">
        <w:rPr>
          <w:lang w:val="en-CA"/>
        </w:rPr>
        <w:t>**</w:t>
      </w:r>
      <w:r w:rsidRPr="00BF4680">
        <w:rPr>
          <w:b/>
          <w:bCs/>
          <w:lang w:val="en-CA"/>
        </w:rPr>
        <w:t xml:space="preserve"> published by UIC</w:t>
      </w:r>
      <w:r w:rsidRPr="00BF4680">
        <w:rPr>
          <w:lang w:val="en-CA"/>
        </w:rPr>
        <w:t xml:space="preserve"> may not be used to carry dangerous goods unless the large container or the frame of the portable tank, MEGC or tank-container satisfies the provisions of the CSC or of </w:t>
      </w:r>
      <w:r w:rsidRPr="00BF4680">
        <w:rPr>
          <w:strike/>
          <w:lang w:val="en-CA"/>
        </w:rPr>
        <w:t>UIC leaflets 591, 592 and 592-2 to 592-4</w:t>
      </w:r>
      <w:r w:rsidRPr="00BF4680">
        <w:rPr>
          <w:lang w:val="en-CA"/>
        </w:rPr>
        <w:t xml:space="preserve"> </w:t>
      </w:r>
      <w:r w:rsidRPr="009C7421">
        <w:rPr>
          <w:b/>
          <w:bCs/>
          <w:lang w:val="en-CA"/>
        </w:rPr>
        <w:t>IRS 50591 and 50592 of UIC</w:t>
      </w:r>
      <w:r w:rsidRPr="00BF4680">
        <w:rPr>
          <w:lang w:val="en-CA"/>
        </w:rPr>
        <w:t>.</w:t>
      </w:r>
    </w:p>
    <w:p w:rsidR="0037439C" w:rsidRPr="00A832E0" w:rsidRDefault="0037439C" w:rsidP="003C4D8B">
      <w:pPr>
        <w:pStyle w:val="SingleTxtG"/>
        <w:spacing w:before="120" w:after="0"/>
        <w:ind w:firstLine="170"/>
        <w:jc w:val="left"/>
        <w:rPr>
          <w:b/>
          <w:bCs/>
          <w:sz w:val="18"/>
          <w:lang w:eastAsia="en-US"/>
        </w:rPr>
      </w:pPr>
      <w:r w:rsidRPr="003C4D8B">
        <w:rPr>
          <w:sz w:val="18"/>
          <w:lang w:eastAsia="en-US"/>
        </w:rPr>
        <w:t>*</w:t>
      </w:r>
      <w:r w:rsidRPr="00A832E0">
        <w:rPr>
          <w:b/>
          <w:bCs/>
          <w:sz w:val="18"/>
          <w:lang w:eastAsia="en-US"/>
        </w:rPr>
        <w:tab/>
        <w:t>1st edition of IRS (International Railway Solution) applicable as from 1 January 2020.</w:t>
      </w:r>
    </w:p>
    <w:p w:rsidR="0037439C" w:rsidRPr="00A832E0" w:rsidRDefault="0037439C" w:rsidP="003C4D8B">
      <w:pPr>
        <w:pStyle w:val="SingleTxtG"/>
        <w:spacing w:after="240"/>
        <w:ind w:firstLine="170"/>
        <w:jc w:val="left"/>
        <w:rPr>
          <w:b/>
          <w:bCs/>
          <w:sz w:val="18"/>
          <w:lang w:eastAsia="en-US"/>
        </w:rPr>
      </w:pPr>
      <w:r w:rsidRPr="00FA6F02">
        <w:rPr>
          <w:sz w:val="18"/>
          <w:lang w:eastAsia="en-US"/>
        </w:rPr>
        <w:t>**</w:t>
      </w:r>
      <w:r w:rsidRPr="003C4D8B">
        <w:rPr>
          <w:b/>
          <w:bCs/>
          <w:sz w:val="18"/>
          <w:lang w:eastAsia="en-US"/>
        </w:rPr>
        <w:tab/>
      </w:r>
      <w:r w:rsidRPr="00A832E0">
        <w:rPr>
          <w:b/>
          <w:bCs/>
          <w:sz w:val="18"/>
          <w:lang w:eastAsia="en-US"/>
        </w:rPr>
        <w:t>1st edition of IRS (International Railway Solution) applicable as from 1 January 2019.</w:t>
      </w:r>
      <w:r w:rsidR="00915CE3" w:rsidRPr="00A832E0">
        <w:rPr>
          <w:b/>
          <w:bCs/>
          <w:sz w:val="18"/>
          <w:lang w:eastAsia="en-US"/>
        </w:rPr>
        <w:t>”</w:t>
      </w:r>
    </w:p>
    <w:p w:rsidR="0037439C" w:rsidRPr="00BF4680" w:rsidRDefault="0037439C" w:rsidP="008849C6">
      <w:pPr>
        <w:spacing w:before="240"/>
        <w:jc w:val="center"/>
        <w:rPr>
          <w:u w:val="single"/>
          <w:lang w:val="en-CA"/>
        </w:rPr>
      </w:pPr>
      <w:r w:rsidRPr="00BF4680">
        <w:rPr>
          <w:u w:val="single"/>
          <w:lang w:val="en-CA"/>
        </w:rPr>
        <w:tab/>
      </w:r>
      <w:r w:rsidRPr="00BF4680">
        <w:rPr>
          <w:u w:val="single"/>
          <w:lang w:val="en-CA"/>
        </w:rPr>
        <w:tab/>
      </w:r>
      <w:r w:rsidRPr="00BF4680">
        <w:rPr>
          <w:u w:val="single"/>
          <w:lang w:val="en-CA"/>
        </w:rPr>
        <w:tab/>
      </w:r>
    </w:p>
    <w:sectPr w:rsidR="0037439C" w:rsidRPr="00BF468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618" w:rsidRPr="00FB1744" w:rsidRDefault="000B1618" w:rsidP="00FB1744">
      <w:pPr>
        <w:pStyle w:val="Footer"/>
      </w:pPr>
    </w:p>
  </w:endnote>
  <w:endnote w:type="continuationSeparator" w:id="0">
    <w:p w:rsidR="000B1618" w:rsidRPr="00FB1744" w:rsidRDefault="000B161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18" w:rsidRDefault="00475118" w:rsidP="00475118">
    <w:pPr>
      <w:pStyle w:val="Footer"/>
      <w:tabs>
        <w:tab w:val="right" w:pos="9638"/>
      </w:tabs>
    </w:pPr>
    <w:r w:rsidRPr="00475118">
      <w:rPr>
        <w:b/>
        <w:bCs/>
        <w:sz w:val="18"/>
      </w:rPr>
      <w:fldChar w:fldCharType="begin"/>
    </w:r>
    <w:r w:rsidRPr="00475118">
      <w:rPr>
        <w:b/>
        <w:bCs/>
        <w:sz w:val="18"/>
      </w:rPr>
      <w:instrText xml:space="preserve"> PAGE  \* MERGEFORMAT </w:instrText>
    </w:r>
    <w:r w:rsidRPr="00475118">
      <w:rPr>
        <w:b/>
        <w:bCs/>
        <w:sz w:val="18"/>
      </w:rPr>
      <w:fldChar w:fldCharType="separate"/>
    </w:r>
    <w:r w:rsidR="00D305E9">
      <w:rPr>
        <w:b/>
        <w:bCs/>
        <w:noProof/>
        <w:sz w:val="18"/>
      </w:rPr>
      <w:t>2</w:t>
    </w:r>
    <w:r w:rsidRPr="00475118">
      <w:rPr>
        <w:b/>
        <w:bCs/>
        <w:sz w:val="18"/>
      </w:rPr>
      <w:fldChar w:fldCharType="end"/>
    </w:r>
    <w:r>
      <w:tab/>
      <w:t>GE.19-11013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18" w:rsidRDefault="00475118" w:rsidP="00475118">
    <w:pPr>
      <w:pStyle w:val="Footer"/>
      <w:tabs>
        <w:tab w:val="right" w:pos="9638"/>
      </w:tabs>
    </w:pPr>
    <w:r>
      <w:t>GE.19-11013</w:t>
    </w:r>
    <w:r>
      <w:tab/>
    </w:r>
    <w:r w:rsidRPr="00475118">
      <w:rPr>
        <w:b/>
        <w:bCs/>
        <w:sz w:val="18"/>
      </w:rPr>
      <w:fldChar w:fldCharType="begin"/>
    </w:r>
    <w:r w:rsidRPr="00475118">
      <w:rPr>
        <w:b/>
        <w:bCs/>
        <w:sz w:val="18"/>
      </w:rPr>
      <w:instrText xml:space="preserve"> PAGE  \* MERGEFORMAT </w:instrText>
    </w:r>
    <w:r w:rsidRPr="00475118">
      <w:rPr>
        <w:b/>
        <w:bCs/>
        <w:sz w:val="18"/>
      </w:rPr>
      <w:fldChar w:fldCharType="separate"/>
    </w:r>
    <w:r w:rsidR="00190633">
      <w:rPr>
        <w:b/>
        <w:bCs/>
        <w:noProof/>
        <w:sz w:val="18"/>
      </w:rPr>
      <w:t>3</w:t>
    </w:r>
    <w:r w:rsidRPr="004751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475118"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75118" w:rsidRDefault="00475118" w:rsidP="00475118">
    <w:r>
      <w:t>GE.19-</w:t>
    </w:r>
    <w:proofErr w:type="gramStart"/>
    <w:r>
      <w:t>11013  (</w:t>
    </w:r>
    <w:proofErr w:type="gramEnd"/>
    <w:r>
      <w:t>E)</w:t>
    </w:r>
    <w:r w:rsidR="00C849CC">
      <w:t xml:space="preserve">    020719    020719</w:t>
    </w:r>
  </w:p>
  <w:p w:rsidR="00475118" w:rsidRPr="00475118" w:rsidRDefault="00475118" w:rsidP="0047511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618" w:rsidRPr="00FB1744" w:rsidRDefault="000B1618" w:rsidP="00FB1744">
      <w:pPr>
        <w:tabs>
          <w:tab w:val="right" w:pos="2155"/>
        </w:tabs>
        <w:spacing w:after="80" w:line="240" w:lineRule="auto"/>
        <w:ind w:left="680"/>
      </w:pPr>
      <w:r>
        <w:rPr>
          <w:u w:val="single"/>
        </w:rPr>
        <w:tab/>
      </w:r>
    </w:p>
  </w:footnote>
  <w:footnote w:type="continuationSeparator" w:id="0">
    <w:p w:rsidR="000B1618" w:rsidRPr="00FB1744" w:rsidRDefault="000B1618" w:rsidP="00FB1744">
      <w:pPr>
        <w:tabs>
          <w:tab w:val="right" w:pos="2155"/>
        </w:tabs>
        <w:spacing w:after="80" w:line="240" w:lineRule="auto"/>
        <w:ind w:left="680"/>
      </w:pPr>
      <w:r>
        <w:rPr>
          <w:u w:val="single"/>
        </w:rPr>
        <w:tab/>
      </w:r>
    </w:p>
  </w:footnote>
  <w:footnote w:id="1">
    <w:p w:rsidR="0037439C" w:rsidRPr="00BF4680" w:rsidRDefault="0037439C" w:rsidP="0037439C">
      <w:pPr>
        <w:pStyle w:val="FootnoteText"/>
        <w:rPr>
          <w:lang w:val="en-CA"/>
        </w:rPr>
      </w:pPr>
      <w:r w:rsidRPr="00BF4680">
        <w:rPr>
          <w:lang w:val="en-CA"/>
        </w:rPr>
        <w:tab/>
      </w:r>
      <w:r w:rsidRPr="00F306C9">
        <w:rPr>
          <w:rStyle w:val="FootnoteReference"/>
          <w:sz w:val="20"/>
          <w:szCs w:val="22"/>
          <w:vertAlign w:val="baseline"/>
        </w:rPr>
        <w:t>*</w:t>
      </w:r>
      <w:r w:rsidRPr="00BF4680">
        <w:rPr>
          <w:lang w:val="en-CA"/>
        </w:rPr>
        <w:tab/>
        <w:t>In accordance with the programme of work of the Inland Transport Committee for 2018–2019 (ECE/TRANS/2018/21/Add.1 (9.2))</w:t>
      </w:r>
      <w:r w:rsidR="00427DF0">
        <w:rPr>
          <w:lang w:val="en-CA"/>
        </w:rPr>
        <w:t>.</w:t>
      </w:r>
    </w:p>
  </w:footnote>
  <w:footnote w:id="2">
    <w:p w:rsidR="0037439C" w:rsidRPr="00BF4680" w:rsidRDefault="0037439C" w:rsidP="0037439C">
      <w:pPr>
        <w:pStyle w:val="FootnoteText"/>
        <w:rPr>
          <w:lang w:val="en-CA"/>
        </w:rPr>
      </w:pPr>
      <w:r w:rsidRPr="00F306C9">
        <w:rPr>
          <w:rStyle w:val="FootnoteReference"/>
          <w:sz w:val="20"/>
          <w:szCs w:val="22"/>
          <w:vertAlign w:val="baseline"/>
        </w:rPr>
        <w:tab/>
        <w:t>**</w:t>
      </w:r>
      <w:r w:rsidRPr="00F306C9">
        <w:rPr>
          <w:rStyle w:val="FootnoteReference"/>
          <w:sz w:val="20"/>
          <w:szCs w:val="22"/>
          <w:vertAlign w:val="baseline"/>
        </w:rPr>
        <w:tab/>
      </w:r>
      <w:r w:rsidRPr="00BF4680">
        <w:rPr>
          <w:lang w:val="en-CA"/>
        </w:rPr>
        <w:t>Circulated by the Intergovernmental Organisation for International Carriage by Rail (OTIF) under the symbol OTIF/RID/RC/2019/29.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18" w:rsidRDefault="00475118" w:rsidP="00475118">
    <w:pPr>
      <w:pStyle w:val="Header"/>
    </w:pPr>
    <w:r>
      <w:t>ECE/TRANS/WP.15/AC.1/2019/48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18" w:rsidRDefault="00475118" w:rsidP="00475118">
    <w:pPr>
      <w:pStyle w:val="Header"/>
      <w:jc w:val="right"/>
    </w:pPr>
    <w:r>
      <w:t>ECE/TRANS/WP.15/AC.1/2019/48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1F137E"/>
    <w:multiLevelType w:val="hybridMultilevel"/>
    <w:tmpl w:val="5832DBBE"/>
    <w:lvl w:ilvl="0" w:tplc="805023A2">
      <w:start w:val="1"/>
      <w:numFmt w:val="bullet"/>
      <w:lvlText w:val="-"/>
      <w:lvlJc w:val="left"/>
      <w:pPr>
        <w:ind w:left="1854" w:hanging="360"/>
      </w:pPr>
      <w:rPr>
        <w:rFonts w:ascii="Times New Roman" w:eastAsiaTheme="minorHAnsi"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lvlOverride w:ilvl="0">
      <w:lvl w:ilvl="0" w:tplc="805023A2">
        <w:start w:val="1"/>
        <w:numFmt w:val="bullet"/>
        <w:lvlText w:val="-"/>
        <w:lvlJc w:val="left"/>
        <w:pPr>
          <w:ind w:left="1854" w:hanging="360"/>
        </w:pPr>
        <w:rPr>
          <w:rFonts w:ascii="Times New Roman" w:eastAsiaTheme="minorHAnsi"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18"/>
    <w:rsid w:val="00046E92"/>
    <w:rsid w:val="000B1618"/>
    <w:rsid w:val="000D1B89"/>
    <w:rsid w:val="001170DC"/>
    <w:rsid w:val="00190633"/>
    <w:rsid w:val="001F5418"/>
    <w:rsid w:val="00247E2C"/>
    <w:rsid w:val="00294EF9"/>
    <w:rsid w:val="002D6C53"/>
    <w:rsid w:val="002F5595"/>
    <w:rsid w:val="00306892"/>
    <w:rsid w:val="00334F6A"/>
    <w:rsid w:val="00342AC8"/>
    <w:rsid w:val="0037439C"/>
    <w:rsid w:val="003B4550"/>
    <w:rsid w:val="003C4D8B"/>
    <w:rsid w:val="00427DF0"/>
    <w:rsid w:val="00461253"/>
    <w:rsid w:val="00475118"/>
    <w:rsid w:val="005042C2"/>
    <w:rsid w:val="00506C12"/>
    <w:rsid w:val="0056599A"/>
    <w:rsid w:val="00587690"/>
    <w:rsid w:val="00671529"/>
    <w:rsid w:val="00717266"/>
    <w:rsid w:val="007268F9"/>
    <w:rsid w:val="007347C8"/>
    <w:rsid w:val="007C52B0"/>
    <w:rsid w:val="007E6615"/>
    <w:rsid w:val="008849C6"/>
    <w:rsid w:val="008B574A"/>
    <w:rsid w:val="00915CE3"/>
    <w:rsid w:val="009411B4"/>
    <w:rsid w:val="009D0139"/>
    <w:rsid w:val="009F5CDC"/>
    <w:rsid w:val="00A15FDC"/>
    <w:rsid w:val="00A775CF"/>
    <w:rsid w:val="00A832E0"/>
    <w:rsid w:val="00AA4E71"/>
    <w:rsid w:val="00AB3C7E"/>
    <w:rsid w:val="00B06045"/>
    <w:rsid w:val="00B66442"/>
    <w:rsid w:val="00BF67B7"/>
    <w:rsid w:val="00C35A27"/>
    <w:rsid w:val="00C849CC"/>
    <w:rsid w:val="00CE68CA"/>
    <w:rsid w:val="00D0670C"/>
    <w:rsid w:val="00D305E9"/>
    <w:rsid w:val="00E02C2B"/>
    <w:rsid w:val="00E44B4A"/>
    <w:rsid w:val="00ED6C48"/>
    <w:rsid w:val="00F306C9"/>
    <w:rsid w:val="00F65F5D"/>
    <w:rsid w:val="00F86A3A"/>
    <w:rsid w:val="00FA6F02"/>
    <w:rsid w:val="00FA76A2"/>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AE7166-FA9D-4743-8278-1D910AE3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37439C"/>
    <w:rPr>
      <w:rFonts w:ascii="Times New Roman" w:eastAsia="Times New Roman" w:hAnsi="Times New Roman" w:cs="Times New Roman"/>
      <w:b/>
      <w:sz w:val="28"/>
      <w:szCs w:val="20"/>
      <w:lang w:eastAsia="en-US"/>
    </w:rPr>
  </w:style>
  <w:style w:type="character" w:customStyle="1" w:styleId="H1GChar">
    <w:name w:val="_ H_1_G Char"/>
    <w:link w:val="H1G"/>
    <w:rsid w:val="0037439C"/>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00D3-112E-4547-A5FA-E472D070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ECE/TRANS/WP.15/AC.1/2019/48</vt:lpstr>
    </vt:vector>
  </TitlesOfParts>
  <Company>DCM</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ECE/TRANS/WP.15/AC.1/2019/48</dc:title>
  <dc:subject>1911013</dc:subject>
  <dc:creator>cg</dc:creator>
  <cp:keywords/>
  <dc:description/>
  <cp:lastModifiedBy>Christine Barrio-Champeau</cp:lastModifiedBy>
  <cp:revision>2</cp:revision>
  <cp:lastPrinted>2019-07-02T07:00:00Z</cp:lastPrinted>
  <dcterms:created xsi:type="dcterms:W3CDTF">2019-08-05T13:06:00Z</dcterms:created>
  <dcterms:modified xsi:type="dcterms:W3CDTF">2019-08-05T13:06:00Z</dcterms:modified>
</cp:coreProperties>
</file>