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F2E3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F2E3E" w:rsidP="00CF2E3E">
            <w:pPr>
              <w:jc w:val="right"/>
            </w:pPr>
            <w:r w:rsidRPr="00CF2E3E">
              <w:rPr>
                <w:sz w:val="40"/>
              </w:rPr>
              <w:t>ECE</w:t>
            </w:r>
            <w:r>
              <w:t>/TRANS/WP.15/AC.1/2019/33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F2E3E" w:rsidP="00C97039">
            <w:pPr>
              <w:spacing w:before="240"/>
            </w:pPr>
            <w:r>
              <w:t>Distr. générale</w:t>
            </w:r>
          </w:p>
          <w:p w:rsidR="00CF2E3E" w:rsidRDefault="00CF2E3E" w:rsidP="00CF2E3E">
            <w:pPr>
              <w:spacing w:line="240" w:lineRule="exact"/>
            </w:pPr>
            <w:r>
              <w:t>19 juin 2019</w:t>
            </w:r>
          </w:p>
          <w:p w:rsidR="00CF2E3E" w:rsidRDefault="00CF2E3E" w:rsidP="00CF2E3E">
            <w:pPr>
              <w:spacing w:line="240" w:lineRule="exact"/>
            </w:pPr>
            <w:r>
              <w:t>Français</w:t>
            </w:r>
          </w:p>
          <w:p w:rsidR="00CF2E3E" w:rsidRPr="00DB58B5" w:rsidRDefault="00CF2E3E" w:rsidP="00CF2E3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66ED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F2E3E" w:rsidRPr="009E01B8" w:rsidRDefault="00CF2E3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CF2E3E" w:rsidRPr="00926E87" w:rsidRDefault="00CF2E3E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A66ED3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CF2E3E" w:rsidRDefault="00CF2E3E" w:rsidP="00AF0CB5">
      <w:pPr>
        <w:spacing w:before="120"/>
      </w:pPr>
      <w:r>
        <w:t xml:space="preserve">Genève, </w:t>
      </w:r>
      <w:r w:rsidR="00504422">
        <w:t>17-27 septembre 2019</w:t>
      </w:r>
    </w:p>
    <w:p w:rsidR="00CF2E3E" w:rsidRDefault="00CF2E3E" w:rsidP="00AF0CB5">
      <w:r w:rsidRPr="00B93E72">
        <w:t xml:space="preserve">Point </w:t>
      </w:r>
      <w:r w:rsidR="00504422">
        <w:t>5 b) de l</w:t>
      </w:r>
      <w:r w:rsidR="00A66ED3">
        <w:t>’</w:t>
      </w:r>
      <w:r w:rsidR="00504422">
        <w:t>ordre du jour provisoire</w:t>
      </w:r>
    </w:p>
    <w:p w:rsidR="00504422" w:rsidRDefault="00504422" w:rsidP="00504422">
      <w:pPr>
        <w:rPr>
          <w:b/>
          <w:bCs/>
        </w:rPr>
      </w:pPr>
      <w:r>
        <w:rPr>
          <w:b/>
          <w:bCs/>
        </w:rPr>
        <w:t>Propositions diverses d</w:t>
      </w:r>
      <w:r w:rsidR="00A66ED3">
        <w:rPr>
          <w:b/>
          <w:bCs/>
        </w:rPr>
        <w:t>’</w:t>
      </w:r>
      <w:r>
        <w:rPr>
          <w:b/>
          <w:bCs/>
        </w:rPr>
        <w:t>amendements au RID/ADR/ADN :</w:t>
      </w:r>
      <w:r w:rsidR="00DA5834">
        <w:rPr>
          <w:b/>
          <w:bCs/>
        </w:rPr>
        <w:br/>
      </w:r>
      <w:r>
        <w:rPr>
          <w:b/>
          <w:bCs/>
        </w:rPr>
        <w:t>Nouvelles propositions</w:t>
      </w:r>
    </w:p>
    <w:p w:rsidR="00504422" w:rsidRDefault="00504422" w:rsidP="00DA5834">
      <w:pPr>
        <w:pStyle w:val="HChG"/>
        <w:rPr>
          <w:b w:val="0"/>
        </w:rPr>
      </w:pPr>
      <w:r>
        <w:tab/>
      </w:r>
      <w:r>
        <w:tab/>
      </w:r>
      <w:r w:rsidRPr="00DA5834">
        <w:t>Harmonisation</w:t>
      </w:r>
      <w:r>
        <w:t xml:space="preserve"> de la disposition spéciale 593 avec le 5.5.3</w:t>
      </w:r>
    </w:p>
    <w:p w:rsidR="00F9573C" w:rsidRDefault="00504422" w:rsidP="00DA5834">
      <w:pPr>
        <w:pStyle w:val="H1G"/>
        <w:rPr>
          <w:b w:val="0"/>
          <w:sz w:val="20"/>
        </w:rPr>
      </w:pPr>
      <w:r>
        <w:tab/>
      </w:r>
      <w:r>
        <w:tab/>
        <w:t>Communication du Gouvernement espagnol</w:t>
      </w:r>
      <w:r w:rsidR="00DA5834" w:rsidRPr="00E001C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DA5834" w:rsidRPr="00E001CC">
        <w:rPr>
          <w:b w:val="0"/>
          <w:position w:val="6"/>
          <w:sz w:val="20"/>
        </w:rPr>
        <w:t>,</w:t>
      </w:r>
      <w:r w:rsidR="00DA5834">
        <w:rPr>
          <w:sz w:val="20"/>
        </w:rPr>
        <w:t xml:space="preserve"> </w:t>
      </w:r>
      <w:r w:rsidR="00DA5834" w:rsidRPr="00E001C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001CC">
        <w:trPr>
          <w:jc w:val="center"/>
        </w:trPr>
        <w:tc>
          <w:tcPr>
            <w:tcW w:w="9637" w:type="dxa"/>
            <w:shd w:val="clear" w:color="auto" w:fill="auto"/>
          </w:tcPr>
          <w:p w:rsidR="00E001CC" w:rsidRDefault="00E001C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E001CC">
        <w:trPr>
          <w:jc w:val="center"/>
        </w:trPr>
        <w:tc>
          <w:tcPr>
            <w:tcW w:w="9637" w:type="dxa"/>
            <w:shd w:val="clear" w:color="auto" w:fill="auto"/>
          </w:tcPr>
          <w:p w:rsidR="00E001CC" w:rsidRDefault="00E001CC" w:rsidP="00E001CC">
            <w:pPr>
              <w:pStyle w:val="SingleTxtG"/>
              <w:ind w:left="3402" w:hanging="2268"/>
            </w:pPr>
            <w:r>
              <w:rPr>
                <w:b/>
                <w:bCs/>
              </w:rPr>
              <w:t>Résumé analytique :</w:t>
            </w:r>
            <w:r>
              <w:tab/>
            </w:r>
            <w:r w:rsidRPr="00127EBC">
              <w:rPr>
                <w:spacing w:val="-1"/>
              </w:rPr>
              <w:t>La disposition spéciale 593 n</w:t>
            </w:r>
            <w:r w:rsidR="00A66ED3">
              <w:rPr>
                <w:spacing w:val="-1"/>
              </w:rPr>
              <w:t>’</w:t>
            </w:r>
            <w:r w:rsidRPr="00127EBC">
              <w:rPr>
                <w:spacing w:val="-1"/>
              </w:rPr>
              <w:t>est pas conforme à la section 5.5.3</w:t>
            </w:r>
            <w:r>
              <w:t xml:space="preserve"> et doit être modifiée de manière à la rendre compatible.</w:t>
            </w:r>
          </w:p>
        </w:tc>
      </w:tr>
      <w:tr w:rsidR="00127EBC">
        <w:trPr>
          <w:jc w:val="center"/>
        </w:trPr>
        <w:tc>
          <w:tcPr>
            <w:tcW w:w="9637" w:type="dxa"/>
            <w:shd w:val="clear" w:color="auto" w:fill="auto"/>
          </w:tcPr>
          <w:p w:rsidR="00127EBC" w:rsidRDefault="00127EBC" w:rsidP="00E001CC">
            <w:pPr>
              <w:pStyle w:val="SingleTxtG"/>
              <w:ind w:left="3402" w:hanging="2268"/>
              <w:rPr>
                <w:b/>
                <w:bCs/>
              </w:rPr>
            </w:pPr>
            <w:r>
              <w:rPr>
                <w:b/>
                <w:bCs/>
              </w:rPr>
              <w:t>Mesures à prendre :</w:t>
            </w:r>
            <w:r>
              <w:tab/>
              <w:t>Modifier la disposition spéciale 593.</w:t>
            </w:r>
          </w:p>
        </w:tc>
      </w:tr>
      <w:tr w:rsidR="00E001CC">
        <w:trPr>
          <w:jc w:val="center"/>
        </w:trPr>
        <w:tc>
          <w:tcPr>
            <w:tcW w:w="9637" w:type="dxa"/>
            <w:shd w:val="clear" w:color="auto" w:fill="auto"/>
          </w:tcPr>
          <w:p w:rsidR="00E001CC" w:rsidRDefault="00E001CC"/>
        </w:tc>
      </w:tr>
    </w:tbl>
    <w:p w:rsidR="00127EBC" w:rsidRPr="009A2C3D" w:rsidRDefault="009F5727" w:rsidP="00826486">
      <w:pPr>
        <w:pStyle w:val="HChG"/>
      </w:pPr>
      <w:r>
        <w:br w:type="page"/>
      </w:r>
      <w:r>
        <w:lastRenderedPageBreak/>
        <w:tab/>
      </w:r>
      <w:r>
        <w:tab/>
      </w:r>
      <w:r w:rsidR="00127EBC">
        <w:t>Introduction</w:t>
      </w:r>
    </w:p>
    <w:p w:rsidR="00127EBC" w:rsidRPr="003F2F4B" w:rsidRDefault="00127EBC" w:rsidP="00127EBC">
      <w:pPr>
        <w:pStyle w:val="SingleTxtG"/>
      </w:pPr>
      <w:r>
        <w:t>1.</w:t>
      </w:r>
      <w:r>
        <w:tab/>
        <w:t>La disposition spéciale 593 s</w:t>
      </w:r>
      <w:r w:rsidR="00A66ED3">
        <w:t>’</w:t>
      </w:r>
      <w:r>
        <w:t xml:space="preserve">applique aux </w:t>
      </w:r>
      <w:r w:rsidR="009F5727">
        <w:t>numéros</w:t>
      </w:r>
      <w:r w:rsidR="006125D6">
        <w:t> </w:t>
      </w:r>
      <w:r>
        <w:t>ONU 1913 N</w:t>
      </w:r>
      <w:r w:rsidRPr="00F95758">
        <w:t>É</w:t>
      </w:r>
      <w:r>
        <w:t xml:space="preserve">ON LIQUIDE </w:t>
      </w:r>
      <w:r w:rsidRPr="00F95758">
        <w:t>RÉFRIGÉRÉ</w:t>
      </w:r>
      <w:r>
        <w:t xml:space="preserve">, 1951 ARGON LIQUIDE </w:t>
      </w:r>
      <w:r w:rsidRPr="00F95758">
        <w:t>RÉFRIGÉRÉ</w:t>
      </w:r>
      <w:r>
        <w:t>, 1963 H</w:t>
      </w:r>
      <w:r w:rsidRPr="00F95758">
        <w:t>É</w:t>
      </w:r>
      <w:r>
        <w:t xml:space="preserve">LIUM LIQUIDE </w:t>
      </w:r>
      <w:r w:rsidRPr="00F95758">
        <w:t>RÉFRIGÉRÉ</w:t>
      </w:r>
      <w:r>
        <w:t xml:space="preserve">, 1970 KRYPTON LIQUIDE </w:t>
      </w:r>
      <w:r w:rsidRPr="00F95758">
        <w:t>RÉFRIGÉRÉ</w:t>
      </w:r>
      <w:r>
        <w:t xml:space="preserve">, 1977 AZOTE LIQUIDE </w:t>
      </w:r>
      <w:r w:rsidRPr="00F95758">
        <w:t>RÉFRIGÉRÉ</w:t>
      </w:r>
      <w:r>
        <w:t xml:space="preserve">, 3136 TRIFLUOROMETHANE LIQUIDE </w:t>
      </w:r>
      <w:r w:rsidRPr="00F95758">
        <w:t>RÉFRIGÉRÉ</w:t>
      </w:r>
      <w:r>
        <w:t xml:space="preserve"> et 3158 GAZ LIQUIDE </w:t>
      </w:r>
      <w:r w:rsidRPr="00F95758">
        <w:t>RÉFRIGÉRÉ</w:t>
      </w:r>
      <w:r>
        <w:t xml:space="preserve"> N.S.A.</w:t>
      </w:r>
    </w:p>
    <w:p w:rsidR="00127EBC" w:rsidRPr="00BB453C" w:rsidRDefault="00127EBC" w:rsidP="00127EBC">
      <w:pPr>
        <w:pStyle w:val="SingleTxtG"/>
      </w:pPr>
      <w:r>
        <w:t>2.</w:t>
      </w:r>
      <w:r>
        <w:tab/>
        <w:t>Il est indiqué dans le texte actuel de la disposition spéciale 593 que</w:t>
      </w:r>
      <w:r w:rsidR="00941FD4">
        <w:t> </w:t>
      </w:r>
      <w:r>
        <w:t>: « Ce gaz, conçu pour le refroidissement par exemple d</w:t>
      </w:r>
      <w:r w:rsidR="00A66ED3">
        <w:t>’</w:t>
      </w:r>
      <w:r>
        <w:t>échantillons médicaux ou biologiques, lorsqu</w:t>
      </w:r>
      <w:r w:rsidR="00A66ED3">
        <w:t>’</w:t>
      </w:r>
      <w:r>
        <w:t>il est contenu dans des récipients à double cloison qui satisfont aux dispositions de l</w:t>
      </w:r>
      <w:r w:rsidR="00A66ED3">
        <w:t>’</w:t>
      </w:r>
      <w:r>
        <w:t>instruction d</w:t>
      </w:r>
      <w:r w:rsidR="00A66ED3">
        <w:t>’</w:t>
      </w:r>
      <w:r>
        <w:t>emballage P203 6), prescriptions applicables aux récipients cryogéniques ouverts, du</w:t>
      </w:r>
      <w:r w:rsidR="00390496">
        <w:t> </w:t>
      </w:r>
      <w:r>
        <w:t>4.1.4.1, n</w:t>
      </w:r>
      <w:r w:rsidR="00A66ED3">
        <w:t>’</w:t>
      </w:r>
      <w:r>
        <w:t>est pas soumis aux prescriptions de l</w:t>
      </w:r>
      <w:r w:rsidR="00A66ED3">
        <w:t>’</w:t>
      </w:r>
      <w:r>
        <w:t>ADR excepté tel qu</w:t>
      </w:r>
      <w:r w:rsidR="00A66ED3">
        <w:t>’</w:t>
      </w:r>
      <w:r>
        <w:t>indiqué au 5.5.3. »</w:t>
      </w:r>
    </w:p>
    <w:p w:rsidR="00127EBC" w:rsidRDefault="00127EBC" w:rsidP="00127EBC">
      <w:pPr>
        <w:pStyle w:val="SingleTxtG"/>
      </w:pPr>
      <w:r>
        <w:t>3.</w:t>
      </w:r>
      <w:r>
        <w:tab/>
        <w:t>Le texte de la sous-section 5.5.3.3.2.1 indique quant à lui que</w:t>
      </w:r>
      <w:r w:rsidR="001046BC">
        <w:t> </w:t>
      </w:r>
      <w:r>
        <w:t>: « Les véhicules et conteneurs contenant des matières utilisées à des fins de réfrigération ou de conditionnement (autres que la fumigation) pendant le transport ne sont pas soumis à d</w:t>
      </w:r>
      <w:r w:rsidR="00A66ED3">
        <w:t>’</w:t>
      </w:r>
      <w:r>
        <w:t>autres dispositions de l</w:t>
      </w:r>
      <w:r w:rsidR="00A66ED3">
        <w:t>’</w:t>
      </w:r>
      <w:r>
        <w:t>ADR que celles qui figurent dans la présente section. » Aucune prescription particulière relative aux récipients à double cloison n</w:t>
      </w:r>
      <w:r w:rsidR="00A66ED3">
        <w:t>’</w:t>
      </w:r>
      <w:r>
        <w:t>est prévue à la section</w:t>
      </w:r>
      <w:r w:rsidR="001046BC">
        <w:t> </w:t>
      </w:r>
      <w:r>
        <w:t>5.5.3.</w:t>
      </w:r>
    </w:p>
    <w:p w:rsidR="00127EBC" w:rsidRPr="001046BC" w:rsidRDefault="00127EBC" w:rsidP="001046BC">
      <w:pPr>
        <w:pStyle w:val="HChG"/>
      </w:pPr>
      <w:r>
        <w:tab/>
      </w:r>
      <w:r>
        <w:tab/>
        <w:t>Analyse</w:t>
      </w:r>
    </w:p>
    <w:p w:rsidR="00127EBC" w:rsidRDefault="00127EBC" w:rsidP="00127EBC">
      <w:pPr>
        <w:pStyle w:val="SingleTxtG"/>
      </w:pPr>
      <w:r>
        <w:t>4.</w:t>
      </w:r>
      <w:r>
        <w:tab/>
        <w:t>La disposition spéciale 593 semble ne pas être entièrement compatible avec la section 5.5.3, étant donné qu</w:t>
      </w:r>
      <w:r w:rsidR="00A66ED3">
        <w:t>’</w:t>
      </w:r>
      <w:r>
        <w:t>elle prévoit des prescriptions supplémentaires par rapport à celles énoncées dans cette dernière.</w:t>
      </w:r>
    </w:p>
    <w:p w:rsidR="00127EBC" w:rsidRDefault="00127EBC" w:rsidP="00127EBC">
      <w:pPr>
        <w:pStyle w:val="SingleTxtG"/>
      </w:pPr>
      <w:r>
        <w:t>5.</w:t>
      </w:r>
      <w:r>
        <w:tab/>
        <w:t>Il apparaît que la disposition spéciale 593 n</w:t>
      </w:r>
      <w:r w:rsidR="00A66ED3">
        <w:t>’</w:t>
      </w:r>
      <w:r>
        <w:t>a pas été modifiée de façon à tenir compte des modifications apportées au texte de la section 5.5.3, et il semble donc nécessaire de l</w:t>
      </w:r>
      <w:r w:rsidR="00A66ED3">
        <w:t>’</w:t>
      </w:r>
      <w:r>
        <w:t>actualiser.</w:t>
      </w:r>
    </w:p>
    <w:p w:rsidR="00127EBC" w:rsidRDefault="00127EBC" w:rsidP="00127EBC">
      <w:pPr>
        <w:pStyle w:val="SingleTxtG"/>
      </w:pPr>
      <w:r>
        <w:t>6.</w:t>
      </w:r>
      <w:r>
        <w:tab/>
        <w:t>Les numéros ONU auxquels s</w:t>
      </w:r>
      <w:r w:rsidR="00A66ED3">
        <w:t>’</w:t>
      </w:r>
      <w:r>
        <w:t>applique la disposition spéciale 593 ne sont pas tous explicitement mentionnés à la section 5.5.3. Cela dit, la section 5.5.3 ne contient pas une liste exhaustive, mais seulement des exemples. De plus, l</w:t>
      </w:r>
      <w:r w:rsidR="00A66ED3">
        <w:t>’</w:t>
      </w:r>
      <w:r>
        <w:t>objectif visé par la disposition spéciale 593 entre pleinement dans le champ d</w:t>
      </w:r>
      <w:r w:rsidR="00A66ED3">
        <w:t>’</w:t>
      </w:r>
      <w:r>
        <w:t>application de la section 5.5.3.</w:t>
      </w:r>
    </w:p>
    <w:p w:rsidR="00127EBC" w:rsidRDefault="00127EBC" w:rsidP="00127EBC">
      <w:pPr>
        <w:pStyle w:val="SingleTxtG"/>
      </w:pPr>
      <w:r>
        <w:t>7.</w:t>
      </w:r>
      <w:r>
        <w:tab/>
        <w:t>La disposition spéciale 593 devrait donc être modifiée de manière à inclure uniquement une référence directe à la section 5.5.3. L</w:t>
      </w:r>
      <w:r w:rsidR="00A66ED3">
        <w:t>’</w:t>
      </w:r>
      <w:r>
        <w:t>Espagne suggère en outre de modifier son libellé afin de l</w:t>
      </w:r>
      <w:r w:rsidR="00A66ED3">
        <w:t>’</w:t>
      </w:r>
      <w:r>
        <w:t>aligner sur celui de la section 5.5.3.</w:t>
      </w:r>
    </w:p>
    <w:p w:rsidR="00127EBC" w:rsidRPr="001046BC" w:rsidRDefault="00127EBC" w:rsidP="001046BC">
      <w:pPr>
        <w:pStyle w:val="HChG"/>
      </w:pPr>
      <w:r>
        <w:tab/>
      </w:r>
      <w:r>
        <w:tab/>
        <w:t>Proposition</w:t>
      </w:r>
    </w:p>
    <w:p w:rsidR="00127EBC" w:rsidRPr="00296293" w:rsidRDefault="00127EBC" w:rsidP="00127EBC">
      <w:pPr>
        <w:pStyle w:val="SingleTxtG"/>
        <w:rPr>
          <w:rFonts w:eastAsiaTheme="minorEastAsia"/>
        </w:rPr>
      </w:pPr>
      <w:r>
        <w:t>8.</w:t>
      </w:r>
      <w:r>
        <w:tab/>
        <w:t>L</w:t>
      </w:r>
      <w:r w:rsidR="00A66ED3">
        <w:t>’</w:t>
      </w:r>
      <w:r>
        <w:t xml:space="preserve">Espagne suggère de modifier la disposition spéciale 593 en supprimant une partie de son libellé (le nouveau texte est </w:t>
      </w:r>
      <w:r>
        <w:rPr>
          <w:u w:val="single"/>
        </w:rPr>
        <w:t>souligné</w:t>
      </w:r>
      <w:r>
        <w:t xml:space="preserve">, le texte supprimé est </w:t>
      </w:r>
      <w:r>
        <w:rPr>
          <w:strike/>
        </w:rPr>
        <w:t>biffé</w:t>
      </w:r>
      <w:r>
        <w:t>)</w:t>
      </w:r>
      <w:r w:rsidR="001046BC">
        <w:t> </w:t>
      </w:r>
      <w:r>
        <w:t>:</w:t>
      </w:r>
    </w:p>
    <w:p w:rsidR="00E001CC" w:rsidRDefault="000104F6" w:rsidP="00826486">
      <w:pPr>
        <w:pStyle w:val="SingleTxtG"/>
        <w:ind w:left="1701"/>
      </w:pPr>
      <w:r>
        <w:t>« </w:t>
      </w:r>
      <w:r w:rsidR="00127EBC">
        <w:t xml:space="preserve">Ce gaz, </w:t>
      </w:r>
      <w:r w:rsidR="00127EBC">
        <w:rPr>
          <w:u w:val="single"/>
        </w:rPr>
        <w:t>lorsqu</w:t>
      </w:r>
      <w:r w:rsidR="00A66ED3">
        <w:rPr>
          <w:u w:val="single"/>
        </w:rPr>
        <w:t>’</w:t>
      </w:r>
      <w:r w:rsidR="00127EBC">
        <w:rPr>
          <w:u w:val="single"/>
        </w:rPr>
        <w:t>il est utilisé à des fins</w:t>
      </w:r>
      <w:r w:rsidR="00127EBC" w:rsidRPr="006125D6">
        <w:rPr>
          <w:strike/>
        </w:rPr>
        <w:t xml:space="preserve"> </w:t>
      </w:r>
      <w:r w:rsidR="00127EBC">
        <w:rPr>
          <w:strike/>
        </w:rPr>
        <w:t>conçu pour le</w:t>
      </w:r>
      <w:r w:rsidR="00127EBC">
        <w:t xml:space="preserve"> de refroidissement </w:t>
      </w:r>
      <w:r w:rsidR="00127EBC">
        <w:rPr>
          <w:u w:val="single"/>
        </w:rPr>
        <w:t>ou de conditionnement</w:t>
      </w:r>
      <w:r w:rsidR="00127EBC">
        <w:t xml:space="preserve"> par exemple d</w:t>
      </w:r>
      <w:r w:rsidR="00A66ED3">
        <w:t>’</w:t>
      </w:r>
      <w:r w:rsidR="00127EBC">
        <w:t>échantillons médicaux ou biologiques</w:t>
      </w:r>
      <w:r w:rsidR="00127EBC">
        <w:rPr>
          <w:strike/>
        </w:rPr>
        <w:t>, lorsqu</w:t>
      </w:r>
      <w:r w:rsidR="00A66ED3">
        <w:rPr>
          <w:strike/>
        </w:rPr>
        <w:t>’</w:t>
      </w:r>
      <w:r w:rsidR="00127EBC">
        <w:rPr>
          <w:strike/>
        </w:rPr>
        <w:t>il est contenu dans des récipients à double cloison qui satisfont aux dispositions de l</w:t>
      </w:r>
      <w:r w:rsidR="00A66ED3">
        <w:rPr>
          <w:strike/>
        </w:rPr>
        <w:t>’</w:t>
      </w:r>
      <w:r w:rsidR="00127EBC">
        <w:rPr>
          <w:strike/>
        </w:rPr>
        <w:t>instruction d</w:t>
      </w:r>
      <w:r w:rsidR="00A66ED3">
        <w:rPr>
          <w:strike/>
        </w:rPr>
        <w:t>’</w:t>
      </w:r>
      <w:r w:rsidR="00127EBC">
        <w:rPr>
          <w:strike/>
        </w:rPr>
        <w:t>emballage P203 6), prescriptions applicables aux récipients cryogéniques ouverts, du 4.1.4.1</w:t>
      </w:r>
      <w:r w:rsidR="00127EBC">
        <w:t>, n</w:t>
      </w:r>
      <w:r w:rsidR="00A66ED3">
        <w:t>’</w:t>
      </w:r>
      <w:r w:rsidR="00127EBC">
        <w:t>est pas soumis aux prescriptions de l</w:t>
      </w:r>
      <w:r w:rsidR="00A66ED3">
        <w:t>’</w:t>
      </w:r>
      <w:r w:rsidR="00127EBC">
        <w:t>ADR excepté tel qu</w:t>
      </w:r>
      <w:r w:rsidR="00A66ED3">
        <w:t>’</w:t>
      </w:r>
      <w:r w:rsidR="00127EBC">
        <w:t>indiqué au 5.5.3.</w:t>
      </w:r>
      <w:r>
        <w:t> »</w:t>
      </w:r>
    </w:p>
    <w:p w:rsidR="00A66ED3" w:rsidRPr="00A66ED3" w:rsidRDefault="00A66ED3" w:rsidP="00A66ED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6ED3" w:rsidRPr="00A66ED3" w:rsidSect="00CF2E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A9" w:rsidRDefault="007A5FA9" w:rsidP="00F95C08">
      <w:pPr>
        <w:spacing w:line="240" w:lineRule="auto"/>
      </w:pPr>
    </w:p>
  </w:endnote>
  <w:endnote w:type="continuationSeparator" w:id="0">
    <w:p w:rsidR="007A5FA9" w:rsidRPr="00AC3823" w:rsidRDefault="007A5FA9" w:rsidP="00AC3823">
      <w:pPr>
        <w:pStyle w:val="Footer"/>
      </w:pPr>
    </w:p>
  </w:endnote>
  <w:endnote w:type="continuationNotice" w:id="1">
    <w:p w:rsidR="007A5FA9" w:rsidRDefault="007A5F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3E" w:rsidRPr="00CF2E3E" w:rsidRDefault="00CF2E3E" w:rsidP="00CF2E3E">
    <w:pPr>
      <w:pStyle w:val="Footer"/>
      <w:tabs>
        <w:tab w:val="right" w:pos="9638"/>
      </w:tabs>
    </w:pPr>
    <w:r w:rsidRPr="00CF2E3E">
      <w:rPr>
        <w:b/>
        <w:sz w:val="18"/>
      </w:rPr>
      <w:fldChar w:fldCharType="begin"/>
    </w:r>
    <w:r w:rsidRPr="00CF2E3E">
      <w:rPr>
        <w:b/>
        <w:sz w:val="18"/>
      </w:rPr>
      <w:instrText xml:space="preserve"> PAGE  \* MERGEFORMAT </w:instrText>
    </w:r>
    <w:r w:rsidRPr="00CF2E3E">
      <w:rPr>
        <w:b/>
        <w:sz w:val="18"/>
      </w:rPr>
      <w:fldChar w:fldCharType="separate"/>
    </w:r>
    <w:r w:rsidRPr="00CF2E3E">
      <w:rPr>
        <w:b/>
        <w:noProof/>
        <w:sz w:val="18"/>
      </w:rPr>
      <w:t>2</w:t>
    </w:r>
    <w:r w:rsidRPr="00CF2E3E">
      <w:rPr>
        <w:b/>
        <w:sz w:val="18"/>
      </w:rPr>
      <w:fldChar w:fldCharType="end"/>
    </w:r>
    <w:r>
      <w:rPr>
        <w:b/>
        <w:sz w:val="18"/>
      </w:rPr>
      <w:tab/>
    </w:r>
    <w:r>
      <w:t>GE.19-10105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3E" w:rsidRPr="00CF2E3E" w:rsidRDefault="00CF2E3E" w:rsidP="00CF2E3E">
    <w:pPr>
      <w:pStyle w:val="Footer"/>
      <w:tabs>
        <w:tab w:val="right" w:pos="9638"/>
      </w:tabs>
      <w:rPr>
        <w:b/>
        <w:sz w:val="18"/>
      </w:rPr>
    </w:pPr>
    <w:r>
      <w:t>GE.19-10105</w:t>
    </w:r>
    <w:r>
      <w:tab/>
    </w:r>
    <w:r w:rsidRPr="00CF2E3E">
      <w:rPr>
        <w:b/>
        <w:sz w:val="18"/>
      </w:rPr>
      <w:fldChar w:fldCharType="begin"/>
    </w:r>
    <w:r w:rsidRPr="00CF2E3E">
      <w:rPr>
        <w:b/>
        <w:sz w:val="18"/>
      </w:rPr>
      <w:instrText xml:space="preserve"> PAGE  \* MERGEFORMAT </w:instrText>
    </w:r>
    <w:r w:rsidRPr="00CF2E3E">
      <w:rPr>
        <w:b/>
        <w:sz w:val="18"/>
      </w:rPr>
      <w:fldChar w:fldCharType="separate"/>
    </w:r>
    <w:r w:rsidRPr="00CF2E3E">
      <w:rPr>
        <w:b/>
        <w:noProof/>
        <w:sz w:val="18"/>
      </w:rPr>
      <w:t>3</w:t>
    </w:r>
    <w:r w:rsidRPr="00CF2E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F2E3E" w:rsidRDefault="00CF2E3E" w:rsidP="00CF2E3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19-10105  (F)</w:t>
    </w:r>
    <w:r w:rsidR="00083EED">
      <w:rPr>
        <w:sz w:val="20"/>
      </w:rPr>
      <w:t xml:space="preserve">    230719    240719</w:t>
    </w:r>
    <w:r>
      <w:rPr>
        <w:sz w:val="20"/>
      </w:rPr>
      <w:br/>
    </w:r>
    <w:r w:rsidRPr="00CF2E3E">
      <w:rPr>
        <w:rFonts w:ascii="C39T30Lfz" w:hAnsi="C39T30Lfz"/>
        <w:sz w:val="56"/>
      </w:rPr>
      <w:t></w:t>
    </w:r>
    <w:r w:rsidRPr="00CF2E3E">
      <w:rPr>
        <w:rFonts w:ascii="C39T30Lfz" w:hAnsi="C39T30Lfz"/>
        <w:sz w:val="56"/>
      </w:rPr>
      <w:t></w:t>
    </w:r>
    <w:r w:rsidRPr="00CF2E3E">
      <w:rPr>
        <w:rFonts w:ascii="C39T30Lfz" w:hAnsi="C39T30Lfz"/>
        <w:sz w:val="56"/>
      </w:rPr>
      <w:t></w:t>
    </w:r>
    <w:r w:rsidRPr="00CF2E3E">
      <w:rPr>
        <w:rFonts w:ascii="C39T30Lfz" w:hAnsi="C39T30Lfz"/>
        <w:sz w:val="56"/>
      </w:rPr>
      <w:t></w:t>
    </w:r>
    <w:r w:rsidRPr="00CF2E3E">
      <w:rPr>
        <w:rFonts w:ascii="C39T30Lfz" w:hAnsi="C39T30Lfz"/>
        <w:sz w:val="56"/>
      </w:rPr>
      <w:t></w:t>
    </w:r>
    <w:r w:rsidRPr="00CF2E3E">
      <w:rPr>
        <w:rFonts w:ascii="C39T30Lfz" w:hAnsi="C39T30Lfz"/>
        <w:sz w:val="56"/>
      </w:rPr>
      <w:t></w:t>
    </w:r>
    <w:r w:rsidRPr="00CF2E3E">
      <w:rPr>
        <w:rFonts w:ascii="C39T30Lfz" w:hAnsi="C39T30Lfz"/>
        <w:sz w:val="56"/>
      </w:rPr>
      <w:t></w:t>
    </w:r>
    <w:r w:rsidRPr="00CF2E3E">
      <w:rPr>
        <w:rFonts w:ascii="C39T30Lfz" w:hAnsi="C39T30Lfz"/>
        <w:sz w:val="56"/>
      </w:rPr>
      <w:t></w:t>
    </w:r>
    <w:r w:rsidRPr="00CF2E3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A9" w:rsidRPr="00AC3823" w:rsidRDefault="007A5F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5FA9" w:rsidRPr="00AC3823" w:rsidRDefault="007A5F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5FA9" w:rsidRPr="00AC3823" w:rsidRDefault="007A5FA9">
      <w:pPr>
        <w:spacing w:line="240" w:lineRule="auto"/>
        <w:rPr>
          <w:sz w:val="2"/>
          <w:szCs w:val="2"/>
        </w:rPr>
      </w:pPr>
    </w:p>
  </w:footnote>
  <w:footnote w:id="2">
    <w:p w:rsidR="00DA5834" w:rsidRPr="00DA5834" w:rsidRDefault="00DA5834">
      <w:pPr>
        <w:pStyle w:val="FootnoteText"/>
      </w:pPr>
      <w:r>
        <w:rPr>
          <w:rStyle w:val="FootnoteReference"/>
        </w:rPr>
        <w:tab/>
      </w:r>
      <w:r w:rsidRPr="00DA58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001CC">
        <w:rPr>
          <w:spacing w:val="-1"/>
        </w:rPr>
        <w:t>Conformément au programme de travail du Comité des transports intérieurs pour la période 2018-2019</w:t>
      </w:r>
      <w:r>
        <w:t xml:space="preserve"> (ECE/TRANS/2018/21/Add.1, module 9 (9.2)).</w:t>
      </w:r>
    </w:p>
  </w:footnote>
  <w:footnote w:id="3">
    <w:p w:rsidR="00DA5834" w:rsidRPr="00DA5834" w:rsidRDefault="00DA5834">
      <w:pPr>
        <w:pStyle w:val="FootnoteText"/>
      </w:pPr>
      <w:r>
        <w:rPr>
          <w:rStyle w:val="FootnoteReference"/>
        </w:rPr>
        <w:tab/>
      </w:r>
      <w:r w:rsidRPr="00DA583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Diffusée par l’Organisation intergouvernementale pour les transports internationaux ferroviaires (OTIF) sous la cote OTIF/RID/RC/2019/33.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3E" w:rsidRPr="00CF2E3E" w:rsidRDefault="00121FB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F2E3E">
      <w:t>ECE/TRANS/WP.15/AC.1/2019/33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3E" w:rsidRPr="00CF2E3E" w:rsidRDefault="00121FBD" w:rsidP="00CF2E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F2E3E">
      <w:t>ECE/TRANS/WP.15/AC.1/2019/33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A9"/>
    <w:rsid w:val="000104F6"/>
    <w:rsid w:val="00017F94"/>
    <w:rsid w:val="00023842"/>
    <w:rsid w:val="000334F9"/>
    <w:rsid w:val="00045FEB"/>
    <w:rsid w:val="0007796D"/>
    <w:rsid w:val="00083EED"/>
    <w:rsid w:val="000B7790"/>
    <w:rsid w:val="001046BC"/>
    <w:rsid w:val="00111F2F"/>
    <w:rsid w:val="00121FBD"/>
    <w:rsid w:val="00127EBC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0496"/>
    <w:rsid w:val="003916DE"/>
    <w:rsid w:val="00421996"/>
    <w:rsid w:val="00441C3B"/>
    <w:rsid w:val="00446FE5"/>
    <w:rsid w:val="00452396"/>
    <w:rsid w:val="004837D8"/>
    <w:rsid w:val="004E2EED"/>
    <w:rsid w:val="004E468C"/>
    <w:rsid w:val="00504422"/>
    <w:rsid w:val="005505B7"/>
    <w:rsid w:val="00573BE5"/>
    <w:rsid w:val="00586ED3"/>
    <w:rsid w:val="00596AA9"/>
    <w:rsid w:val="006125D6"/>
    <w:rsid w:val="0071601D"/>
    <w:rsid w:val="007A5FA9"/>
    <w:rsid w:val="007A62E6"/>
    <w:rsid w:val="007B049D"/>
    <w:rsid w:val="007F20FA"/>
    <w:rsid w:val="0080684C"/>
    <w:rsid w:val="00826486"/>
    <w:rsid w:val="00871C75"/>
    <w:rsid w:val="008776DC"/>
    <w:rsid w:val="00941FD4"/>
    <w:rsid w:val="009446C0"/>
    <w:rsid w:val="009705C8"/>
    <w:rsid w:val="009C1CF4"/>
    <w:rsid w:val="009F5727"/>
    <w:rsid w:val="009F6B74"/>
    <w:rsid w:val="00A3029F"/>
    <w:rsid w:val="00A30353"/>
    <w:rsid w:val="00A45ABC"/>
    <w:rsid w:val="00A5585D"/>
    <w:rsid w:val="00A66ED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F2E3E"/>
    <w:rsid w:val="00D3439C"/>
    <w:rsid w:val="00DA5834"/>
    <w:rsid w:val="00DB1831"/>
    <w:rsid w:val="00DB6128"/>
    <w:rsid w:val="00DD3BFD"/>
    <w:rsid w:val="00DF6678"/>
    <w:rsid w:val="00E001CC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0DB351-0EAE-4AB0-BC8A-4B7078F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50442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001C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ECE/TRANS/WP.15/AC.1/2019/33</vt:lpstr>
      <vt:lpstr>ECE/TRANS/WP.15/AC.1/2019/33</vt:lpstr>
    </vt:vector>
  </TitlesOfParts>
  <Company>DCM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ECE/TRANS/WP.15/AC.1/2019/33</dc:title>
  <dc:subject/>
  <dc:creator>Corinne ROBERT</dc:creator>
  <cp:keywords/>
  <cp:lastModifiedBy>Christine Barrio-Champeau</cp:lastModifiedBy>
  <cp:revision>2</cp:revision>
  <cp:lastPrinted>2014-05-14T10:59:00Z</cp:lastPrinted>
  <dcterms:created xsi:type="dcterms:W3CDTF">2019-07-25T07:46:00Z</dcterms:created>
  <dcterms:modified xsi:type="dcterms:W3CDTF">2019-07-25T07:46:00Z</dcterms:modified>
</cp:coreProperties>
</file>