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A52C26" w:rsidRPr="00530C3E">
        <w:rPr>
          <w:b/>
        </w:rPr>
        <w:t>2</w:t>
      </w:r>
      <w:r w:rsidR="00AA7585">
        <w:rPr>
          <w:b/>
        </w:rPr>
        <w:t>0</w:t>
      </w:r>
      <w:r w:rsidR="00296DE6" w:rsidRPr="00F60C0F">
        <w:rPr>
          <w:b/>
        </w:rPr>
        <w:t xml:space="preserve"> </w:t>
      </w:r>
      <w:r w:rsidR="00CF28C6">
        <w:rPr>
          <w:b/>
        </w:rPr>
        <w:t xml:space="preserve">September </w:t>
      </w:r>
      <w:r w:rsidR="00296DE6" w:rsidRPr="00F60C0F">
        <w:rPr>
          <w:b/>
        </w:rPr>
        <w:t>201</w:t>
      </w:r>
      <w:r w:rsidR="00D769D3">
        <w:rPr>
          <w:b/>
        </w:rPr>
        <w:t>8</w:t>
      </w:r>
      <w:bookmarkStart w:id="0" w:name="_GoBack"/>
      <w:bookmarkEnd w:id="0"/>
    </w:p>
    <w:p w:rsidR="007252C0" w:rsidRPr="00B042C8" w:rsidRDefault="007252C0" w:rsidP="007252C0">
      <w:r>
        <w:t>Geneva</w:t>
      </w:r>
      <w:r w:rsidRPr="00B042C8">
        <w:t xml:space="preserve">, </w:t>
      </w:r>
      <w:r>
        <w:t>17-21 September</w:t>
      </w:r>
      <w:r w:rsidRPr="00B042C8">
        <w:t xml:space="preserve"> 201</w:t>
      </w:r>
      <w:r>
        <w:t>8</w:t>
      </w:r>
    </w:p>
    <w:p w:rsidR="007252C0" w:rsidRDefault="007252C0" w:rsidP="007252C0">
      <w:pPr>
        <w:rPr>
          <w:lang w:val="en-US"/>
        </w:rPr>
      </w:pPr>
      <w:r>
        <w:rPr>
          <w:lang w:val="en-US"/>
        </w:rPr>
        <w:t>Item 3 of the provisional agenda</w:t>
      </w:r>
    </w:p>
    <w:p w:rsidR="007C7034" w:rsidRPr="00F60C0F" w:rsidRDefault="007252C0" w:rsidP="007252C0">
      <w:r>
        <w:rPr>
          <w:b/>
        </w:rPr>
        <w:t>Standards</w:t>
      </w:r>
    </w:p>
    <w:p w:rsidR="007252C0" w:rsidRPr="00DB337F" w:rsidRDefault="000D2A5F" w:rsidP="00283DAD">
      <w:pPr>
        <w:pStyle w:val="HChG"/>
        <w:tabs>
          <w:tab w:val="clear" w:pos="851"/>
        </w:tabs>
        <w:rPr>
          <w:b w:val="0"/>
          <w:sz w:val="22"/>
          <w:szCs w:val="22"/>
        </w:rPr>
      </w:pPr>
      <w:r w:rsidRPr="00F60C0F">
        <w:tab/>
      </w:r>
      <w:r w:rsidRPr="00F60C0F">
        <w:tab/>
      </w:r>
      <w:r w:rsidR="007252C0" w:rsidRPr="00DB337F">
        <w:t>Report of the Standards Working Group</w:t>
      </w:r>
      <w:r w:rsidR="003A64C2">
        <w:t xml:space="preserve"> </w:t>
      </w:r>
      <w:r w:rsidR="007252C0" w:rsidRPr="00DB337F">
        <w:rPr>
          <w:sz w:val="22"/>
          <w:szCs w:val="22"/>
        </w:rPr>
        <w:t>(29</w:t>
      </w:r>
      <w:r w:rsidR="007252C0" w:rsidRPr="00DB337F">
        <w:rPr>
          <w:sz w:val="22"/>
          <w:szCs w:val="22"/>
          <w:vertAlign w:val="superscript"/>
        </w:rPr>
        <w:t>th</w:t>
      </w:r>
      <w:r w:rsidR="007252C0" w:rsidRPr="00DB337F">
        <w:rPr>
          <w:sz w:val="22"/>
          <w:szCs w:val="22"/>
        </w:rPr>
        <w:t xml:space="preserve"> meeting) </w:t>
      </w:r>
    </w:p>
    <w:p w:rsidR="007252C0" w:rsidRPr="00283DAD" w:rsidRDefault="00283DAD" w:rsidP="00041120">
      <w:pPr>
        <w:pStyle w:val="SingleTxtG"/>
        <w:rPr>
          <w:rStyle w:val="SingleTxtGZchnZchn"/>
          <w:lang w:eastAsia="ja-JP"/>
        </w:rPr>
      </w:pPr>
      <w:r w:rsidRPr="00283DAD">
        <w:rPr>
          <w:rStyle w:val="SingleTxtGZchnZchn"/>
          <w:lang w:eastAsia="ja-JP"/>
        </w:rPr>
        <w:t>1.</w:t>
      </w:r>
      <w:r w:rsidRPr="00283DAD">
        <w:rPr>
          <w:rStyle w:val="SingleTxtGZchnZchn"/>
          <w:lang w:eastAsia="ja-JP"/>
        </w:rPr>
        <w:tab/>
      </w:r>
      <w:r w:rsidR="007252C0" w:rsidRPr="00283DAD">
        <w:rPr>
          <w:rStyle w:val="SingleTxtGZchnZchn"/>
          <w:lang w:eastAsia="ja-JP"/>
        </w:rPr>
        <w:t xml:space="preserve">Reference is made to document ECE/TRANS/WP.15/AC.1/2018/28, which informs about the progress made in the establishment of new and the revision of published EN and EN ISO standards referenced or intended to be referenced in the RID/ADR/ADN. </w:t>
      </w:r>
    </w:p>
    <w:p w:rsidR="007252C0" w:rsidRPr="00283DAD" w:rsidRDefault="00283DAD" w:rsidP="00041120">
      <w:pPr>
        <w:pStyle w:val="SingleTxtG"/>
        <w:rPr>
          <w:rStyle w:val="SingleTxtGZchnZchn"/>
          <w:lang w:eastAsia="ja-JP"/>
        </w:rPr>
      </w:pPr>
      <w:r w:rsidRPr="00283DAD">
        <w:rPr>
          <w:rStyle w:val="SingleTxtGZchnZchn"/>
          <w:lang w:eastAsia="ja-JP"/>
        </w:rPr>
        <w:t>2.</w:t>
      </w:r>
      <w:r w:rsidRPr="00283DAD">
        <w:rPr>
          <w:rStyle w:val="SingleTxtGZchnZchn"/>
          <w:lang w:eastAsia="ja-JP"/>
        </w:rPr>
        <w:tab/>
      </w:r>
      <w:r w:rsidR="007252C0" w:rsidRPr="00283DAD">
        <w:rPr>
          <w:rStyle w:val="SingleTxtGZchnZchn"/>
          <w:lang w:eastAsia="ja-JP"/>
        </w:rPr>
        <w:t xml:space="preserve">A series of teleconferences took place on the 29th and 30th August to review the comments made by Contracting Parties/States and by the NAC Consultant. Comments were compiled by CCMC (see INF.15). Unresolved issues were discussed within the Joint Meeting Working Group Standard (17 – 19 September 2018). </w:t>
      </w:r>
    </w:p>
    <w:p w:rsidR="007252C0" w:rsidRPr="00283DAD" w:rsidRDefault="00283DAD" w:rsidP="00041120">
      <w:pPr>
        <w:pStyle w:val="SingleTxtG"/>
        <w:rPr>
          <w:rStyle w:val="SingleTxtGZchnZchn"/>
          <w:lang w:eastAsia="ja-JP"/>
        </w:rPr>
      </w:pPr>
      <w:r w:rsidRPr="00283DAD">
        <w:rPr>
          <w:rStyle w:val="SingleTxtGZchnZchn"/>
          <w:lang w:eastAsia="ja-JP"/>
        </w:rPr>
        <w:t>3.</w:t>
      </w:r>
      <w:r w:rsidRPr="00283DAD">
        <w:rPr>
          <w:rStyle w:val="SingleTxtGZchnZchn"/>
          <w:lang w:eastAsia="ja-JP"/>
        </w:rPr>
        <w:tab/>
      </w:r>
      <w:r w:rsidR="007252C0" w:rsidRPr="00283DAD">
        <w:rPr>
          <w:rStyle w:val="SingleTxtGZchnZchn"/>
          <w:lang w:eastAsia="ja-JP"/>
        </w:rPr>
        <w:t xml:space="preserve">There was a verbal request from the Joint Meeting to propose text for the 2021 ADRRID detailing the references for the standards approved in March but that could not be referred in the 2019 version of the RID/ADR due to late publication. </w:t>
      </w:r>
    </w:p>
    <w:p w:rsidR="007252C0" w:rsidRPr="00283DAD" w:rsidRDefault="007252C0" w:rsidP="00041120">
      <w:pPr>
        <w:pStyle w:val="SingleTxtG"/>
      </w:pPr>
      <w:r w:rsidRPr="00283DAD">
        <w:rPr>
          <w:rStyle w:val="SingleTxtGZchnZchn"/>
          <w:lang w:eastAsia="ja-JP"/>
        </w:rPr>
        <w:t>Moreover following a verbal report from the Standard Working Group chairman, the Joint Meeting asked the WG to further</w:t>
      </w:r>
      <w:r w:rsidRPr="00283DAD">
        <w:t xml:space="preserve"> study what could be the possibilities to replace the so called NAC Consultant.</w:t>
      </w:r>
    </w:p>
    <w:p w:rsidR="007252C0" w:rsidRPr="00DB337F" w:rsidRDefault="00283DAD" w:rsidP="00041120">
      <w:pPr>
        <w:pStyle w:val="SingleTxtG"/>
        <w:rPr>
          <w:b/>
        </w:rPr>
      </w:pPr>
      <w:r>
        <w:rPr>
          <w:b/>
        </w:rPr>
        <w:t>4.</w:t>
      </w:r>
      <w:r>
        <w:rPr>
          <w:b/>
        </w:rPr>
        <w:tab/>
      </w:r>
      <w:r w:rsidR="007252C0" w:rsidRPr="00DB337F">
        <w:rPr>
          <w:b/>
        </w:rPr>
        <w:t>Results</w:t>
      </w:r>
    </w:p>
    <w:p w:rsidR="007252C0" w:rsidRPr="00DB337F" w:rsidRDefault="007252C0" w:rsidP="00041120">
      <w:pPr>
        <w:pStyle w:val="SingleTxtG"/>
      </w:pPr>
      <w:r w:rsidRPr="00DB337F">
        <w:t>4.1</w:t>
      </w:r>
      <w:r w:rsidRPr="00DB337F">
        <w:tab/>
        <w:t xml:space="preserve">The agreed comments of the discussion on the coherence of the standards at enquiry and formal vote stage with relevant provisions of RID/ADR/ADN are summarized in </w:t>
      </w:r>
      <w:r w:rsidRPr="00DB337F">
        <w:rPr>
          <w:b/>
        </w:rPr>
        <w:t xml:space="preserve">INF.15 </w:t>
      </w:r>
      <w:r w:rsidRPr="00DB337F">
        <w:t>which will also be provided to the relevant Technical Committees of CEN for consideration.</w:t>
      </w:r>
    </w:p>
    <w:p w:rsidR="007252C0" w:rsidRPr="00DB337F" w:rsidRDefault="007252C0" w:rsidP="00041120">
      <w:pPr>
        <w:pStyle w:val="SingleTxtG"/>
      </w:pPr>
      <w:r w:rsidRPr="00DB337F">
        <w:t>4.2</w:t>
      </w:r>
      <w:r w:rsidRPr="00DB337F">
        <w:tab/>
        <w:t>List of standards for reference in the RID/ADR 2021</w:t>
      </w:r>
    </w:p>
    <w:p w:rsidR="007252C0" w:rsidRPr="00DB337F" w:rsidRDefault="00283DAD" w:rsidP="00283DAD">
      <w:pPr>
        <w:pStyle w:val="H1G"/>
      </w:pPr>
      <w:r>
        <w:tab/>
      </w:r>
      <w:r>
        <w:tab/>
      </w:r>
      <w:r w:rsidR="007252C0" w:rsidRPr="00DB337F">
        <w:t xml:space="preserve">Proposal 1    </w:t>
      </w:r>
    </w:p>
    <w:p w:rsidR="007252C0" w:rsidRPr="00DB337F" w:rsidRDefault="007252C0" w:rsidP="00283DAD">
      <w:pPr>
        <w:keepNext/>
        <w:spacing w:before="120" w:after="120" w:line="240" w:lineRule="auto"/>
        <w:ind w:left="1134"/>
        <w:jc w:val="both"/>
        <w:rPr>
          <w:b/>
        </w:rPr>
      </w:pPr>
      <w:r w:rsidRPr="00DB337F">
        <w:rPr>
          <w:b/>
        </w:rPr>
        <w:t xml:space="preserve">Part1: </w:t>
      </w:r>
      <w:r w:rsidRPr="00DB337F">
        <w:t>For RID/ADR in the table in 6.2.4.2 the text in bold shall be added:</w:t>
      </w:r>
    </w:p>
    <w:tbl>
      <w:tblPr>
        <w:tblW w:w="850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4524"/>
        <w:gridCol w:w="2085"/>
      </w:tblGrid>
      <w:tr w:rsidR="007252C0" w:rsidRPr="0089011D" w:rsidTr="0089011D">
        <w:trPr>
          <w:trHeight w:val="982"/>
        </w:trPr>
        <w:tc>
          <w:tcPr>
            <w:tcW w:w="2043"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Reference</w:t>
            </w:r>
          </w:p>
        </w:tc>
        <w:tc>
          <w:tcPr>
            <w:tcW w:w="4905"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Title of document</w:t>
            </w:r>
          </w:p>
        </w:tc>
        <w:tc>
          <w:tcPr>
            <w:tcW w:w="2249"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Applicable sub-sections and paragraphs</w:t>
            </w:r>
          </w:p>
        </w:tc>
      </w:tr>
      <w:tr w:rsidR="007252C0" w:rsidRPr="0089011D" w:rsidTr="0089011D">
        <w:trPr>
          <w:trHeight w:val="311"/>
        </w:trPr>
        <w:tc>
          <w:tcPr>
            <w:tcW w:w="2043"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(1)</w:t>
            </w:r>
          </w:p>
        </w:tc>
        <w:tc>
          <w:tcPr>
            <w:tcW w:w="4905"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(2)</w:t>
            </w:r>
          </w:p>
        </w:tc>
        <w:tc>
          <w:tcPr>
            <w:tcW w:w="2249"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(3)</w:t>
            </w:r>
          </w:p>
        </w:tc>
      </w:tr>
      <w:tr w:rsidR="007252C0" w:rsidRPr="0089011D" w:rsidTr="0089011D">
        <w:trPr>
          <w:trHeight w:val="742"/>
        </w:trPr>
        <w:tc>
          <w:tcPr>
            <w:tcW w:w="2043" w:type="dxa"/>
            <w:vAlign w:val="center"/>
          </w:tcPr>
          <w:p w:rsidR="007252C0" w:rsidRPr="0089011D" w:rsidRDefault="007252C0" w:rsidP="0089011D">
            <w:pPr>
              <w:widowControl w:val="0"/>
              <w:spacing w:before="40" w:after="40"/>
              <w:rPr>
                <w:sz w:val="18"/>
                <w:szCs w:val="18"/>
              </w:rPr>
            </w:pPr>
            <w:r w:rsidRPr="0089011D">
              <w:rPr>
                <w:iCs/>
                <w:sz w:val="18"/>
                <w:szCs w:val="18"/>
              </w:rPr>
              <w:t>EN 1802:2002 (except annex B)</w:t>
            </w:r>
          </w:p>
        </w:tc>
        <w:tc>
          <w:tcPr>
            <w:tcW w:w="4905" w:type="dxa"/>
            <w:vAlign w:val="center"/>
          </w:tcPr>
          <w:p w:rsidR="007252C0" w:rsidRPr="0089011D" w:rsidRDefault="007252C0" w:rsidP="0089011D">
            <w:pPr>
              <w:widowControl w:val="0"/>
              <w:spacing w:before="40" w:after="40"/>
              <w:rPr>
                <w:sz w:val="18"/>
                <w:szCs w:val="18"/>
              </w:rPr>
            </w:pPr>
            <w:r w:rsidRPr="0089011D">
              <w:rPr>
                <w:iCs/>
                <w:sz w:val="18"/>
                <w:szCs w:val="18"/>
              </w:rPr>
              <w:t>Transportable gas cylinders - Periodic inspection and testing of seamless aluminium alloy gas cylinders</w:t>
            </w:r>
          </w:p>
        </w:tc>
        <w:tc>
          <w:tcPr>
            <w:tcW w:w="2249" w:type="dxa"/>
          </w:tcPr>
          <w:p w:rsidR="007252C0" w:rsidRPr="0089011D" w:rsidRDefault="007252C0" w:rsidP="0089011D">
            <w:pPr>
              <w:widowControl w:val="0"/>
              <w:spacing w:before="40" w:after="40"/>
              <w:jc w:val="center"/>
              <w:rPr>
                <w:sz w:val="18"/>
                <w:szCs w:val="18"/>
              </w:rPr>
            </w:pPr>
            <w:r w:rsidRPr="0089011D">
              <w:rPr>
                <w:b/>
                <w:sz w:val="18"/>
                <w:szCs w:val="18"/>
              </w:rPr>
              <w:t>Until 31 December 2022</w:t>
            </w:r>
          </w:p>
        </w:tc>
      </w:tr>
      <w:tr w:rsidR="007252C0" w:rsidRPr="0089011D" w:rsidTr="0089011D">
        <w:trPr>
          <w:trHeight w:val="359"/>
        </w:trPr>
        <w:tc>
          <w:tcPr>
            <w:tcW w:w="2043" w:type="dxa"/>
            <w:vAlign w:val="center"/>
          </w:tcPr>
          <w:p w:rsidR="007252C0" w:rsidRPr="0089011D" w:rsidRDefault="007252C0" w:rsidP="0089011D">
            <w:pPr>
              <w:widowControl w:val="0"/>
              <w:spacing w:before="40" w:after="40"/>
              <w:jc w:val="center"/>
              <w:rPr>
                <w:iCs/>
                <w:sz w:val="18"/>
                <w:szCs w:val="18"/>
                <w:lang w:val="fr-BE"/>
              </w:rPr>
            </w:pPr>
            <w:r w:rsidRPr="0089011D">
              <w:rPr>
                <w:iCs/>
                <w:sz w:val="18"/>
                <w:szCs w:val="18"/>
                <w:lang w:val="fr-BE"/>
              </w:rPr>
              <w:t>EN 1968:2002 +A1:2005 (except annex B)</w:t>
            </w:r>
          </w:p>
        </w:tc>
        <w:tc>
          <w:tcPr>
            <w:tcW w:w="4905" w:type="dxa"/>
            <w:vAlign w:val="center"/>
          </w:tcPr>
          <w:p w:rsidR="007252C0" w:rsidRPr="0089011D" w:rsidRDefault="007252C0" w:rsidP="0089011D">
            <w:pPr>
              <w:widowControl w:val="0"/>
              <w:spacing w:before="40" w:after="40"/>
              <w:rPr>
                <w:iCs/>
                <w:sz w:val="18"/>
                <w:szCs w:val="18"/>
              </w:rPr>
            </w:pPr>
            <w:r w:rsidRPr="0089011D">
              <w:rPr>
                <w:iCs/>
                <w:sz w:val="18"/>
                <w:szCs w:val="18"/>
              </w:rPr>
              <w:t>Transportable gas cylinders - Periodic inspection and testing of seamless steel gas cylinders</w:t>
            </w:r>
          </w:p>
        </w:tc>
        <w:tc>
          <w:tcPr>
            <w:tcW w:w="2249" w:type="dxa"/>
            <w:vAlign w:val="center"/>
          </w:tcPr>
          <w:p w:rsidR="007252C0" w:rsidRPr="0089011D" w:rsidRDefault="007252C0" w:rsidP="0089011D">
            <w:pPr>
              <w:widowControl w:val="0"/>
              <w:spacing w:before="40" w:after="40"/>
              <w:jc w:val="center"/>
              <w:rPr>
                <w:b/>
                <w:sz w:val="18"/>
                <w:szCs w:val="18"/>
              </w:rPr>
            </w:pPr>
            <w:r w:rsidRPr="0089011D">
              <w:rPr>
                <w:b/>
                <w:sz w:val="18"/>
                <w:szCs w:val="18"/>
              </w:rPr>
              <w:t>Until 31 December 2022</w:t>
            </w:r>
          </w:p>
        </w:tc>
      </w:tr>
      <w:tr w:rsidR="007252C0" w:rsidRPr="0089011D" w:rsidTr="0089011D">
        <w:trPr>
          <w:trHeight w:val="1015"/>
        </w:trPr>
        <w:tc>
          <w:tcPr>
            <w:tcW w:w="2043" w:type="dxa"/>
            <w:vAlign w:val="center"/>
          </w:tcPr>
          <w:p w:rsidR="007252C0" w:rsidRPr="0089011D" w:rsidRDefault="007252C0" w:rsidP="0089011D">
            <w:pPr>
              <w:widowControl w:val="0"/>
              <w:spacing w:before="40" w:after="40"/>
              <w:jc w:val="center"/>
              <w:rPr>
                <w:iCs/>
                <w:sz w:val="18"/>
                <w:szCs w:val="18"/>
              </w:rPr>
            </w:pPr>
            <w:r w:rsidRPr="0089011D">
              <w:rPr>
                <w:b/>
                <w:noProof/>
                <w:sz w:val="18"/>
                <w:szCs w:val="18"/>
              </w:rPr>
              <w:lastRenderedPageBreak/>
              <w:t>EN ISO 18119:[2018]</w:t>
            </w:r>
          </w:p>
        </w:tc>
        <w:tc>
          <w:tcPr>
            <w:tcW w:w="4905" w:type="dxa"/>
            <w:vAlign w:val="center"/>
          </w:tcPr>
          <w:p w:rsidR="007252C0" w:rsidRPr="0089011D" w:rsidRDefault="007252C0" w:rsidP="0089011D">
            <w:pPr>
              <w:widowControl w:val="0"/>
              <w:spacing w:before="40" w:after="40"/>
              <w:rPr>
                <w:b/>
                <w:noProof/>
                <w:sz w:val="18"/>
                <w:szCs w:val="18"/>
              </w:rPr>
            </w:pPr>
            <w:r w:rsidRPr="0089011D">
              <w:rPr>
                <w:b/>
                <w:noProof/>
                <w:sz w:val="18"/>
                <w:szCs w:val="18"/>
              </w:rPr>
              <w:t>Gas cylinders - Seamless steel and seamless aluminium-alloy gas cylinders and tubes - Periodic inspection and testing</w:t>
            </w:r>
          </w:p>
          <w:p w:rsidR="007252C0" w:rsidRPr="0089011D" w:rsidRDefault="007252C0" w:rsidP="0089011D">
            <w:pPr>
              <w:widowControl w:val="0"/>
              <w:spacing w:before="40" w:after="40"/>
              <w:rPr>
                <w:b/>
                <w:iCs/>
                <w:sz w:val="18"/>
                <w:szCs w:val="18"/>
              </w:rPr>
            </w:pPr>
            <w:r w:rsidRPr="0089011D">
              <w:rPr>
                <w:b/>
                <w:noProof/>
                <w:sz w:val="18"/>
                <w:szCs w:val="18"/>
              </w:rPr>
              <w:t xml:space="preserve">NOTE: </w:t>
            </w:r>
            <w:r w:rsidRPr="0089011D">
              <w:rPr>
                <w:b/>
                <w:i/>
                <w:noProof/>
                <w:sz w:val="18"/>
                <w:szCs w:val="18"/>
              </w:rPr>
              <w:t>Notwithstanding clause B.1 of this standard, all cylinders and tubes whose wall thickness is less than the minimum design wall thickness shall be rejected.</w:t>
            </w:r>
          </w:p>
        </w:tc>
        <w:tc>
          <w:tcPr>
            <w:tcW w:w="2249" w:type="dxa"/>
            <w:vAlign w:val="center"/>
          </w:tcPr>
          <w:p w:rsidR="007252C0" w:rsidRPr="0089011D" w:rsidRDefault="007252C0" w:rsidP="0089011D">
            <w:pPr>
              <w:widowControl w:val="0"/>
              <w:spacing w:before="40" w:after="40"/>
              <w:jc w:val="center"/>
              <w:rPr>
                <w:b/>
                <w:sz w:val="18"/>
                <w:szCs w:val="18"/>
              </w:rPr>
            </w:pPr>
            <w:r w:rsidRPr="0089011D">
              <w:rPr>
                <w:b/>
                <w:bCs/>
                <w:sz w:val="18"/>
                <w:szCs w:val="18"/>
              </w:rPr>
              <w:t>Mandatorily from 1 January 2023</w:t>
            </w:r>
          </w:p>
        </w:tc>
      </w:tr>
    </w:tbl>
    <w:p w:rsidR="007252C0" w:rsidRPr="00DB337F" w:rsidRDefault="007252C0" w:rsidP="007252C0">
      <w:pPr>
        <w:spacing w:before="120" w:line="240" w:lineRule="auto"/>
        <w:ind w:left="1134"/>
        <w:jc w:val="both"/>
        <w:rPr>
          <w:b/>
        </w:rPr>
      </w:pPr>
      <w:r w:rsidRPr="00DB337F">
        <w:rPr>
          <w:b/>
        </w:rPr>
        <w:t>Part2:</w:t>
      </w:r>
    </w:p>
    <w:p w:rsidR="007252C0" w:rsidRPr="00DB337F" w:rsidRDefault="007252C0" w:rsidP="00041120">
      <w:pPr>
        <w:pStyle w:val="SingleTxtG"/>
        <w:spacing w:before="120"/>
        <w:rPr>
          <w:bCs/>
          <w:iCs/>
        </w:rPr>
      </w:pPr>
      <w:r w:rsidRPr="00DB337F">
        <w:rPr>
          <w:bCs/>
          <w:iCs/>
        </w:rPr>
        <w:t>In 6.2.3.5.1 replace NOTE 3 with:</w:t>
      </w:r>
    </w:p>
    <w:p w:rsidR="007252C0" w:rsidRPr="00DB337F" w:rsidRDefault="007252C0" w:rsidP="003A64C2">
      <w:pPr>
        <w:spacing w:before="120" w:line="240" w:lineRule="auto"/>
        <w:ind w:left="1134" w:right="1134" w:firstLine="6"/>
        <w:jc w:val="both"/>
        <w:rPr>
          <w:b/>
        </w:rPr>
      </w:pPr>
      <w:r w:rsidRPr="00DB337F">
        <w:rPr>
          <w:b/>
          <w:bCs/>
          <w:i/>
          <w:iCs/>
        </w:rPr>
        <w:t xml:space="preserve">“NOTE 3: </w:t>
      </w:r>
      <w:r w:rsidRPr="00DB337F">
        <w:rPr>
          <w:bCs/>
          <w:i/>
          <w:iCs/>
        </w:rPr>
        <w:t>The check of 6.2.1.6.1 (b) and the hydraulic pressure test of 6.2.1.6.1 (d) may be replaced by ultrasonic examination carried out in accordance with EN ISO 18119:[2018] for cylinders and tubes of seamless steel or seamless aluminium alloy. Notwithstanding clause B.1 of this standard, all cylinders and tubes whose wall thickness is less than the minimum design thickness shall be rejected.”</w:t>
      </w:r>
    </w:p>
    <w:p w:rsidR="007252C0" w:rsidRPr="00DB337F" w:rsidRDefault="007252C0" w:rsidP="00041120">
      <w:pPr>
        <w:pStyle w:val="SingleTxtG"/>
        <w:spacing w:before="120"/>
      </w:pPr>
      <w:r w:rsidRPr="00DB337F">
        <w:t>In 1.6.2 add a new transition provision:</w:t>
      </w:r>
    </w:p>
    <w:p w:rsidR="007252C0" w:rsidRPr="00DB337F" w:rsidRDefault="007252C0" w:rsidP="003A64C2">
      <w:pPr>
        <w:spacing w:before="120" w:line="240" w:lineRule="auto"/>
        <w:ind w:left="1134" w:right="1134"/>
        <w:jc w:val="both"/>
      </w:pPr>
      <w:r w:rsidRPr="00DB337F">
        <w:t>“1.6.2.xx</w:t>
      </w:r>
      <w:r w:rsidRPr="00DB337F">
        <w:tab/>
        <w:t xml:space="preserve">The requirements of NOTE 3 of 6.2.3.5.1 applicable until 31 December 2020 </w:t>
      </w:r>
      <w:r w:rsidR="0089011D">
        <w:tab/>
      </w:r>
      <w:r w:rsidR="0089011D">
        <w:tab/>
      </w:r>
      <w:r w:rsidR="0089011D">
        <w:tab/>
      </w:r>
      <w:r w:rsidR="0089011D">
        <w:tab/>
      </w:r>
      <w:r w:rsidRPr="00DB337F">
        <w:t>may continue to be applied until 31</w:t>
      </w:r>
      <w:r w:rsidRPr="00DB337F">
        <w:rPr>
          <w:vertAlign w:val="superscript"/>
        </w:rPr>
        <w:t xml:space="preserve"> </w:t>
      </w:r>
      <w:r w:rsidRPr="00DB337F">
        <w:t>December 2022.”</w:t>
      </w:r>
    </w:p>
    <w:p w:rsidR="007252C0" w:rsidRPr="00DB337F" w:rsidRDefault="00283DAD" w:rsidP="00283DAD">
      <w:pPr>
        <w:pStyle w:val="H1G"/>
        <w:rPr>
          <w:rFonts w:ascii="(Asiatische Schriftart verwende" w:hAnsi="(Asiatische Schriftart verwende"/>
        </w:rPr>
      </w:pPr>
      <w:r>
        <w:tab/>
      </w:r>
      <w:r>
        <w:tab/>
      </w:r>
      <w:r w:rsidR="007252C0" w:rsidRPr="00DB337F">
        <w:t xml:space="preserve">Proposal 2    For RID/ADR in </w:t>
      </w:r>
      <w:r w:rsidR="007252C0" w:rsidRPr="00DB337F">
        <w:rPr>
          <w:rFonts w:ascii="(Asiatische Schriftart verwende" w:hAnsi="(Asiatische Schriftart verwende"/>
        </w:rPr>
        <w:t>6.2.4.1 (new text in bold)</w:t>
      </w:r>
    </w:p>
    <w:tbl>
      <w:tblPr>
        <w:tblW w:w="850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123"/>
        <w:gridCol w:w="1443"/>
        <w:gridCol w:w="1313"/>
        <w:gridCol w:w="1314"/>
      </w:tblGrid>
      <w:tr w:rsidR="007252C0" w:rsidRPr="0089011D" w:rsidTr="0089011D">
        <w:tc>
          <w:tcPr>
            <w:tcW w:w="141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Reference</w:t>
            </w:r>
          </w:p>
        </w:tc>
        <w:tc>
          <w:tcPr>
            <w:tcW w:w="3402"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Title of document</w:t>
            </w:r>
          </w:p>
        </w:tc>
        <w:tc>
          <w:tcPr>
            <w:tcW w:w="1560"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Applicable sub-sections and paragraphs</w:t>
            </w:r>
          </w:p>
        </w:tc>
        <w:tc>
          <w:tcPr>
            <w:tcW w:w="141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Applicable for new type approvals or for renewals</w:t>
            </w:r>
          </w:p>
        </w:tc>
        <w:tc>
          <w:tcPr>
            <w:tcW w:w="1418"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Latest date for withdrawal of existing type approvals</w:t>
            </w:r>
          </w:p>
        </w:tc>
      </w:tr>
      <w:tr w:rsidR="007252C0" w:rsidRPr="0089011D" w:rsidTr="0089011D">
        <w:tc>
          <w:tcPr>
            <w:tcW w:w="141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(1)</w:t>
            </w:r>
          </w:p>
        </w:tc>
        <w:tc>
          <w:tcPr>
            <w:tcW w:w="3402"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(2)</w:t>
            </w:r>
          </w:p>
        </w:tc>
        <w:tc>
          <w:tcPr>
            <w:tcW w:w="1560"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(3)</w:t>
            </w:r>
          </w:p>
        </w:tc>
        <w:tc>
          <w:tcPr>
            <w:tcW w:w="141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(4)</w:t>
            </w:r>
          </w:p>
        </w:tc>
        <w:tc>
          <w:tcPr>
            <w:tcW w:w="1418"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(5)</w:t>
            </w:r>
          </w:p>
        </w:tc>
      </w:tr>
      <w:tr w:rsidR="007252C0" w:rsidRPr="0089011D" w:rsidTr="0089011D">
        <w:tc>
          <w:tcPr>
            <w:tcW w:w="9214" w:type="dxa"/>
            <w:gridSpan w:val="5"/>
            <w:vAlign w:val="center"/>
          </w:tcPr>
          <w:p w:rsidR="007252C0" w:rsidRPr="0089011D" w:rsidRDefault="007252C0" w:rsidP="0089011D">
            <w:pPr>
              <w:keepNext/>
              <w:keepLines/>
              <w:spacing w:before="40" w:after="40" w:line="240" w:lineRule="auto"/>
              <w:rPr>
                <w:i/>
                <w:sz w:val="18"/>
                <w:szCs w:val="18"/>
              </w:rPr>
            </w:pPr>
            <w:r w:rsidRPr="0089011D">
              <w:rPr>
                <w:i/>
                <w:sz w:val="18"/>
                <w:szCs w:val="18"/>
              </w:rPr>
              <w:t>For design and construction</w:t>
            </w:r>
          </w:p>
        </w:tc>
      </w:tr>
      <w:tr w:rsidR="007252C0" w:rsidRPr="0089011D" w:rsidTr="0089011D">
        <w:trPr>
          <w:trHeight w:val="1285"/>
        </w:trPr>
        <w:tc>
          <w:tcPr>
            <w:tcW w:w="1417" w:type="dxa"/>
          </w:tcPr>
          <w:p w:rsidR="007252C0" w:rsidRPr="0089011D" w:rsidRDefault="007252C0" w:rsidP="0089011D">
            <w:pPr>
              <w:widowControl w:val="0"/>
              <w:spacing w:before="40" w:after="40"/>
              <w:jc w:val="center"/>
              <w:rPr>
                <w:sz w:val="18"/>
                <w:szCs w:val="18"/>
                <w:highlight w:val="green"/>
              </w:rPr>
            </w:pPr>
            <w:r w:rsidRPr="0089011D">
              <w:rPr>
                <w:sz w:val="18"/>
                <w:szCs w:val="18"/>
              </w:rPr>
              <w:t>EN 12807:2008</w:t>
            </w:r>
          </w:p>
        </w:tc>
        <w:tc>
          <w:tcPr>
            <w:tcW w:w="3402" w:type="dxa"/>
          </w:tcPr>
          <w:p w:rsidR="007252C0" w:rsidRPr="0089011D" w:rsidRDefault="007252C0" w:rsidP="0089011D">
            <w:pPr>
              <w:widowControl w:val="0"/>
              <w:spacing w:before="40" w:after="40"/>
              <w:jc w:val="center"/>
              <w:rPr>
                <w:sz w:val="18"/>
                <w:szCs w:val="18"/>
                <w:highlight w:val="green"/>
              </w:rPr>
            </w:pPr>
            <w:r w:rsidRPr="0089011D">
              <w:rPr>
                <w:sz w:val="18"/>
                <w:szCs w:val="18"/>
              </w:rPr>
              <w:t>LPG equipment and accessories - Transportable refillable brazed steel cylinders for liquefied petroleum gas (LPG) - Design and construction</w:t>
            </w:r>
          </w:p>
        </w:tc>
        <w:tc>
          <w:tcPr>
            <w:tcW w:w="1560" w:type="dxa"/>
          </w:tcPr>
          <w:p w:rsidR="007252C0" w:rsidRPr="0089011D" w:rsidRDefault="007252C0" w:rsidP="0089011D">
            <w:pPr>
              <w:widowControl w:val="0"/>
              <w:spacing w:before="40" w:after="40"/>
              <w:rPr>
                <w:sz w:val="18"/>
                <w:szCs w:val="18"/>
                <w:highlight w:val="green"/>
              </w:rPr>
            </w:pPr>
            <w:r w:rsidRPr="0089011D">
              <w:rPr>
                <w:sz w:val="18"/>
                <w:szCs w:val="18"/>
              </w:rPr>
              <w:t>6.2.3.1 and 6.2.3.4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252C0" w:rsidRPr="0089011D" w:rsidRDefault="007252C0" w:rsidP="0089011D">
            <w:pPr>
              <w:autoSpaceDE w:val="0"/>
              <w:autoSpaceDN w:val="0"/>
              <w:adjustRightInd w:val="0"/>
              <w:spacing w:before="40" w:after="40" w:line="240" w:lineRule="auto"/>
              <w:jc w:val="center"/>
              <w:rPr>
                <w:b/>
                <w:sz w:val="18"/>
                <w:szCs w:val="18"/>
              </w:rPr>
            </w:pPr>
            <w:r w:rsidRPr="0089011D">
              <w:rPr>
                <w:b/>
                <w:bCs/>
                <w:sz w:val="18"/>
                <w:szCs w:val="18"/>
              </w:rPr>
              <w:t>Between 1 January 2009 and 31 December 2022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252C0" w:rsidRPr="0089011D" w:rsidRDefault="007252C0" w:rsidP="0089011D">
            <w:pPr>
              <w:widowControl w:val="0"/>
              <w:spacing w:before="40" w:after="40"/>
              <w:jc w:val="center"/>
              <w:rPr>
                <w:bCs/>
                <w:sz w:val="18"/>
                <w:szCs w:val="18"/>
              </w:rPr>
            </w:pPr>
          </w:p>
        </w:tc>
      </w:tr>
      <w:tr w:rsidR="007252C0" w:rsidRPr="0089011D" w:rsidTr="0089011D">
        <w:tc>
          <w:tcPr>
            <w:tcW w:w="1417" w:type="dxa"/>
          </w:tcPr>
          <w:p w:rsidR="007252C0" w:rsidRPr="0089011D" w:rsidRDefault="007252C0" w:rsidP="0089011D">
            <w:pPr>
              <w:widowControl w:val="0"/>
              <w:spacing w:before="40" w:after="40"/>
              <w:jc w:val="center"/>
              <w:rPr>
                <w:bCs/>
                <w:sz w:val="18"/>
                <w:szCs w:val="18"/>
              </w:rPr>
            </w:pPr>
            <w:r w:rsidRPr="0089011D">
              <w:rPr>
                <w:b/>
                <w:iCs/>
                <w:sz w:val="18"/>
                <w:szCs w:val="18"/>
              </w:rPr>
              <w:t>EN 12807:[2019]</w:t>
            </w:r>
          </w:p>
        </w:tc>
        <w:tc>
          <w:tcPr>
            <w:tcW w:w="3402" w:type="dxa"/>
            <w:vAlign w:val="center"/>
          </w:tcPr>
          <w:p w:rsidR="007252C0" w:rsidRPr="0089011D" w:rsidRDefault="007252C0" w:rsidP="0089011D">
            <w:pPr>
              <w:widowControl w:val="0"/>
              <w:spacing w:before="40" w:after="40"/>
              <w:rPr>
                <w:b/>
                <w:sz w:val="18"/>
                <w:szCs w:val="18"/>
                <w:highlight w:val="green"/>
              </w:rPr>
            </w:pPr>
            <w:r w:rsidRPr="0089011D">
              <w:rPr>
                <w:b/>
                <w:sz w:val="18"/>
                <w:szCs w:val="18"/>
              </w:rPr>
              <w:t>LPG equipment and accessories - Transportable refillable brazed steel cylinders for liquefied petroleum gas (LPG) - Design and construction</w:t>
            </w:r>
          </w:p>
        </w:tc>
        <w:tc>
          <w:tcPr>
            <w:tcW w:w="1560" w:type="dxa"/>
          </w:tcPr>
          <w:p w:rsidR="007252C0" w:rsidRPr="0089011D" w:rsidRDefault="007252C0" w:rsidP="0089011D">
            <w:pPr>
              <w:widowControl w:val="0"/>
              <w:spacing w:before="40" w:after="40"/>
              <w:rPr>
                <w:b/>
                <w:sz w:val="18"/>
                <w:szCs w:val="18"/>
                <w:highlight w:val="green"/>
              </w:rPr>
            </w:pPr>
            <w:r w:rsidRPr="0089011D">
              <w:rPr>
                <w:b/>
                <w:sz w:val="18"/>
                <w:szCs w:val="18"/>
              </w:rPr>
              <w:t>6.2.3.1 and 6.2.3.4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252C0" w:rsidRPr="0089011D" w:rsidRDefault="007252C0" w:rsidP="0089011D">
            <w:pPr>
              <w:widowControl w:val="0"/>
              <w:spacing w:before="40" w:after="40"/>
              <w:jc w:val="center"/>
              <w:rPr>
                <w:b/>
                <w:sz w:val="18"/>
                <w:szCs w:val="18"/>
              </w:rPr>
            </w:pPr>
            <w:r w:rsidRPr="0089011D">
              <w:rPr>
                <w:b/>
                <w:bCs/>
                <w:sz w:val="18"/>
                <w:szCs w:val="18"/>
              </w:rPr>
              <w:t>Until further notice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7252C0" w:rsidRPr="0089011D" w:rsidRDefault="007252C0" w:rsidP="0089011D">
            <w:pPr>
              <w:widowControl w:val="0"/>
              <w:spacing w:before="40" w:after="40"/>
              <w:jc w:val="center"/>
              <w:rPr>
                <w:bCs/>
                <w:sz w:val="18"/>
                <w:szCs w:val="18"/>
              </w:rPr>
            </w:pPr>
          </w:p>
        </w:tc>
      </w:tr>
    </w:tbl>
    <w:p w:rsidR="007252C0" w:rsidRPr="00DB337F" w:rsidRDefault="00283DAD" w:rsidP="00283DAD">
      <w:pPr>
        <w:pStyle w:val="H1G"/>
      </w:pPr>
      <w:r>
        <w:tab/>
      </w:r>
      <w:r>
        <w:tab/>
      </w:r>
      <w:r w:rsidR="007252C0" w:rsidRPr="00DB337F">
        <w:t>Proposal 3    For ADR in 6.8.2.6.1</w:t>
      </w:r>
      <w:r w:rsidR="007252C0" w:rsidRPr="00DB337F">
        <w:rPr>
          <w:rFonts w:ascii="(Asiatische Schriftart verwende" w:hAnsi="(Asiatische Schriftart verwende"/>
        </w:rPr>
        <w:t xml:space="preserve"> (new text in bold)</w:t>
      </w:r>
      <w:r w:rsidR="007252C0" w:rsidRPr="00DB337F">
        <w:t xml:space="preserve">      </w:t>
      </w:r>
    </w:p>
    <w:tbl>
      <w:tblPr>
        <w:tblW w:w="867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848"/>
        <w:gridCol w:w="1443"/>
        <w:gridCol w:w="1520"/>
        <w:gridCol w:w="1276"/>
      </w:tblGrid>
      <w:tr w:rsidR="007252C0" w:rsidRPr="0089011D" w:rsidTr="0089011D">
        <w:tc>
          <w:tcPr>
            <w:tcW w:w="158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Reference</w:t>
            </w:r>
          </w:p>
        </w:tc>
        <w:tc>
          <w:tcPr>
            <w:tcW w:w="2848"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Title of document</w:t>
            </w:r>
          </w:p>
        </w:tc>
        <w:tc>
          <w:tcPr>
            <w:tcW w:w="1443"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Applicable sub-sections and paragraphs</w:t>
            </w:r>
          </w:p>
        </w:tc>
        <w:tc>
          <w:tcPr>
            <w:tcW w:w="1520"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Applicable for new type approvals or for renewals</w:t>
            </w:r>
          </w:p>
        </w:tc>
        <w:tc>
          <w:tcPr>
            <w:tcW w:w="1276"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Latest date for withdrawal of existing type approvals</w:t>
            </w:r>
          </w:p>
        </w:tc>
      </w:tr>
      <w:tr w:rsidR="007252C0" w:rsidRPr="0089011D" w:rsidTr="0089011D">
        <w:tc>
          <w:tcPr>
            <w:tcW w:w="1587"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(1)</w:t>
            </w:r>
          </w:p>
        </w:tc>
        <w:tc>
          <w:tcPr>
            <w:tcW w:w="2848"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(2)</w:t>
            </w:r>
          </w:p>
        </w:tc>
        <w:tc>
          <w:tcPr>
            <w:tcW w:w="1443"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(3)</w:t>
            </w:r>
          </w:p>
        </w:tc>
        <w:tc>
          <w:tcPr>
            <w:tcW w:w="1520"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(4)</w:t>
            </w:r>
          </w:p>
        </w:tc>
        <w:tc>
          <w:tcPr>
            <w:tcW w:w="1276" w:type="dxa"/>
            <w:vAlign w:val="center"/>
          </w:tcPr>
          <w:p w:rsidR="007252C0" w:rsidRPr="0089011D" w:rsidRDefault="007252C0" w:rsidP="0089011D">
            <w:pPr>
              <w:keepNext/>
              <w:keepLines/>
              <w:spacing w:before="40" w:after="40" w:line="240" w:lineRule="auto"/>
              <w:jc w:val="center"/>
              <w:rPr>
                <w:sz w:val="18"/>
                <w:szCs w:val="18"/>
              </w:rPr>
            </w:pPr>
            <w:r w:rsidRPr="0089011D">
              <w:rPr>
                <w:sz w:val="18"/>
                <w:szCs w:val="18"/>
              </w:rPr>
              <w:t>(5)</w:t>
            </w:r>
          </w:p>
        </w:tc>
      </w:tr>
      <w:tr w:rsidR="007252C0" w:rsidRPr="0089011D" w:rsidTr="0089011D">
        <w:tc>
          <w:tcPr>
            <w:tcW w:w="8674" w:type="dxa"/>
            <w:gridSpan w:val="5"/>
            <w:vAlign w:val="center"/>
          </w:tcPr>
          <w:p w:rsidR="007252C0" w:rsidRPr="0089011D" w:rsidRDefault="007252C0" w:rsidP="0089011D">
            <w:pPr>
              <w:keepNext/>
              <w:keepLines/>
              <w:spacing w:before="40" w:after="40" w:line="240" w:lineRule="auto"/>
              <w:rPr>
                <w:i/>
                <w:sz w:val="18"/>
                <w:szCs w:val="18"/>
              </w:rPr>
            </w:pPr>
            <w:r w:rsidRPr="0089011D">
              <w:rPr>
                <w:i/>
                <w:sz w:val="18"/>
                <w:szCs w:val="18"/>
              </w:rPr>
              <w:t>For design and construction of tanks</w:t>
            </w:r>
          </w:p>
        </w:tc>
      </w:tr>
      <w:tr w:rsidR="007252C0" w:rsidRPr="0089011D" w:rsidTr="0089011D">
        <w:tc>
          <w:tcPr>
            <w:tcW w:w="1587" w:type="dxa"/>
          </w:tcPr>
          <w:p w:rsidR="007252C0" w:rsidRPr="0089011D" w:rsidRDefault="007252C0" w:rsidP="0089011D">
            <w:pPr>
              <w:widowControl w:val="0"/>
              <w:spacing w:before="40" w:after="40"/>
              <w:jc w:val="center"/>
              <w:rPr>
                <w:bCs/>
                <w:sz w:val="18"/>
                <w:szCs w:val="18"/>
                <w:lang w:val="fr-BE"/>
              </w:rPr>
            </w:pPr>
            <w:r w:rsidRPr="0089011D">
              <w:rPr>
                <w:iCs/>
                <w:sz w:val="18"/>
                <w:szCs w:val="18"/>
                <w:lang w:val="fr-BE"/>
              </w:rPr>
              <w:t>EN 12493:2013+A1:2014 + AC 2015 (except Annex C)</w:t>
            </w:r>
          </w:p>
        </w:tc>
        <w:tc>
          <w:tcPr>
            <w:tcW w:w="2848" w:type="dxa"/>
            <w:vAlign w:val="center"/>
          </w:tcPr>
          <w:p w:rsidR="007252C0" w:rsidRPr="0089011D" w:rsidRDefault="007252C0" w:rsidP="0089011D">
            <w:pPr>
              <w:widowControl w:val="0"/>
              <w:spacing w:before="40" w:after="40"/>
              <w:rPr>
                <w:sz w:val="18"/>
                <w:szCs w:val="18"/>
                <w:highlight w:val="green"/>
              </w:rPr>
            </w:pPr>
            <w:r w:rsidRPr="0089011D">
              <w:rPr>
                <w:sz w:val="18"/>
                <w:szCs w:val="18"/>
              </w:rPr>
              <w:t>LPG equipment and accessories - Welded steel pressure vessels for LPG road tankers - Design and manufacture</w:t>
            </w:r>
          </w:p>
        </w:tc>
        <w:tc>
          <w:tcPr>
            <w:tcW w:w="1443" w:type="dxa"/>
            <w:vAlign w:val="center"/>
          </w:tcPr>
          <w:p w:rsidR="007252C0" w:rsidRPr="0089011D" w:rsidRDefault="007252C0" w:rsidP="0089011D">
            <w:pPr>
              <w:widowControl w:val="0"/>
              <w:spacing w:before="40" w:after="40"/>
              <w:rPr>
                <w:sz w:val="18"/>
                <w:szCs w:val="18"/>
              </w:rPr>
            </w:pPr>
            <w:r w:rsidRPr="0089011D">
              <w:rPr>
                <w:sz w:val="18"/>
                <w:szCs w:val="18"/>
              </w:rPr>
              <w:t>6.8.2.1, 6.8.2.5</w:t>
            </w:r>
          </w:p>
          <w:p w:rsidR="007252C0" w:rsidRPr="0089011D" w:rsidRDefault="007252C0" w:rsidP="0089011D">
            <w:pPr>
              <w:widowControl w:val="0"/>
              <w:spacing w:before="40" w:after="40"/>
              <w:rPr>
                <w:sz w:val="18"/>
                <w:szCs w:val="18"/>
              </w:rPr>
            </w:pPr>
            <w:r w:rsidRPr="0089011D">
              <w:rPr>
                <w:sz w:val="18"/>
                <w:szCs w:val="18"/>
              </w:rPr>
              <w:t>6.8.3.1, 6.8.3.5</w:t>
            </w:r>
          </w:p>
          <w:p w:rsidR="007252C0" w:rsidRPr="0089011D" w:rsidRDefault="007252C0" w:rsidP="0089011D">
            <w:pPr>
              <w:widowControl w:val="0"/>
              <w:spacing w:before="40" w:after="40"/>
              <w:rPr>
                <w:b/>
                <w:sz w:val="18"/>
                <w:szCs w:val="18"/>
                <w:highlight w:val="yellow"/>
              </w:rPr>
            </w:pPr>
            <w:r w:rsidRPr="0089011D">
              <w:rPr>
                <w:sz w:val="18"/>
                <w:szCs w:val="18"/>
              </w:rPr>
              <w:t>6.8.5.1, 6.8.5.3</w:t>
            </w:r>
          </w:p>
        </w:tc>
        <w:tc>
          <w:tcPr>
            <w:tcW w:w="1520" w:type="dxa"/>
            <w:vAlign w:val="center"/>
          </w:tcPr>
          <w:p w:rsidR="007252C0" w:rsidRPr="0089011D" w:rsidRDefault="007252C0" w:rsidP="0089011D">
            <w:pPr>
              <w:widowControl w:val="0"/>
              <w:spacing w:before="40" w:after="40"/>
              <w:jc w:val="center"/>
              <w:rPr>
                <w:b/>
                <w:sz w:val="18"/>
                <w:szCs w:val="18"/>
              </w:rPr>
            </w:pPr>
            <w:r w:rsidRPr="0089011D">
              <w:rPr>
                <w:b/>
                <w:sz w:val="18"/>
                <w:szCs w:val="18"/>
              </w:rPr>
              <w:t>Between 1 January 2017 and 31 December 2022</w:t>
            </w:r>
          </w:p>
          <w:p w:rsidR="007252C0" w:rsidRPr="0089011D" w:rsidRDefault="007252C0" w:rsidP="0089011D">
            <w:pPr>
              <w:widowControl w:val="0"/>
              <w:spacing w:before="40" w:after="40"/>
              <w:jc w:val="center"/>
              <w:rPr>
                <w:b/>
                <w:sz w:val="18"/>
                <w:szCs w:val="18"/>
              </w:rPr>
            </w:pPr>
          </w:p>
        </w:tc>
        <w:tc>
          <w:tcPr>
            <w:tcW w:w="1276" w:type="dxa"/>
          </w:tcPr>
          <w:p w:rsidR="007252C0" w:rsidRPr="0089011D" w:rsidRDefault="007252C0" w:rsidP="0089011D">
            <w:pPr>
              <w:widowControl w:val="0"/>
              <w:spacing w:before="40" w:after="40"/>
              <w:jc w:val="center"/>
              <w:rPr>
                <w:b/>
                <w:sz w:val="18"/>
                <w:szCs w:val="18"/>
              </w:rPr>
            </w:pPr>
          </w:p>
        </w:tc>
      </w:tr>
      <w:tr w:rsidR="007252C0" w:rsidRPr="0089011D" w:rsidTr="0089011D">
        <w:tc>
          <w:tcPr>
            <w:tcW w:w="1587" w:type="dxa"/>
          </w:tcPr>
          <w:p w:rsidR="007252C0" w:rsidRPr="0089011D" w:rsidRDefault="007252C0" w:rsidP="0089011D">
            <w:pPr>
              <w:widowControl w:val="0"/>
              <w:spacing w:before="40" w:after="40"/>
              <w:jc w:val="center"/>
              <w:rPr>
                <w:b/>
                <w:iCs/>
                <w:sz w:val="18"/>
                <w:szCs w:val="18"/>
                <w:lang w:val="fr-BE"/>
              </w:rPr>
            </w:pPr>
            <w:r w:rsidRPr="0089011D">
              <w:rPr>
                <w:b/>
                <w:iCs/>
                <w:sz w:val="18"/>
                <w:szCs w:val="18"/>
                <w:lang w:val="fr-BE"/>
              </w:rPr>
              <w:t>EN 12493:2013+ A2:2018 (except Annex C)</w:t>
            </w:r>
          </w:p>
        </w:tc>
        <w:tc>
          <w:tcPr>
            <w:tcW w:w="2848" w:type="dxa"/>
            <w:vAlign w:val="center"/>
          </w:tcPr>
          <w:p w:rsidR="007252C0" w:rsidRPr="0089011D" w:rsidRDefault="007252C0" w:rsidP="0089011D">
            <w:pPr>
              <w:widowControl w:val="0"/>
              <w:spacing w:before="40" w:after="40"/>
              <w:rPr>
                <w:b/>
                <w:iCs/>
                <w:sz w:val="18"/>
                <w:szCs w:val="18"/>
              </w:rPr>
            </w:pPr>
            <w:r w:rsidRPr="0089011D">
              <w:rPr>
                <w:b/>
                <w:iCs/>
                <w:sz w:val="18"/>
                <w:szCs w:val="18"/>
              </w:rPr>
              <w:t>LPG equipment and accessories - Welded steel pressure vessels for LPG road tankers - Design and manufacture</w:t>
            </w:r>
          </w:p>
        </w:tc>
        <w:tc>
          <w:tcPr>
            <w:tcW w:w="1443" w:type="dxa"/>
            <w:vAlign w:val="center"/>
          </w:tcPr>
          <w:p w:rsidR="007252C0" w:rsidRPr="0089011D" w:rsidRDefault="007252C0" w:rsidP="0089011D">
            <w:pPr>
              <w:widowControl w:val="0"/>
              <w:spacing w:before="40" w:after="40"/>
              <w:rPr>
                <w:b/>
                <w:sz w:val="18"/>
                <w:szCs w:val="18"/>
              </w:rPr>
            </w:pPr>
            <w:r w:rsidRPr="0089011D">
              <w:rPr>
                <w:b/>
                <w:sz w:val="18"/>
                <w:szCs w:val="18"/>
              </w:rPr>
              <w:t>6.8.2.1, 6.8.2.5</w:t>
            </w:r>
          </w:p>
          <w:p w:rsidR="007252C0" w:rsidRPr="0089011D" w:rsidRDefault="007252C0" w:rsidP="0089011D">
            <w:pPr>
              <w:widowControl w:val="0"/>
              <w:spacing w:before="40" w:after="40"/>
              <w:rPr>
                <w:b/>
                <w:sz w:val="18"/>
                <w:szCs w:val="18"/>
              </w:rPr>
            </w:pPr>
            <w:r w:rsidRPr="0089011D">
              <w:rPr>
                <w:b/>
                <w:sz w:val="18"/>
                <w:szCs w:val="18"/>
              </w:rPr>
              <w:t>6.8.3.1, 6.8.3.5</w:t>
            </w:r>
          </w:p>
          <w:p w:rsidR="007252C0" w:rsidRPr="0089011D" w:rsidRDefault="007252C0" w:rsidP="0089011D">
            <w:pPr>
              <w:widowControl w:val="0"/>
              <w:spacing w:before="40" w:after="40"/>
              <w:rPr>
                <w:b/>
                <w:sz w:val="18"/>
                <w:szCs w:val="18"/>
              </w:rPr>
            </w:pPr>
            <w:r w:rsidRPr="0089011D">
              <w:rPr>
                <w:b/>
                <w:sz w:val="18"/>
                <w:szCs w:val="18"/>
              </w:rPr>
              <w:t>6.8.5.1, 6.8.5.3</w:t>
            </w:r>
          </w:p>
        </w:tc>
        <w:tc>
          <w:tcPr>
            <w:tcW w:w="1520" w:type="dxa"/>
            <w:vAlign w:val="center"/>
          </w:tcPr>
          <w:p w:rsidR="007252C0" w:rsidRPr="0089011D" w:rsidRDefault="007252C0" w:rsidP="0089011D">
            <w:pPr>
              <w:widowControl w:val="0"/>
              <w:spacing w:before="40" w:after="40"/>
              <w:jc w:val="center"/>
              <w:rPr>
                <w:b/>
                <w:bCs/>
                <w:sz w:val="18"/>
                <w:szCs w:val="18"/>
              </w:rPr>
            </w:pPr>
            <w:r w:rsidRPr="0089011D">
              <w:rPr>
                <w:b/>
                <w:bCs/>
                <w:sz w:val="18"/>
                <w:szCs w:val="18"/>
              </w:rPr>
              <w:t>Until further notice</w:t>
            </w:r>
          </w:p>
        </w:tc>
        <w:tc>
          <w:tcPr>
            <w:tcW w:w="1276" w:type="dxa"/>
          </w:tcPr>
          <w:p w:rsidR="007252C0" w:rsidRPr="0089011D" w:rsidRDefault="007252C0" w:rsidP="0089011D">
            <w:pPr>
              <w:widowControl w:val="0"/>
              <w:spacing w:before="40" w:after="40"/>
              <w:jc w:val="center"/>
              <w:rPr>
                <w:b/>
                <w:sz w:val="18"/>
                <w:szCs w:val="18"/>
              </w:rPr>
            </w:pPr>
          </w:p>
        </w:tc>
      </w:tr>
    </w:tbl>
    <w:p w:rsidR="007252C0" w:rsidRPr="00283DAD" w:rsidRDefault="00283DAD" w:rsidP="00041120">
      <w:pPr>
        <w:pStyle w:val="SingleTxtG"/>
        <w:spacing w:before="120"/>
        <w:rPr>
          <w:b/>
          <w:bCs/>
        </w:rPr>
      </w:pPr>
      <w:r>
        <w:rPr>
          <w:b/>
          <w:bCs/>
        </w:rPr>
        <w:tab/>
      </w:r>
      <w:r w:rsidRPr="00283DAD">
        <w:rPr>
          <w:b/>
          <w:bCs/>
        </w:rPr>
        <w:t>5.</w:t>
      </w:r>
      <w:r w:rsidR="007252C0" w:rsidRPr="00283DAD">
        <w:rPr>
          <w:b/>
          <w:bCs/>
        </w:rPr>
        <w:tab/>
        <w:t>General remarks</w:t>
      </w:r>
      <w:r w:rsidR="007252C0" w:rsidRPr="00283DAD">
        <w:rPr>
          <w:b/>
          <w:bCs/>
        </w:rPr>
        <w:tab/>
      </w:r>
      <w:r w:rsidR="007252C0" w:rsidRPr="00283DAD">
        <w:rPr>
          <w:b/>
          <w:bCs/>
        </w:rPr>
        <w:tab/>
        <w:t xml:space="preserve"> </w:t>
      </w:r>
    </w:p>
    <w:p w:rsidR="007252C0" w:rsidRPr="003A64C2" w:rsidRDefault="007252C0" w:rsidP="00041120">
      <w:pPr>
        <w:pStyle w:val="SingleTxtG"/>
      </w:pPr>
      <w:r w:rsidRPr="003A64C2">
        <w:t>5.1</w:t>
      </w:r>
      <w:r w:rsidRPr="003A64C2">
        <w:tab/>
        <w:t>Standards for which a reference was refused or deferred:</w:t>
      </w:r>
    </w:p>
    <w:p w:rsidR="007252C0" w:rsidRPr="003A64C2" w:rsidRDefault="007252C0" w:rsidP="00041120">
      <w:pPr>
        <w:pStyle w:val="SingleTxtG"/>
      </w:pPr>
      <w:r w:rsidRPr="003A64C2">
        <w:t>It was decided not to refer to the standards:</w:t>
      </w:r>
    </w:p>
    <w:p w:rsidR="007252C0" w:rsidRPr="003A64C2" w:rsidRDefault="007252C0" w:rsidP="00041120">
      <w:pPr>
        <w:pStyle w:val="SingleTxtG"/>
      </w:pPr>
      <w:r w:rsidRPr="00041120">
        <w:t>FprEN 14596:2018</w:t>
      </w:r>
      <w:r w:rsidRPr="00041120">
        <w:tab/>
      </w:r>
      <w:r w:rsidRPr="00041120">
        <w:tab/>
      </w:r>
      <w:r w:rsidRPr="00041120">
        <w:tab/>
      </w:r>
      <w:r w:rsidRPr="003A64C2">
        <w:t>Tanks for transport of dangerous goods - Service equipment for tanks - Emergency pressure relief valve</w:t>
      </w:r>
    </w:p>
    <w:p w:rsidR="007252C0" w:rsidRPr="003A64C2" w:rsidRDefault="007252C0" w:rsidP="00041120">
      <w:pPr>
        <w:pStyle w:val="SingleTxtG"/>
      </w:pPr>
      <w:r w:rsidRPr="003A64C2">
        <w:t>FprEN ISO/FDIS 13769:2018</w:t>
      </w:r>
      <w:r w:rsidRPr="003A64C2">
        <w:tab/>
        <w:t>Gas cylinders - Compressed gas cylinders and tubes - Stamp marking</w:t>
      </w:r>
    </w:p>
    <w:p w:rsidR="007252C0" w:rsidRPr="003A64C2" w:rsidRDefault="007252C0" w:rsidP="00041120">
      <w:pPr>
        <w:pStyle w:val="SingleTxtG"/>
      </w:pPr>
      <w:r w:rsidRPr="00041120">
        <w:t>prEN ISO 23208</w:t>
      </w:r>
      <w:r w:rsidRPr="00041120">
        <w:tab/>
      </w:r>
      <w:r w:rsidRPr="00041120">
        <w:tab/>
      </w:r>
      <w:r w:rsidRPr="00041120">
        <w:tab/>
      </w:r>
      <w:r w:rsidR="00283DAD" w:rsidRPr="00041120">
        <w:tab/>
      </w:r>
      <w:r w:rsidRPr="00041120">
        <w:t>Cryogenic vessels - Cleanliness for cryogenic service</w:t>
      </w:r>
    </w:p>
    <w:p w:rsidR="007252C0" w:rsidRPr="003A64C2" w:rsidRDefault="007252C0" w:rsidP="00041120">
      <w:pPr>
        <w:pStyle w:val="SingleTxtG"/>
        <w:rPr>
          <w:spacing w:val="-3"/>
        </w:rPr>
      </w:pPr>
      <w:r w:rsidRPr="00041120">
        <w:t>a</w:t>
      </w:r>
      <w:r w:rsidRPr="003A64C2">
        <w:rPr>
          <w:spacing w:val="-3"/>
        </w:rPr>
        <w:t>s they are not covering elements needed in the RID/ADR regulation</w:t>
      </w:r>
    </w:p>
    <w:p w:rsidR="007252C0" w:rsidRPr="003A64C2" w:rsidRDefault="007252C0" w:rsidP="00041120">
      <w:pPr>
        <w:pStyle w:val="SingleTxtG"/>
        <w:spacing w:before="120"/>
        <w:rPr>
          <w:b/>
          <w:spacing w:val="-3"/>
        </w:rPr>
      </w:pPr>
      <w:r w:rsidRPr="003A64C2">
        <w:rPr>
          <w:b/>
          <w:spacing w:val="-3"/>
        </w:rPr>
        <w:t>5.2</w:t>
      </w:r>
      <w:r w:rsidRPr="003A64C2">
        <w:rPr>
          <w:b/>
          <w:spacing w:val="-3"/>
        </w:rPr>
        <w:tab/>
        <w:t>General Purpose standards</w:t>
      </w:r>
    </w:p>
    <w:p w:rsidR="007252C0" w:rsidRPr="003A64C2" w:rsidRDefault="007252C0" w:rsidP="00FC1C35">
      <w:pPr>
        <w:pStyle w:val="SingleTxt"/>
        <w:spacing w:before="120"/>
        <w:ind w:left="1264" w:right="1264"/>
      </w:pPr>
      <w:r w:rsidRPr="003A64C2">
        <w:t xml:space="preserve">No new General Purpose standard identified since March 2018. </w:t>
      </w:r>
    </w:p>
    <w:p w:rsidR="007252C0" w:rsidRPr="00283DAD" w:rsidRDefault="007252C0" w:rsidP="00041120">
      <w:pPr>
        <w:pStyle w:val="SingleTxtG"/>
        <w:spacing w:before="120"/>
        <w:rPr>
          <w:b/>
          <w:bCs/>
        </w:rPr>
      </w:pPr>
      <w:r w:rsidRPr="00283DAD">
        <w:rPr>
          <w:b/>
          <w:bCs/>
        </w:rPr>
        <w:t>5.3</w:t>
      </w:r>
      <w:r w:rsidRPr="00283DAD">
        <w:rPr>
          <w:b/>
          <w:bCs/>
        </w:rPr>
        <w:tab/>
        <w:t xml:space="preserve">Voluntary agreement on implementation of European Standards despite not </w:t>
      </w:r>
      <w:r w:rsidR="00041120">
        <w:rPr>
          <w:b/>
          <w:bCs/>
        </w:rPr>
        <w:tab/>
      </w:r>
      <w:r w:rsidR="00041120">
        <w:rPr>
          <w:b/>
          <w:bCs/>
        </w:rPr>
        <w:tab/>
      </w:r>
      <w:r w:rsidR="00041120">
        <w:rPr>
          <w:b/>
          <w:bCs/>
        </w:rPr>
        <w:tab/>
      </w:r>
      <w:r w:rsidRPr="00283DAD">
        <w:rPr>
          <w:b/>
          <w:bCs/>
        </w:rPr>
        <w:t>referenced in the 2019 version of RID/ADR</w:t>
      </w:r>
    </w:p>
    <w:p w:rsidR="007252C0" w:rsidRPr="003A64C2" w:rsidRDefault="007252C0" w:rsidP="00041120">
      <w:pPr>
        <w:pStyle w:val="SingleTxtG"/>
      </w:pPr>
      <w:r w:rsidRPr="003A64C2">
        <w:t>As the recommendation for inclusion of a series of standards in the 2019 edition could not be achieved due to the fact the standards were not published at the time of closing the 2019 version edition. A series of proposals need to be transferred into the 2021 version with a reduced transition period.  With the exception of EN 12972 for inspection and testing,, a one year transition is proposed on the basis that contracting states/parties will have prior knowledge of the new standards by means of the notification of the voluntary agreement concerning these standards.  The Working Group on Tanks deemed that the application of EN 12972 for periodic and intermediate inspection was more urgent and a 6 month transition is proposed.</w:t>
      </w:r>
    </w:p>
    <w:p w:rsidR="007252C0" w:rsidRPr="003A64C2" w:rsidRDefault="007252C0" w:rsidP="00041120">
      <w:pPr>
        <w:pStyle w:val="SingleTxtG"/>
        <w:spacing w:before="120"/>
        <w:rPr>
          <w:rFonts w:cs="Arial"/>
          <w:bCs/>
        </w:rPr>
      </w:pPr>
      <w:r w:rsidRPr="003A64C2">
        <w:rPr>
          <w:rFonts w:cs="Arial"/>
          <w:b/>
          <w:bCs/>
        </w:rPr>
        <w:t>5.3.1.</w:t>
      </w:r>
      <w:r w:rsidRPr="003A64C2">
        <w:rPr>
          <w:rFonts w:cs="Arial"/>
          <w:b/>
          <w:bCs/>
        </w:rPr>
        <w:tab/>
      </w:r>
      <w:r w:rsidRPr="003A64C2">
        <w:rPr>
          <w:rFonts w:cs="Arial"/>
          <w:b/>
          <w:bCs/>
          <w:u w:val="single"/>
        </w:rPr>
        <w:t xml:space="preserve">Draft amendments relating to standard EN 14025:2018 </w:t>
      </w:r>
      <w:r w:rsidRPr="003A64C2">
        <w:rPr>
          <w:rFonts w:cs="Arial"/>
          <w:bCs/>
        </w:rPr>
        <w:t>(New text in bold)</w:t>
      </w:r>
    </w:p>
    <w:p w:rsidR="007252C0" w:rsidRPr="003A64C2" w:rsidRDefault="007252C0" w:rsidP="00041120">
      <w:pPr>
        <w:pStyle w:val="SingleTxtG"/>
        <w:spacing w:before="120"/>
      </w:pPr>
      <w:r w:rsidRPr="003A64C2">
        <w:rPr>
          <w:b/>
        </w:rPr>
        <w:t>6.8.2.6.1</w:t>
      </w:r>
      <w:r w:rsidRPr="003A64C2">
        <w:tab/>
        <w:t>Amend the Table, under "For design and construction of tanks", as follows:</w:t>
      </w:r>
    </w:p>
    <w:p w:rsidR="007252C0" w:rsidRPr="003A64C2" w:rsidRDefault="007252C0" w:rsidP="003A64C2">
      <w:pPr>
        <w:widowControl w:val="0"/>
        <w:ind w:left="2268" w:right="1134"/>
        <w:jc w:val="both"/>
        <w:rPr>
          <w:rFonts w:cs="Arial"/>
        </w:rPr>
      </w:pPr>
      <w:r w:rsidRPr="003A64C2">
        <w:rPr>
          <w:rFonts w:cs="Arial"/>
        </w:rPr>
        <w:tab/>
        <w:t>–</w:t>
      </w:r>
      <w:r w:rsidRPr="003A64C2">
        <w:rPr>
          <w:rFonts w:cs="Arial"/>
        </w:rPr>
        <w:tab/>
        <w:t xml:space="preserve">For standard </w:t>
      </w:r>
      <w:r w:rsidRPr="003A64C2">
        <w:rPr>
          <w:snapToGrid w:val="0"/>
        </w:rPr>
        <w:t>"EN 14025:2013 + A1:2016"</w:t>
      </w:r>
      <w:r w:rsidRPr="003A64C2">
        <w:rPr>
          <w:rFonts w:cs="Arial"/>
        </w:rPr>
        <w:t>, in column (4), replace "Until further notice" by "</w:t>
      </w:r>
      <w:r w:rsidRPr="003A64C2">
        <w:rPr>
          <w:rFonts w:cs="Arial"/>
          <w:b/>
        </w:rPr>
        <w:t>Between 1 January 2017 and 31 December 2021</w:t>
      </w:r>
      <w:r w:rsidRPr="003A64C2">
        <w:rPr>
          <w:rFonts w:cs="Arial"/>
        </w:rPr>
        <w:t>".</w:t>
      </w:r>
    </w:p>
    <w:p w:rsidR="007252C0" w:rsidRPr="00DB337F" w:rsidRDefault="007252C0" w:rsidP="003A64C2">
      <w:pPr>
        <w:widowControl w:val="0"/>
        <w:spacing w:before="120" w:after="360"/>
        <w:ind w:left="2268" w:right="1134"/>
        <w:jc w:val="both"/>
      </w:pPr>
      <w:r w:rsidRPr="003A64C2">
        <w:t>–</w:t>
      </w:r>
      <w:r w:rsidRPr="003A64C2">
        <w:tab/>
        <w:t xml:space="preserve">After the standard "EN 14025:2013 + A1:2016", insert the following </w:t>
      </w:r>
      <w:r w:rsidRPr="00DB337F">
        <w:t>row:</w:t>
      </w:r>
    </w:p>
    <w:tbl>
      <w:tblPr>
        <w:tblW w:w="85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3539"/>
        <w:gridCol w:w="888"/>
        <w:gridCol w:w="1595"/>
        <w:gridCol w:w="711"/>
      </w:tblGrid>
      <w:tr w:rsidR="007252C0" w:rsidRPr="00DB337F" w:rsidTr="0089011D">
        <w:tc>
          <w:tcPr>
            <w:tcW w:w="1800" w:type="dxa"/>
            <w:vAlign w:val="center"/>
          </w:tcPr>
          <w:p w:rsidR="007252C0" w:rsidRPr="00DB337F" w:rsidRDefault="007252C0" w:rsidP="0089011D">
            <w:pPr>
              <w:widowControl w:val="0"/>
              <w:spacing w:before="40" w:after="40"/>
              <w:rPr>
                <w:rFonts w:cs="Arial"/>
                <w:b/>
                <w:sz w:val="18"/>
                <w:szCs w:val="18"/>
              </w:rPr>
            </w:pPr>
            <w:r w:rsidRPr="00DB337F">
              <w:rPr>
                <w:rFonts w:cs="Arial"/>
                <w:b/>
                <w:bCs/>
                <w:iCs/>
                <w:sz w:val="18"/>
                <w:szCs w:val="18"/>
              </w:rPr>
              <w:t>EN </w:t>
            </w:r>
            <w:r w:rsidRPr="00DB337F">
              <w:rPr>
                <w:rFonts w:cs="Arial"/>
                <w:b/>
                <w:bCs/>
                <w:sz w:val="18"/>
                <w:szCs w:val="18"/>
              </w:rPr>
              <w:t>14025:2018</w:t>
            </w:r>
          </w:p>
        </w:tc>
        <w:tc>
          <w:tcPr>
            <w:tcW w:w="3600" w:type="dxa"/>
            <w:vAlign w:val="center"/>
          </w:tcPr>
          <w:p w:rsidR="007252C0" w:rsidRPr="00DB337F" w:rsidRDefault="007252C0" w:rsidP="0089011D">
            <w:pPr>
              <w:widowControl w:val="0"/>
              <w:spacing w:before="40" w:after="40"/>
              <w:rPr>
                <w:rFonts w:cs="Arial"/>
                <w:b/>
                <w:bCs/>
                <w:sz w:val="18"/>
                <w:szCs w:val="18"/>
              </w:rPr>
            </w:pPr>
            <w:r w:rsidRPr="00DB337F">
              <w:rPr>
                <w:rFonts w:cs="Arial"/>
                <w:b/>
                <w:bCs/>
                <w:sz w:val="18"/>
                <w:szCs w:val="18"/>
              </w:rPr>
              <w:t>Tanks for the transport of dangerous goods – Metallic pressure tanks – Design and construction</w:t>
            </w:r>
          </w:p>
          <w:p w:rsidR="007252C0" w:rsidRPr="00DB337F" w:rsidRDefault="007252C0" w:rsidP="0089011D">
            <w:pPr>
              <w:widowControl w:val="0"/>
              <w:spacing w:before="40" w:after="40"/>
              <w:rPr>
                <w:rFonts w:cs="Arial"/>
                <w:b/>
                <w:i/>
                <w:sz w:val="18"/>
                <w:szCs w:val="18"/>
              </w:rPr>
            </w:pPr>
            <w:r w:rsidRPr="00DB337F">
              <w:rPr>
                <w:rFonts w:cs="Arial"/>
                <w:b/>
                <w:bCs/>
                <w:i/>
                <w:sz w:val="18"/>
                <w:szCs w:val="18"/>
              </w:rPr>
              <w:t>NOTE: Materials of shells shall be at least attested by an inspection certificate 3.1 issued in accordance with standard EN 10204.</w:t>
            </w:r>
          </w:p>
        </w:tc>
        <w:tc>
          <w:tcPr>
            <w:tcW w:w="900" w:type="dxa"/>
            <w:vAlign w:val="center"/>
          </w:tcPr>
          <w:p w:rsidR="007252C0" w:rsidRPr="00DB337F" w:rsidRDefault="007252C0" w:rsidP="0089011D">
            <w:pPr>
              <w:widowControl w:val="0"/>
              <w:spacing w:before="40" w:after="40"/>
              <w:rPr>
                <w:rFonts w:cs="Arial"/>
                <w:b/>
                <w:sz w:val="18"/>
                <w:szCs w:val="18"/>
              </w:rPr>
            </w:pPr>
            <w:r w:rsidRPr="00DB337F">
              <w:rPr>
                <w:rFonts w:cs="Arial"/>
                <w:b/>
                <w:sz w:val="18"/>
                <w:szCs w:val="18"/>
              </w:rPr>
              <w:t>6.8.2.1 and 6.8.2.3</w:t>
            </w:r>
          </w:p>
        </w:tc>
        <w:tc>
          <w:tcPr>
            <w:tcW w:w="1620" w:type="dxa"/>
            <w:vAlign w:val="center"/>
          </w:tcPr>
          <w:p w:rsidR="007252C0" w:rsidRPr="00DB337F" w:rsidRDefault="007252C0" w:rsidP="0089011D">
            <w:pPr>
              <w:widowControl w:val="0"/>
              <w:spacing w:before="40" w:after="40"/>
              <w:jc w:val="center"/>
              <w:rPr>
                <w:rFonts w:cs="Arial"/>
                <w:b/>
                <w:sz w:val="18"/>
                <w:szCs w:val="18"/>
              </w:rPr>
            </w:pPr>
            <w:r w:rsidRPr="00DB337F">
              <w:rPr>
                <w:rFonts w:cs="Arial"/>
                <w:b/>
                <w:bCs/>
                <w:sz w:val="18"/>
                <w:szCs w:val="18"/>
              </w:rPr>
              <w:t>Until further notice</w:t>
            </w:r>
          </w:p>
        </w:tc>
        <w:tc>
          <w:tcPr>
            <w:tcW w:w="720" w:type="dxa"/>
            <w:vAlign w:val="center"/>
          </w:tcPr>
          <w:p w:rsidR="007252C0" w:rsidRPr="00DB337F" w:rsidRDefault="007252C0" w:rsidP="0089011D">
            <w:pPr>
              <w:widowControl w:val="0"/>
              <w:spacing w:before="40" w:after="40"/>
              <w:rPr>
                <w:rFonts w:cs="Arial"/>
                <w:b/>
                <w:sz w:val="18"/>
                <w:szCs w:val="18"/>
              </w:rPr>
            </w:pPr>
          </w:p>
        </w:tc>
      </w:tr>
    </w:tbl>
    <w:p w:rsidR="007252C0" w:rsidRPr="001F2EA8" w:rsidRDefault="007252C0" w:rsidP="00041120">
      <w:pPr>
        <w:pStyle w:val="SingleTxtG"/>
        <w:spacing w:before="120" w:after="240"/>
        <w:rPr>
          <w:rStyle w:val="SingleTxtGChar"/>
        </w:rPr>
      </w:pPr>
      <w:r w:rsidRPr="001F2EA8">
        <w:rPr>
          <w:rStyle w:val="SingleTxtGChar"/>
        </w:rPr>
        <w:lastRenderedPageBreak/>
        <w:t>The Note was requested by the Working Group on Tanks in order to replace this requirement deleted from the draft standard because of CEN drafting rules,</w:t>
      </w:r>
    </w:p>
    <w:p w:rsidR="007252C0" w:rsidRPr="00DB337F" w:rsidRDefault="007252C0" w:rsidP="003A64C2">
      <w:pPr>
        <w:tabs>
          <w:tab w:val="left" w:pos="426"/>
        </w:tabs>
        <w:spacing w:before="120" w:after="120"/>
        <w:ind w:left="1134" w:right="1134"/>
        <w:rPr>
          <w:rStyle w:val="SingleTxtGChar"/>
          <w:b/>
        </w:rPr>
      </w:pPr>
      <w:r w:rsidRPr="00DB337F">
        <w:rPr>
          <w:rStyle w:val="SingleTxtGChar"/>
          <w:b/>
        </w:rPr>
        <w:t>ADR only</w:t>
      </w:r>
    </w:p>
    <w:p w:rsidR="007252C0" w:rsidRPr="00DB337F" w:rsidRDefault="007252C0" w:rsidP="00041120">
      <w:pPr>
        <w:pStyle w:val="SingleTxtG"/>
        <w:spacing w:before="120"/>
        <w:rPr>
          <w:rStyle w:val="SingleTxtGChar"/>
        </w:rPr>
      </w:pPr>
      <w:r w:rsidRPr="00DB337F">
        <w:rPr>
          <w:rStyle w:val="SingleTxtGChar"/>
          <w:b/>
        </w:rPr>
        <w:t>6.8.4 (d)</w:t>
      </w:r>
      <w:r w:rsidRPr="00DB337F">
        <w:rPr>
          <w:rStyle w:val="SingleTxtGChar"/>
        </w:rPr>
        <w:tab/>
        <w:t xml:space="preserve">TT11 In the paragraph after the Table, replace </w:t>
      </w:r>
      <w:r w:rsidRPr="00DB337F">
        <w:rPr>
          <w:snapToGrid w:val="0"/>
        </w:rPr>
        <w:t>"EN 14025:2013 + A1:2016"</w:t>
      </w:r>
      <w:r w:rsidRPr="00DB337F">
        <w:rPr>
          <w:rStyle w:val="SingleTxtGChar"/>
        </w:rPr>
        <w:t xml:space="preserve"> </w:t>
      </w:r>
      <w:r w:rsidR="00041120">
        <w:rPr>
          <w:rStyle w:val="SingleTxtGChar"/>
        </w:rPr>
        <w:tab/>
      </w:r>
      <w:r w:rsidR="00041120">
        <w:rPr>
          <w:rStyle w:val="SingleTxtGChar"/>
        </w:rPr>
        <w:tab/>
      </w:r>
      <w:r w:rsidR="00041120">
        <w:rPr>
          <w:rStyle w:val="SingleTxtGChar"/>
        </w:rPr>
        <w:tab/>
      </w:r>
      <w:r w:rsidR="00041120">
        <w:rPr>
          <w:rStyle w:val="SingleTxtGChar"/>
        </w:rPr>
        <w:tab/>
      </w:r>
      <w:r w:rsidRPr="00DB337F">
        <w:rPr>
          <w:rStyle w:val="SingleTxtGChar"/>
        </w:rPr>
        <w:t>by:</w:t>
      </w:r>
      <w:r w:rsidRPr="00DB337F">
        <w:rPr>
          <w:snapToGrid w:val="0"/>
        </w:rPr>
        <w:t xml:space="preserve"> "</w:t>
      </w:r>
      <w:r w:rsidRPr="00DB337F">
        <w:rPr>
          <w:b/>
          <w:snapToGrid w:val="0"/>
        </w:rPr>
        <w:t>EN 14025:2018</w:t>
      </w:r>
      <w:r w:rsidRPr="00DB337F">
        <w:rPr>
          <w:snapToGrid w:val="0"/>
        </w:rPr>
        <w:t>”</w:t>
      </w:r>
      <w:r w:rsidRPr="00DB337F">
        <w:rPr>
          <w:rStyle w:val="SingleTxtGChar"/>
        </w:rPr>
        <w:t>.</w:t>
      </w:r>
    </w:p>
    <w:p w:rsidR="007252C0" w:rsidRPr="00DB337F" w:rsidRDefault="007252C0" w:rsidP="00041120">
      <w:pPr>
        <w:pStyle w:val="SingleTxtG"/>
        <w:spacing w:before="120"/>
        <w:rPr>
          <w:rFonts w:cs="Arial"/>
          <w:bCs/>
          <w:szCs w:val="22"/>
        </w:rPr>
      </w:pPr>
      <w:r w:rsidRPr="00DB337F">
        <w:rPr>
          <w:rFonts w:cs="Arial"/>
          <w:b/>
          <w:bCs/>
          <w:szCs w:val="22"/>
        </w:rPr>
        <w:t>5.3.2.</w:t>
      </w:r>
      <w:r w:rsidRPr="00DB337F">
        <w:rPr>
          <w:rFonts w:cs="Arial"/>
          <w:b/>
          <w:bCs/>
          <w:szCs w:val="22"/>
        </w:rPr>
        <w:tab/>
      </w:r>
      <w:r w:rsidRPr="00DB337F">
        <w:rPr>
          <w:rFonts w:cs="Arial"/>
          <w:b/>
          <w:bCs/>
          <w:szCs w:val="22"/>
          <w:u w:val="single"/>
        </w:rPr>
        <w:t>Draft amendments relating to standard EN 12972:2018 (</w:t>
      </w:r>
      <w:r w:rsidRPr="00DB337F">
        <w:rPr>
          <w:rFonts w:cs="Arial"/>
          <w:bCs/>
          <w:szCs w:val="22"/>
        </w:rPr>
        <w:t>New text in bold)</w:t>
      </w:r>
    </w:p>
    <w:p w:rsidR="007252C0" w:rsidRPr="00DB337F" w:rsidRDefault="007252C0" w:rsidP="00041120">
      <w:pPr>
        <w:pStyle w:val="SingleTxtG"/>
        <w:spacing w:before="120"/>
      </w:pPr>
      <w:r w:rsidRPr="00DB337F">
        <w:rPr>
          <w:b/>
        </w:rPr>
        <w:t>6.8.2.6.1</w:t>
      </w:r>
      <w:r w:rsidRPr="00DB337F">
        <w:tab/>
        <w:t>Amend the Table, under "For design and construction of tanks", as follows:</w:t>
      </w:r>
    </w:p>
    <w:p w:rsidR="007252C0" w:rsidRPr="00DB337F" w:rsidRDefault="007252C0" w:rsidP="007252C0">
      <w:pPr>
        <w:widowControl w:val="0"/>
        <w:spacing w:before="120" w:after="120"/>
        <w:ind w:left="2268"/>
      </w:pPr>
      <w:r w:rsidRPr="00DB337F">
        <w:t>–</w:t>
      </w:r>
      <w:r w:rsidRPr="00DB337F">
        <w:tab/>
        <w:t>After the new standard "EN 14025:2018", insert the following row:</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7252C0" w:rsidRPr="0089011D" w:rsidTr="00033A15">
        <w:tc>
          <w:tcPr>
            <w:tcW w:w="1800" w:type="dxa"/>
            <w:vAlign w:val="center"/>
          </w:tcPr>
          <w:p w:rsidR="007252C0" w:rsidRPr="0089011D" w:rsidRDefault="007252C0" w:rsidP="0089011D">
            <w:pPr>
              <w:widowControl w:val="0"/>
              <w:spacing w:before="60" w:after="60"/>
              <w:rPr>
                <w:rFonts w:cs="Arial"/>
                <w:b/>
                <w:bCs/>
                <w:sz w:val="18"/>
                <w:szCs w:val="18"/>
              </w:rPr>
            </w:pPr>
            <w:r w:rsidRPr="00DB337F">
              <w:rPr>
                <w:rFonts w:cs="Arial"/>
                <w:b/>
                <w:bCs/>
                <w:sz w:val="18"/>
                <w:szCs w:val="18"/>
              </w:rPr>
              <w:t>EN 12972:2018</w:t>
            </w:r>
          </w:p>
        </w:tc>
        <w:tc>
          <w:tcPr>
            <w:tcW w:w="3600" w:type="dxa"/>
            <w:vAlign w:val="center"/>
          </w:tcPr>
          <w:p w:rsidR="007252C0" w:rsidRPr="00DB337F" w:rsidRDefault="007252C0" w:rsidP="0089011D">
            <w:pPr>
              <w:widowControl w:val="0"/>
              <w:spacing w:before="60" w:after="60"/>
              <w:rPr>
                <w:rFonts w:cs="Arial"/>
                <w:b/>
                <w:bCs/>
                <w:sz w:val="18"/>
                <w:szCs w:val="18"/>
              </w:rPr>
            </w:pPr>
            <w:r w:rsidRPr="00DB337F">
              <w:rPr>
                <w:rFonts w:cs="Arial"/>
                <w:b/>
                <w:bCs/>
                <w:sz w:val="18"/>
                <w:szCs w:val="18"/>
              </w:rPr>
              <w:t>Tanks for transport of dangerous goods – Testing, inspection and marking of metallic tanks</w:t>
            </w:r>
          </w:p>
        </w:tc>
        <w:tc>
          <w:tcPr>
            <w:tcW w:w="90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6.8.2.3</w:t>
            </w:r>
          </w:p>
        </w:tc>
        <w:tc>
          <w:tcPr>
            <w:tcW w:w="1620" w:type="dxa"/>
            <w:vAlign w:val="center"/>
          </w:tcPr>
          <w:p w:rsidR="007252C0" w:rsidRPr="00DB337F" w:rsidRDefault="007252C0" w:rsidP="0089011D">
            <w:pPr>
              <w:widowControl w:val="0"/>
              <w:spacing w:before="60" w:after="60"/>
              <w:rPr>
                <w:rFonts w:cs="Arial"/>
                <w:b/>
                <w:bCs/>
                <w:sz w:val="18"/>
                <w:szCs w:val="18"/>
              </w:rPr>
            </w:pPr>
            <w:r w:rsidRPr="00DB337F">
              <w:rPr>
                <w:rFonts w:cs="Arial"/>
                <w:b/>
                <w:bCs/>
                <w:sz w:val="18"/>
                <w:szCs w:val="18"/>
              </w:rPr>
              <w:t>Mandatorily from 1 January 2022</w:t>
            </w:r>
          </w:p>
        </w:tc>
        <w:tc>
          <w:tcPr>
            <w:tcW w:w="720" w:type="dxa"/>
            <w:vAlign w:val="center"/>
          </w:tcPr>
          <w:p w:rsidR="007252C0" w:rsidRPr="0089011D" w:rsidRDefault="007252C0" w:rsidP="0089011D">
            <w:pPr>
              <w:widowControl w:val="0"/>
              <w:spacing w:before="60" w:after="60"/>
              <w:rPr>
                <w:rFonts w:cs="Arial"/>
                <w:b/>
                <w:bCs/>
                <w:sz w:val="18"/>
                <w:szCs w:val="18"/>
              </w:rPr>
            </w:pPr>
          </w:p>
        </w:tc>
      </w:tr>
    </w:tbl>
    <w:p w:rsidR="007252C0" w:rsidRPr="00DB337F" w:rsidRDefault="007252C0" w:rsidP="00041120">
      <w:pPr>
        <w:pStyle w:val="SingleTxtG"/>
        <w:spacing w:before="120"/>
      </w:pPr>
      <w:r w:rsidRPr="00DB337F">
        <w:rPr>
          <w:b/>
        </w:rPr>
        <w:t>6.8.2.6.2</w:t>
      </w:r>
      <w:r w:rsidRPr="00DB337F">
        <w:tab/>
        <w:t>Amend the Table as follows:</w:t>
      </w:r>
    </w:p>
    <w:p w:rsidR="007252C0" w:rsidRPr="00DB337F" w:rsidRDefault="007252C0" w:rsidP="007252C0">
      <w:pPr>
        <w:widowControl w:val="0"/>
        <w:spacing w:before="120" w:after="120"/>
        <w:ind w:left="2268"/>
        <w:jc w:val="both"/>
        <w:rPr>
          <w:rFonts w:cs="Arial"/>
          <w:szCs w:val="22"/>
        </w:rPr>
      </w:pPr>
      <w:r w:rsidRPr="00DB337F">
        <w:rPr>
          <w:rFonts w:cs="Arial"/>
          <w:szCs w:val="22"/>
        </w:rPr>
        <w:t>–</w:t>
      </w:r>
      <w:r w:rsidRPr="00DB337F">
        <w:rPr>
          <w:rFonts w:cs="Arial"/>
          <w:szCs w:val="22"/>
        </w:rPr>
        <w:tab/>
        <w:t xml:space="preserve">For standard </w:t>
      </w:r>
      <w:r w:rsidRPr="00DB337F">
        <w:rPr>
          <w:snapToGrid w:val="0"/>
        </w:rPr>
        <w:t>"EN 12972:2007"</w:t>
      </w:r>
      <w:r w:rsidRPr="00DB337F">
        <w:rPr>
          <w:rFonts w:cs="Arial"/>
          <w:szCs w:val="22"/>
        </w:rPr>
        <w:t>, in column (4), replace "Until further notice" by "</w:t>
      </w:r>
      <w:r w:rsidRPr="00DB337F">
        <w:rPr>
          <w:rFonts w:cs="Arial"/>
          <w:b/>
          <w:szCs w:val="22"/>
        </w:rPr>
        <w:t>Until 30 June 2021</w:t>
      </w:r>
      <w:r w:rsidRPr="00DB337F">
        <w:rPr>
          <w:rFonts w:cs="Arial"/>
          <w:szCs w:val="22"/>
        </w:rPr>
        <w:t>".</w:t>
      </w:r>
    </w:p>
    <w:p w:rsidR="007252C0" w:rsidRPr="00DB337F" w:rsidRDefault="007252C0" w:rsidP="007252C0">
      <w:pPr>
        <w:widowControl w:val="0"/>
        <w:spacing w:before="120" w:after="120"/>
        <w:ind w:left="2268"/>
        <w:jc w:val="both"/>
      </w:pPr>
      <w:r w:rsidRPr="00DB337F">
        <w:t>–</w:t>
      </w:r>
      <w:r w:rsidRPr="00DB337F">
        <w:tab/>
        <w:t xml:space="preserve">After the standard </w:t>
      </w:r>
      <w:r w:rsidRPr="00DB337F">
        <w:rPr>
          <w:snapToGrid w:val="0"/>
        </w:rPr>
        <w:t>"EN 12972:2007"</w:t>
      </w:r>
      <w:r w:rsidRPr="00DB337F">
        <w:t>, insert the following row:</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900"/>
        <w:gridCol w:w="1620"/>
        <w:gridCol w:w="720"/>
      </w:tblGrid>
      <w:tr w:rsidR="007252C0" w:rsidRPr="0089011D" w:rsidTr="00033A15">
        <w:tc>
          <w:tcPr>
            <w:tcW w:w="1800" w:type="dxa"/>
            <w:vAlign w:val="center"/>
          </w:tcPr>
          <w:p w:rsidR="007252C0" w:rsidRPr="0089011D" w:rsidRDefault="007252C0" w:rsidP="0089011D">
            <w:pPr>
              <w:widowControl w:val="0"/>
              <w:spacing w:before="60" w:after="60"/>
              <w:rPr>
                <w:rFonts w:cs="Arial"/>
                <w:b/>
                <w:bCs/>
                <w:sz w:val="18"/>
                <w:szCs w:val="18"/>
              </w:rPr>
            </w:pPr>
            <w:r w:rsidRPr="00DB337F">
              <w:rPr>
                <w:rFonts w:cs="Arial"/>
                <w:b/>
                <w:bCs/>
                <w:sz w:val="18"/>
                <w:szCs w:val="18"/>
              </w:rPr>
              <w:t>EN 12972:2018</w:t>
            </w:r>
          </w:p>
        </w:tc>
        <w:tc>
          <w:tcPr>
            <w:tcW w:w="3600" w:type="dxa"/>
            <w:vAlign w:val="center"/>
          </w:tcPr>
          <w:p w:rsidR="007252C0" w:rsidRPr="0089011D" w:rsidRDefault="007252C0" w:rsidP="0089011D">
            <w:pPr>
              <w:widowControl w:val="0"/>
              <w:spacing w:before="60" w:after="60"/>
              <w:rPr>
                <w:rFonts w:cs="Arial"/>
                <w:b/>
                <w:bCs/>
                <w:sz w:val="18"/>
                <w:szCs w:val="18"/>
              </w:rPr>
            </w:pPr>
            <w:r w:rsidRPr="00DB337F">
              <w:rPr>
                <w:rFonts w:cs="Arial"/>
                <w:b/>
                <w:bCs/>
                <w:sz w:val="18"/>
                <w:szCs w:val="18"/>
              </w:rPr>
              <w:t>Tanks for transport of dangerous goods – Testing, inspection and marking of metallic tanks</w:t>
            </w:r>
          </w:p>
        </w:tc>
        <w:tc>
          <w:tcPr>
            <w:tcW w:w="90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6.8.2.4</w:t>
            </w:r>
          </w:p>
          <w:p w:rsidR="007252C0" w:rsidRPr="0089011D" w:rsidRDefault="007252C0" w:rsidP="0089011D">
            <w:pPr>
              <w:widowControl w:val="0"/>
              <w:spacing w:before="60" w:after="60"/>
              <w:rPr>
                <w:rFonts w:cs="Arial"/>
                <w:b/>
                <w:bCs/>
                <w:sz w:val="18"/>
                <w:szCs w:val="18"/>
              </w:rPr>
            </w:pPr>
            <w:r w:rsidRPr="0089011D">
              <w:rPr>
                <w:rFonts w:cs="Arial"/>
                <w:b/>
                <w:bCs/>
                <w:sz w:val="18"/>
                <w:szCs w:val="18"/>
              </w:rPr>
              <w:t>6.8.3.4</w:t>
            </w:r>
          </w:p>
        </w:tc>
        <w:tc>
          <w:tcPr>
            <w:tcW w:w="1620" w:type="dxa"/>
            <w:vAlign w:val="center"/>
          </w:tcPr>
          <w:p w:rsidR="007252C0" w:rsidRPr="0089011D" w:rsidRDefault="007252C0" w:rsidP="0089011D">
            <w:pPr>
              <w:widowControl w:val="0"/>
              <w:spacing w:before="60" w:after="60"/>
              <w:rPr>
                <w:rFonts w:cs="Arial"/>
                <w:b/>
                <w:bCs/>
                <w:sz w:val="18"/>
                <w:szCs w:val="18"/>
              </w:rPr>
            </w:pPr>
            <w:r w:rsidRPr="00DB337F">
              <w:rPr>
                <w:rFonts w:cs="Arial"/>
                <w:b/>
                <w:bCs/>
                <w:sz w:val="18"/>
                <w:szCs w:val="18"/>
              </w:rPr>
              <w:t>Mandatorily from 1 July 2021</w:t>
            </w:r>
          </w:p>
        </w:tc>
        <w:tc>
          <w:tcPr>
            <w:tcW w:w="720" w:type="dxa"/>
            <w:vAlign w:val="center"/>
          </w:tcPr>
          <w:p w:rsidR="007252C0" w:rsidRPr="0089011D" w:rsidRDefault="007252C0" w:rsidP="0089011D">
            <w:pPr>
              <w:widowControl w:val="0"/>
              <w:spacing w:before="60" w:after="60"/>
              <w:rPr>
                <w:rFonts w:cs="Arial"/>
                <w:b/>
                <w:bCs/>
                <w:sz w:val="18"/>
                <w:szCs w:val="18"/>
              </w:rPr>
            </w:pPr>
          </w:p>
        </w:tc>
      </w:tr>
    </w:tbl>
    <w:p w:rsidR="007252C0" w:rsidRPr="00DB337F" w:rsidRDefault="007252C0" w:rsidP="003A64C2">
      <w:pPr>
        <w:tabs>
          <w:tab w:val="left" w:pos="426"/>
        </w:tabs>
        <w:spacing w:before="120" w:after="120"/>
        <w:ind w:left="1134" w:right="1134"/>
      </w:pPr>
      <w:r w:rsidRPr="00DB337F">
        <w:rPr>
          <w:b/>
        </w:rPr>
        <w:t>5.3.3.</w:t>
      </w:r>
      <w:r w:rsidRPr="00DB337F">
        <w:rPr>
          <w:b/>
        </w:rPr>
        <w:tab/>
      </w:r>
      <w:r w:rsidRPr="00DB337F">
        <w:rPr>
          <w:rFonts w:cs="Arial"/>
          <w:b/>
          <w:bCs/>
          <w:szCs w:val="22"/>
          <w:u w:val="single"/>
        </w:rPr>
        <w:t xml:space="preserve">Draft amendments relating to standard </w:t>
      </w:r>
      <w:r w:rsidRPr="00DB337F">
        <w:rPr>
          <w:b/>
          <w:u w:val="single"/>
        </w:rPr>
        <w:t xml:space="preserve">EN 13317:2018 (ADR only) </w:t>
      </w:r>
      <w:r w:rsidRPr="00DB337F">
        <w:t xml:space="preserve">(New text in </w:t>
      </w:r>
      <w:r w:rsidR="00041120">
        <w:tab/>
      </w:r>
      <w:r w:rsidR="00041120">
        <w:tab/>
      </w:r>
      <w:r w:rsidRPr="00DB337F">
        <w:t>bold)</w:t>
      </w:r>
    </w:p>
    <w:p w:rsidR="007252C0" w:rsidRPr="00DB337F" w:rsidRDefault="007252C0" w:rsidP="003A64C2">
      <w:pPr>
        <w:spacing w:before="120" w:after="120"/>
        <w:ind w:left="1134" w:right="1134"/>
      </w:pPr>
      <w:r w:rsidRPr="00DB337F">
        <w:rPr>
          <w:b/>
        </w:rPr>
        <w:t>6.8.2.6.1</w:t>
      </w:r>
      <w:r w:rsidRPr="00DB337F">
        <w:tab/>
        <w:t>Amend the Table, under "For equipment", as follows:</w:t>
      </w:r>
    </w:p>
    <w:p w:rsidR="007252C0" w:rsidRPr="00DB337F" w:rsidRDefault="007252C0" w:rsidP="003A64C2">
      <w:pPr>
        <w:widowControl w:val="0"/>
        <w:spacing w:before="120" w:after="120"/>
        <w:ind w:left="2268" w:right="1134"/>
        <w:jc w:val="both"/>
      </w:pPr>
      <w:r w:rsidRPr="00DB337F">
        <w:rPr>
          <w:rFonts w:cs="Arial"/>
          <w:szCs w:val="22"/>
        </w:rPr>
        <w:t>-</w:t>
      </w:r>
      <w:r w:rsidRPr="00DB337F">
        <w:rPr>
          <w:rFonts w:cs="Arial"/>
          <w:szCs w:val="22"/>
        </w:rPr>
        <w:tab/>
        <w:t>For</w:t>
      </w:r>
      <w:r w:rsidRPr="00DB337F">
        <w:t xml:space="preserve"> standard “EN 13317:2002 + A1:2006”, in column (4), replace “Until further notice” by “</w:t>
      </w:r>
      <w:r w:rsidRPr="00DB337F">
        <w:rPr>
          <w:b/>
        </w:rPr>
        <w:t>Between 1 January 2009 and 31 December 2021</w:t>
      </w:r>
      <w:r w:rsidRPr="00DB337F">
        <w:t xml:space="preserve">”. </w:t>
      </w:r>
    </w:p>
    <w:p w:rsidR="007252C0" w:rsidRPr="00DB337F" w:rsidRDefault="007252C0" w:rsidP="003A64C2">
      <w:pPr>
        <w:widowControl w:val="0"/>
        <w:spacing w:before="120" w:after="120"/>
        <w:ind w:left="2268" w:right="1134"/>
      </w:pPr>
      <w:r w:rsidRPr="00DB337F">
        <w:t>-</w:t>
      </w:r>
      <w:r w:rsidRPr="00DB337F">
        <w:tab/>
        <w:t>After standard “EN 13317: 2002 + A1:2006”, add the following new standard:</w:t>
      </w:r>
    </w:p>
    <w:tbl>
      <w:tblPr>
        <w:tblW w:w="8640" w:type="dxa"/>
        <w:tblInd w:w="95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00"/>
        <w:gridCol w:w="3600"/>
        <w:gridCol w:w="900"/>
        <w:gridCol w:w="1620"/>
        <w:gridCol w:w="720"/>
      </w:tblGrid>
      <w:tr w:rsidR="007252C0" w:rsidRPr="0089011D" w:rsidTr="00033A15">
        <w:trPr>
          <w:trHeight w:val="717"/>
        </w:trPr>
        <w:tc>
          <w:tcPr>
            <w:tcW w:w="1800" w:type="dxa"/>
            <w:tcBorders>
              <w:top w:val="single" w:sz="4" w:space="0" w:color="auto"/>
            </w:tcBorders>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EN 13317:2018</w:t>
            </w:r>
          </w:p>
        </w:tc>
        <w:tc>
          <w:tcPr>
            <w:tcW w:w="3600" w:type="dxa"/>
            <w:tcBorders>
              <w:top w:val="single" w:sz="4" w:space="0" w:color="auto"/>
            </w:tcBorders>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Tanks for transport of dangerous goods - Service equipment for tanks - Manhole cover assembly</w:t>
            </w:r>
          </w:p>
        </w:tc>
        <w:tc>
          <w:tcPr>
            <w:tcW w:w="900" w:type="dxa"/>
            <w:tcBorders>
              <w:top w:val="single" w:sz="4" w:space="0" w:color="auto"/>
            </w:tcBorders>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Until further notice</w:t>
            </w:r>
          </w:p>
        </w:tc>
        <w:tc>
          <w:tcPr>
            <w:tcW w:w="720" w:type="dxa"/>
            <w:tcBorders>
              <w:top w:val="single" w:sz="4" w:space="0" w:color="auto"/>
            </w:tcBorders>
            <w:vAlign w:val="center"/>
          </w:tcPr>
          <w:p w:rsidR="007252C0" w:rsidRPr="0089011D" w:rsidRDefault="007252C0" w:rsidP="0089011D">
            <w:pPr>
              <w:widowControl w:val="0"/>
              <w:spacing w:before="60" w:after="60"/>
              <w:rPr>
                <w:rFonts w:cs="Arial"/>
                <w:b/>
                <w:bCs/>
                <w:sz w:val="18"/>
                <w:szCs w:val="18"/>
              </w:rPr>
            </w:pPr>
          </w:p>
        </w:tc>
      </w:tr>
    </w:tbl>
    <w:p w:rsidR="007252C0" w:rsidRPr="00DB337F" w:rsidRDefault="007252C0" w:rsidP="003A64C2">
      <w:pPr>
        <w:tabs>
          <w:tab w:val="left" w:pos="426"/>
        </w:tabs>
        <w:spacing w:before="120" w:after="120"/>
        <w:ind w:left="1134" w:right="1134"/>
        <w:rPr>
          <w:rFonts w:cs="Arial"/>
          <w:bCs/>
          <w:szCs w:val="22"/>
        </w:rPr>
      </w:pPr>
      <w:r w:rsidRPr="00DB337F">
        <w:rPr>
          <w:rFonts w:cs="Arial"/>
          <w:b/>
          <w:bCs/>
          <w:szCs w:val="22"/>
        </w:rPr>
        <w:t>5.3.4.</w:t>
      </w:r>
      <w:r w:rsidRPr="00DB337F">
        <w:rPr>
          <w:rFonts w:cs="Arial"/>
          <w:b/>
          <w:bCs/>
          <w:szCs w:val="22"/>
        </w:rPr>
        <w:tab/>
      </w:r>
      <w:r w:rsidRPr="00DB337F">
        <w:rPr>
          <w:rFonts w:cs="Arial"/>
          <w:b/>
          <w:bCs/>
          <w:szCs w:val="22"/>
          <w:u w:val="single"/>
        </w:rPr>
        <w:t xml:space="preserve">Draft amendments relating to standard EN 1440:2016 +A1:2018  </w:t>
      </w:r>
      <w:r w:rsidRPr="00DB337F">
        <w:rPr>
          <w:rFonts w:cs="Arial"/>
          <w:bCs/>
          <w:szCs w:val="22"/>
        </w:rPr>
        <w:t xml:space="preserve">(New text in </w:t>
      </w:r>
      <w:r w:rsidR="00041120">
        <w:rPr>
          <w:rFonts w:cs="Arial"/>
          <w:bCs/>
          <w:szCs w:val="22"/>
        </w:rPr>
        <w:tab/>
      </w:r>
      <w:r w:rsidR="00041120">
        <w:rPr>
          <w:rFonts w:cs="Arial"/>
          <w:bCs/>
          <w:szCs w:val="22"/>
        </w:rPr>
        <w:tab/>
      </w:r>
      <w:r w:rsidRPr="00DB337F">
        <w:rPr>
          <w:rFonts w:cs="Arial"/>
          <w:bCs/>
          <w:szCs w:val="22"/>
        </w:rPr>
        <w:t>bold)</w:t>
      </w:r>
    </w:p>
    <w:p w:rsidR="007252C0" w:rsidRPr="00DB337F" w:rsidRDefault="007252C0" w:rsidP="003A64C2">
      <w:pPr>
        <w:spacing w:before="120" w:after="120"/>
        <w:ind w:left="2268" w:right="1134" w:hanging="1134"/>
        <w:rPr>
          <w:rFonts w:cs="Arial"/>
          <w:bCs/>
          <w:szCs w:val="22"/>
        </w:rPr>
      </w:pPr>
      <w:r w:rsidRPr="00DB337F">
        <w:rPr>
          <w:rFonts w:cs="Arial"/>
          <w:b/>
          <w:bCs/>
          <w:szCs w:val="22"/>
        </w:rPr>
        <w:t>6.2.4.2</w:t>
      </w:r>
      <w:r w:rsidRPr="00DB337F">
        <w:rPr>
          <w:rFonts w:cs="Arial"/>
          <w:bCs/>
          <w:szCs w:val="22"/>
        </w:rPr>
        <w:tab/>
        <w:t>Amend the Table as follows:</w:t>
      </w:r>
    </w:p>
    <w:p w:rsidR="007252C0" w:rsidRPr="00DB337F" w:rsidRDefault="007252C0" w:rsidP="003A64C2">
      <w:pPr>
        <w:widowControl w:val="0"/>
        <w:spacing w:before="120" w:after="120"/>
        <w:ind w:left="2268" w:right="1134"/>
        <w:jc w:val="both"/>
        <w:rPr>
          <w:szCs w:val="22"/>
        </w:rPr>
      </w:pPr>
      <w:r w:rsidRPr="00DB337F">
        <w:rPr>
          <w:szCs w:val="22"/>
        </w:rPr>
        <w:t>–</w:t>
      </w:r>
      <w:r w:rsidRPr="00DB337F">
        <w:rPr>
          <w:szCs w:val="22"/>
        </w:rPr>
        <w:tab/>
        <w:t>For standard "EN 1440:2016 (except annex C)", in column (3), replace "Mandatorily from 1 January 2019" by: "</w:t>
      </w:r>
      <w:r w:rsidRPr="00DB337F">
        <w:rPr>
          <w:b/>
          <w:szCs w:val="22"/>
        </w:rPr>
        <w:t>Until 31 December 2021</w:t>
      </w:r>
      <w:r w:rsidRPr="00DB337F">
        <w:rPr>
          <w:szCs w:val="22"/>
        </w:rPr>
        <w:t>".</w:t>
      </w:r>
    </w:p>
    <w:p w:rsidR="007252C0" w:rsidRPr="00DB337F" w:rsidRDefault="007252C0" w:rsidP="003A64C2">
      <w:pPr>
        <w:widowControl w:val="0"/>
        <w:spacing w:before="120" w:after="120"/>
        <w:ind w:left="2268" w:right="1134"/>
        <w:jc w:val="both"/>
        <w:rPr>
          <w:rFonts w:cs="Arial"/>
          <w:szCs w:val="22"/>
        </w:rPr>
      </w:pPr>
      <w:r w:rsidRPr="00DB337F">
        <w:rPr>
          <w:rFonts w:cs="Arial"/>
          <w:szCs w:val="22"/>
        </w:rPr>
        <w:t>–</w:t>
      </w:r>
      <w:r w:rsidRPr="00DB337F">
        <w:rPr>
          <w:rFonts w:cs="Arial"/>
          <w:szCs w:val="22"/>
        </w:rPr>
        <w:tab/>
        <w:t xml:space="preserve">After standard "EN 1440:2016 (except annex C)", add the following new </w:t>
      </w:r>
      <w:r w:rsidRPr="00DB337F">
        <w:t>standard</w:t>
      </w:r>
      <w:r w:rsidRPr="00DB337F">
        <w:rPr>
          <w:rFonts w:cs="Arial"/>
          <w:szCs w:val="22"/>
        </w:rPr>
        <w:t>:</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040"/>
        <w:gridCol w:w="1440"/>
      </w:tblGrid>
      <w:tr w:rsidR="007252C0" w:rsidRPr="0089011D" w:rsidTr="00033A15">
        <w:tc>
          <w:tcPr>
            <w:tcW w:w="216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EN 1440:2016 + A1:2018 (except Annex C)</w:t>
            </w:r>
          </w:p>
        </w:tc>
        <w:tc>
          <w:tcPr>
            <w:tcW w:w="504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LPG equipment and accessories – Transportable refillable traditional welded and brazed steel Liquefied Petroleum Gas (LPG) cylinders – Periodic inspection</w:t>
            </w:r>
          </w:p>
        </w:tc>
        <w:tc>
          <w:tcPr>
            <w:tcW w:w="144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Mandatorily from 1 January 2022</w:t>
            </w:r>
          </w:p>
        </w:tc>
      </w:tr>
    </w:tbl>
    <w:p w:rsidR="007252C0" w:rsidRPr="00DB337F" w:rsidRDefault="007252C0" w:rsidP="003A64C2">
      <w:pPr>
        <w:tabs>
          <w:tab w:val="left" w:pos="426"/>
        </w:tabs>
        <w:spacing w:before="120" w:after="120"/>
        <w:ind w:left="1134" w:right="1134"/>
        <w:rPr>
          <w:rFonts w:cs="Arial"/>
          <w:bCs/>
          <w:szCs w:val="22"/>
        </w:rPr>
      </w:pPr>
      <w:r w:rsidRPr="00DB337F">
        <w:rPr>
          <w:rFonts w:cs="Arial"/>
          <w:b/>
          <w:bCs/>
          <w:szCs w:val="22"/>
        </w:rPr>
        <w:lastRenderedPageBreak/>
        <w:t>5.3.5.</w:t>
      </w:r>
      <w:r w:rsidRPr="00DB337F">
        <w:rPr>
          <w:rFonts w:cs="Arial"/>
          <w:b/>
          <w:bCs/>
          <w:szCs w:val="22"/>
        </w:rPr>
        <w:tab/>
      </w:r>
      <w:r w:rsidRPr="00DB337F">
        <w:rPr>
          <w:rFonts w:cs="Arial"/>
          <w:b/>
          <w:bCs/>
          <w:szCs w:val="22"/>
          <w:u w:val="single"/>
        </w:rPr>
        <w:t xml:space="preserve">Draft amendments relating to standard EN 16728:2016 +A1:2018  </w:t>
      </w:r>
      <w:r w:rsidRPr="00DB337F">
        <w:rPr>
          <w:rFonts w:cs="Arial"/>
          <w:bCs/>
          <w:szCs w:val="22"/>
        </w:rPr>
        <w:t xml:space="preserve">(New text in </w:t>
      </w:r>
      <w:r w:rsidR="00041120">
        <w:rPr>
          <w:rFonts w:cs="Arial"/>
          <w:bCs/>
          <w:szCs w:val="22"/>
        </w:rPr>
        <w:tab/>
      </w:r>
      <w:r w:rsidR="00041120">
        <w:rPr>
          <w:rFonts w:cs="Arial"/>
          <w:bCs/>
          <w:szCs w:val="22"/>
        </w:rPr>
        <w:tab/>
      </w:r>
      <w:r w:rsidRPr="00DB337F">
        <w:rPr>
          <w:rFonts w:cs="Arial"/>
          <w:bCs/>
          <w:szCs w:val="22"/>
        </w:rPr>
        <w:t>bold)</w:t>
      </w:r>
    </w:p>
    <w:p w:rsidR="007252C0" w:rsidRPr="00DB337F" w:rsidRDefault="007252C0" w:rsidP="003A64C2">
      <w:pPr>
        <w:spacing w:before="120" w:after="120"/>
        <w:ind w:left="2268" w:right="1134" w:hanging="1134"/>
        <w:rPr>
          <w:rFonts w:cs="Arial"/>
          <w:bCs/>
          <w:szCs w:val="22"/>
        </w:rPr>
      </w:pPr>
      <w:r w:rsidRPr="00DB337F">
        <w:rPr>
          <w:b/>
        </w:rPr>
        <w:t>6.2.4.2</w:t>
      </w:r>
      <w:r w:rsidRPr="00DB337F">
        <w:tab/>
      </w:r>
      <w:r w:rsidRPr="00DB337F">
        <w:rPr>
          <w:rFonts w:cs="Arial"/>
          <w:bCs/>
          <w:szCs w:val="22"/>
        </w:rPr>
        <w:t>Amend the Table as follows:</w:t>
      </w:r>
    </w:p>
    <w:p w:rsidR="007252C0" w:rsidRPr="00DB337F" w:rsidRDefault="007252C0" w:rsidP="003A64C2">
      <w:pPr>
        <w:widowControl w:val="0"/>
        <w:spacing w:before="120" w:after="120"/>
        <w:ind w:left="2268" w:right="1134"/>
        <w:jc w:val="both"/>
      </w:pPr>
      <w:r w:rsidRPr="00DB337F">
        <w:t>–</w:t>
      </w:r>
      <w:r w:rsidRPr="00DB337F">
        <w:tab/>
        <w:t>For standard "EN 16728:2016 (except clause 3.5, Annex F and Annex G)", in column (3), replace "Mandatorily from 1 January 2019" by: "</w:t>
      </w:r>
      <w:r w:rsidRPr="00DB337F">
        <w:rPr>
          <w:b/>
        </w:rPr>
        <w:t>Until 31 December 2021</w:t>
      </w:r>
      <w:r w:rsidRPr="00DB337F">
        <w:t>".</w:t>
      </w:r>
    </w:p>
    <w:p w:rsidR="007252C0" w:rsidRPr="00DB337F" w:rsidRDefault="007252C0" w:rsidP="003A64C2">
      <w:pPr>
        <w:widowControl w:val="0"/>
        <w:spacing w:before="120" w:after="120"/>
        <w:ind w:left="2268" w:right="1134"/>
        <w:jc w:val="both"/>
      </w:pPr>
      <w:r w:rsidRPr="00DB337F">
        <w:t>–</w:t>
      </w:r>
      <w:r w:rsidRPr="00DB337F">
        <w:tab/>
        <w:t>After standard "EN 16728:2016 (except clause 3.5, Annex F and Annex G)" add the following new row:</w:t>
      </w:r>
    </w:p>
    <w:tbl>
      <w:tblPr>
        <w:tblW w:w="85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4900"/>
        <w:gridCol w:w="1420"/>
      </w:tblGrid>
      <w:tr w:rsidR="007252C0" w:rsidRPr="0089011D" w:rsidTr="000C0B45">
        <w:tc>
          <w:tcPr>
            <w:tcW w:w="2219"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EN 16728:2016 + A1:2018</w:t>
            </w:r>
          </w:p>
        </w:tc>
        <w:tc>
          <w:tcPr>
            <w:tcW w:w="4981"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LPG equipment and accessories – Transportable refillable LPG cylinders other than traditional welded and brazed steel cylinders – Periodic inspection</w:t>
            </w:r>
          </w:p>
        </w:tc>
        <w:tc>
          <w:tcPr>
            <w:tcW w:w="144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Mandatorily from 1 January 2022</w:t>
            </w:r>
          </w:p>
        </w:tc>
      </w:tr>
    </w:tbl>
    <w:p w:rsidR="007252C0" w:rsidRPr="00DB337F" w:rsidRDefault="007252C0" w:rsidP="003A64C2">
      <w:pPr>
        <w:tabs>
          <w:tab w:val="left" w:pos="426"/>
        </w:tabs>
        <w:spacing w:before="120" w:after="120"/>
        <w:ind w:left="1134" w:right="1134"/>
        <w:rPr>
          <w:rFonts w:cs="Arial"/>
          <w:bCs/>
          <w:szCs w:val="22"/>
        </w:rPr>
      </w:pPr>
      <w:r w:rsidRPr="00DB337F">
        <w:rPr>
          <w:rFonts w:cs="Arial"/>
          <w:b/>
          <w:bCs/>
          <w:szCs w:val="22"/>
        </w:rPr>
        <w:t>5.3.6.</w:t>
      </w:r>
      <w:r w:rsidRPr="00DB337F">
        <w:rPr>
          <w:rFonts w:cs="Arial"/>
          <w:b/>
          <w:bCs/>
          <w:szCs w:val="22"/>
        </w:rPr>
        <w:tab/>
      </w:r>
      <w:r w:rsidRPr="00DB337F">
        <w:rPr>
          <w:rFonts w:cs="Arial"/>
          <w:b/>
          <w:bCs/>
          <w:szCs w:val="22"/>
          <w:u w:val="single"/>
        </w:rPr>
        <w:t xml:space="preserve">Draft amendments relating to standard EN ISO 17871:2015 + A1:2018  </w:t>
      </w:r>
      <w:r w:rsidRPr="00DB337F">
        <w:rPr>
          <w:rFonts w:cs="Arial"/>
          <w:bCs/>
          <w:szCs w:val="22"/>
        </w:rPr>
        <w:t xml:space="preserve">(New </w:t>
      </w:r>
      <w:r w:rsidR="00041120">
        <w:rPr>
          <w:rFonts w:cs="Arial"/>
          <w:bCs/>
          <w:szCs w:val="22"/>
        </w:rPr>
        <w:tab/>
      </w:r>
      <w:r w:rsidR="00041120">
        <w:rPr>
          <w:rFonts w:cs="Arial"/>
          <w:bCs/>
          <w:szCs w:val="22"/>
        </w:rPr>
        <w:tab/>
      </w:r>
      <w:r w:rsidRPr="00DB337F">
        <w:rPr>
          <w:rFonts w:cs="Arial"/>
          <w:bCs/>
          <w:szCs w:val="22"/>
        </w:rPr>
        <w:t>text in bold)</w:t>
      </w:r>
    </w:p>
    <w:p w:rsidR="007252C0" w:rsidRPr="00DB337F" w:rsidRDefault="007252C0" w:rsidP="003A64C2">
      <w:pPr>
        <w:spacing w:before="120" w:after="120"/>
        <w:ind w:left="2268" w:right="1134" w:hanging="1134"/>
      </w:pPr>
      <w:r w:rsidRPr="00DB337F">
        <w:rPr>
          <w:b/>
        </w:rPr>
        <w:t>6.2.4.1</w:t>
      </w:r>
      <w:r w:rsidRPr="00DB337F">
        <w:tab/>
        <w:t>Amend the Table, under "for closures", as follows:</w:t>
      </w:r>
    </w:p>
    <w:p w:rsidR="007252C0" w:rsidRPr="00DB337F" w:rsidRDefault="007252C0" w:rsidP="003A64C2">
      <w:pPr>
        <w:widowControl w:val="0"/>
        <w:spacing w:before="120" w:after="120"/>
        <w:ind w:left="2268" w:right="1134"/>
        <w:jc w:val="both"/>
      </w:pPr>
      <w:r w:rsidRPr="00DB337F">
        <w:t>–</w:t>
      </w:r>
      <w:r w:rsidRPr="00DB337F">
        <w:tab/>
        <w:t>For standard "EN ISO 17871:2015", in column (4), replace "Until further notice" by: "</w:t>
      </w:r>
      <w:r w:rsidRPr="00DB337F">
        <w:rPr>
          <w:b/>
        </w:rPr>
        <w:t>Between 1 January 2017 and 31 December 2021</w:t>
      </w:r>
      <w:r w:rsidRPr="00DB337F">
        <w:t>".</w:t>
      </w:r>
    </w:p>
    <w:p w:rsidR="007252C0" w:rsidRPr="00DB337F" w:rsidRDefault="007252C0" w:rsidP="003A64C2">
      <w:pPr>
        <w:widowControl w:val="0"/>
        <w:spacing w:before="120" w:after="120"/>
        <w:ind w:left="2268" w:right="1134"/>
        <w:jc w:val="both"/>
      </w:pPr>
      <w:r w:rsidRPr="00DB337F">
        <w:t>–</w:t>
      </w:r>
      <w:r w:rsidRPr="00DB337F">
        <w:tab/>
        <w:t>After standard "EN ISO 17871:2015", add the following new standard:</w:t>
      </w:r>
    </w:p>
    <w:tbl>
      <w:tblPr>
        <w:tblW w:w="85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3539"/>
        <w:gridCol w:w="888"/>
        <w:gridCol w:w="1595"/>
        <w:gridCol w:w="711"/>
      </w:tblGrid>
      <w:tr w:rsidR="007252C0" w:rsidRPr="0089011D" w:rsidTr="0089011D">
        <w:tc>
          <w:tcPr>
            <w:tcW w:w="180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EN ISO 17871:2015 + A1:2018</w:t>
            </w:r>
          </w:p>
        </w:tc>
        <w:tc>
          <w:tcPr>
            <w:tcW w:w="360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Gas cylinders – Quick-release cylinder valves – Specification and type testing</w:t>
            </w:r>
          </w:p>
        </w:tc>
        <w:tc>
          <w:tcPr>
            <w:tcW w:w="90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6.2.3.1, 6.2.3.3 and 6.2.3.4</w:t>
            </w:r>
          </w:p>
        </w:tc>
        <w:tc>
          <w:tcPr>
            <w:tcW w:w="1620" w:type="dxa"/>
            <w:vAlign w:val="center"/>
          </w:tcPr>
          <w:p w:rsidR="007252C0" w:rsidRPr="0089011D" w:rsidRDefault="007252C0" w:rsidP="0089011D">
            <w:pPr>
              <w:widowControl w:val="0"/>
              <w:spacing w:before="60" w:after="60"/>
              <w:rPr>
                <w:rFonts w:cs="Arial"/>
                <w:b/>
                <w:bCs/>
                <w:sz w:val="18"/>
                <w:szCs w:val="18"/>
              </w:rPr>
            </w:pPr>
            <w:r w:rsidRPr="0089011D">
              <w:rPr>
                <w:rFonts w:cs="Arial"/>
                <w:b/>
                <w:bCs/>
                <w:sz w:val="18"/>
                <w:szCs w:val="18"/>
              </w:rPr>
              <w:t>Until further notice</w:t>
            </w:r>
          </w:p>
        </w:tc>
        <w:tc>
          <w:tcPr>
            <w:tcW w:w="720" w:type="dxa"/>
            <w:vAlign w:val="center"/>
          </w:tcPr>
          <w:p w:rsidR="007252C0" w:rsidRPr="0089011D" w:rsidRDefault="007252C0" w:rsidP="0089011D">
            <w:pPr>
              <w:widowControl w:val="0"/>
              <w:spacing w:before="60" w:after="60"/>
              <w:rPr>
                <w:rFonts w:cs="Arial"/>
                <w:b/>
                <w:bCs/>
                <w:sz w:val="18"/>
                <w:szCs w:val="18"/>
              </w:rPr>
            </w:pPr>
          </w:p>
        </w:tc>
      </w:tr>
    </w:tbl>
    <w:p w:rsidR="007252C0" w:rsidRPr="00DB337F" w:rsidRDefault="00041120" w:rsidP="00041120">
      <w:pPr>
        <w:pStyle w:val="SingleTxtG"/>
        <w:spacing w:before="120"/>
        <w:rPr>
          <w:b/>
          <w:spacing w:val="-3"/>
        </w:rPr>
      </w:pPr>
      <w:r>
        <w:rPr>
          <w:b/>
          <w:spacing w:val="-3"/>
        </w:rPr>
        <w:t>5.4</w:t>
      </w:r>
      <w:r>
        <w:rPr>
          <w:b/>
          <w:spacing w:val="-3"/>
        </w:rPr>
        <w:tab/>
      </w:r>
      <w:r w:rsidR="007252C0" w:rsidRPr="00DB337F">
        <w:rPr>
          <w:b/>
          <w:spacing w:val="-3"/>
        </w:rPr>
        <w:t>Consultant</w:t>
      </w:r>
    </w:p>
    <w:p w:rsidR="007252C0" w:rsidRPr="00DB337F" w:rsidRDefault="007252C0" w:rsidP="00041120">
      <w:pPr>
        <w:pStyle w:val="SingleTxtG"/>
        <w:spacing w:before="120" w:after="240"/>
      </w:pPr>
      <w:r w:rsidRPr="00DB337F">
        <w:t>The Working Group discussed the problems associated with the absence of the HAS Consultant and the options available for the future.  The representative of DG Move was very pessimistic that the Working Group on Standards would receive the support it required because of the new legal constraints on the HAS Consultants. On the other hand, the representative of CEN/CENELEC CCMC was optimistic that he could work round these constraints.  The points raised and the follow up actions are summarised in the table in Annex 1.</w:t>
      </w:r>
    </w:p>
    <w:p w:rsidR="007252C0" w:rsidRPr="00DB337F" w:rsidRDefault="007252C0" w:rsidP="00041120">
      <w:pPr>
        <w:pStyle w:val="SingleTxtG"/>
        <w:spacing w:before="120" w:after="240"/>
        <w:rPr>
          <w:spacing w:val="-3"/>
        </w:rPr>
      </w:pPr>
      <w:r w:rsidRPr="00DB337F">
        <w:t>The WG asked CCMC to provide information on the criteria for neutrality as imposed by EY and in the past by CCMC. This is summarized in Annex 2.</w:t>
      </w:r>
    </w:p>
    <w:p w:rsidR="007252C0" w:rsidRPr="00DB337F" w:rsidRDefault="007252C0" w:rsidP="00FC1C35">
      <w:pPr>
        <w:pStyle w:val="HChG"/>
      </w:pPr>
      <w:r w:rsidRPr="00FC1C35">
        <w:rPr>
          <w:b w:val="0"/>
          <w:bCs/>
        </w:rPr>
        <w:br w:type="page"/>
      </w:r>
      <w:r w:rsidR="00041120">
        <w:rPr>
          <w:b w:val="0"/>
          <w:bCs/>
        </w:rPr>
        <w:lastRenderedPageBreak/>
        <w:tab/>
      </w:r>
      <w:r w:rsidR="00041120">
        <w:rPr>
          <w:b w:val="0"/>
          <w:bCs/>
        </w:rPr>
        <w:tab/>
      </w:r>
      <w:r w:rsidRPr="00DB337F">
        <w:t>Annex 1</w:t>
      </w:r>
    </w:p>
    <w:tbl>
      <w:tblPr>
        <w:tblStyle w:val="TableGrid"/>
        <w:tblW w:w="0" w:type="auto"/>
        <w:tblLook w:val="04A0" w:firstRow="1" w:lastRow="0" w:firstColumn="1" w:lastColumn="0" w:noHBand="0" w:noVBand="1"/>
      </w:tblPr>
      <w:tblGrid>
        <w:gridCol w:w="2004"/>
        <w:gridCol w:w="3221"/>
        <w:gridCol w:w="3432"/>
      </w:tblGrid>
      <w:tr w:rsidR="007252C0" w:rsidRPr="00F35FED" w:rsidTr="00033A15">
        <w:tc>
          <w:tcPr>
            <w:tcW w:w="2004" w:type="dxa"/>
          </w:tcPr>
          <w:p w:rsidR="007252C0" w:rsidRPr="00F35FED" w:rsidRDefault="007252C0" w:rsidP="00F35FED">
            <w:pPr>
              <w:spacing w:beforeLines="40" w:before="96" w:afterLines="40" w:after="96"/>
              <w:jc w:val="center"/>
              <w:rPr>
                <w:b/>
                <w:sz w:val="18"/>
                <w:szCs w:val="18"/>
              </w:rPr>
            </w:pPr>
            <w:r w:rsidRPr="00F35FED">
              <w:rPr>
                <w:b/>
                <w:sz w:val="18"/>
                <w:szCs w:val="18"/>
              </w:rPr>
              <w:t>CRITERIA</w:t>
            </w:r>
          </w:p>
        </w:tc>
        <w:tc>
          <w:tcPr>
            <w:tcW w:w="3221" w:type="dxa"/>
          </w:tcPr>
          <w:p w:rsidR="007252C0" w:rsidRPr="00F35FED" w:rsidRDefault="007252C0" w:rsidP="00F35FED">
            <w:pPr>
              <w:spacing w:beforeLines="40" w:before="96" w:afterLines="40" w:after="96"/>
              <w:jc w:val="center"/>
              <w:rPr>
                <w:b/>
                <w:sz w:val="18"/>
                <w:szCs w:val="18"/>
              </w:rPr>
            </w:pPr>
            <w:r w:rsidRPr="00F35FED">
              <w:rPr>
                <w:b/>
                <w:sz w:val="18"/>
                <w:szCs w:val="18"/>
              </w:rPr>
              <w:t>HAS CONSULTANT</w:t>
            </w:r>
          </w:p>
        </w:tc>
        <w:tc>
          <w:tcPr>
            <w:tcW w:w="3432" w:type="dxa"/>
          </w:tcPr>
          <w:p w:rsidR="007252C0" w:rsidRPr="00F35FED" w:rsidRDefault="007252C0" w:rsidP="00F35FED">
            <w:pPr>
              <w:spacing w:beforeLines="40" w:before="96" w:afterLines="40" w:after="96"/>
              <w:jc w:val="center"/>
              <w:rPr>
                <w:b/>
                <w:sz w:val="18"/>
                <w:szCs w:val="18"/>
              </w:rPr>
            </w:pPr>
            <w:r w:rsidRPr="00F35FED">
              <w:rPr>
                <w:b/>
                <w:sz w:val="18"/>
                <w:szCs w:val="18"/>
              </w:rPr>
              <w:t>VOLUNTEER ADVISOR</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Availability of the infrastructure</w:t>
            </w:r>
          </w:p>
        </w:tc>
        <w:tc>
          <w:tcPr>
            <w:tcW w:w="3221" w:type="dxa"/>
          </w:tcPr>
          <w:p w:rsidR="007252C0" w:rsidRPr="00F35FED" w:rsidRDefault="007252C0" w:rsidP="00F35FED">
            <w:pPr>
              <w:spacing w:beforeLines="40" w:before="96" w:afterLines="40" w:after="96"/>
              <w:rPr>
                <w:sz w:val="18"/>
                <w:szCs w:val="18"/>
              </w:rPr>
            </w:pPr>
            <w:r w:rsidRPr="00F35FED">
              <w:rPr>
                <w:sz w:val="18"/>
                <w:szCs w:val="18"/>
              </w:rPr>
              <w:t>Yes.</w:t>
            </w:r>
          </w:p>
        </w:tc>
        <w:tc>
          <w:tcPr>
            <w:tcW w:w="3432" w:type="dxa"/>
          </w:tcPr>
          <w:p w:rsidR="007252C0" w:rsidRPr="00F35FED" w:rsidRDefault="007252C0" w:rsidP="00F35FED">
            <w:pPr>
              <w:spacing w:beforeLines="40" w:before="96" w:afterLines="40" w:after="96"/>
              <w:rPr>
                <w:sz w:val="18"/>
                <w:szCs w:val="18"/>
              </w:rPr>
            </w:pPr>
            <w:r w:rsidRPr="00F35FED">
              <w:rPr>
                <w:sz w:val="18"/>
                <w:szCs w:val="18"/>
              </w:rPr>
              <w:t>Concept to be developed and agreed upon by all stakeholders (including CEN Members).</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Funding</w:t>
            </w:r>
          </w:p>
        </w:tc>
        <w:tc>
          <w:tcPr>
            <w:tcW w:w="3221" w:type="dxa"/>
          </w:tcPr>
          <w:p w:rsidR="007252C0" w:rsidRPr="00F35FED" w:rsidRDefault="007252C0" w:rsidP="00F35FED">
            <w:pPr>
              <w:spacing w:beforeLines="40" w:before="96" w:afterLines="40" w:after="96"/>
              <w:rPr>
                <w:sz w:val="18"/>
                <w:szCs w:val="18"/>
              </w:rPr>
            </w:pPr>
            <w:r w:rsidRPr="00F35FED">
              <w:rPr>
                <w:sz w:val="18"/>
                <w:szCs w:val="18"/>
              </w:rPr>
              <w:t>Already foreseen (EC budget for the next 4 years).</w:t>
            </w:r>
          </w:p>
        </w:tc>
        <w:tc>
          <w:tcPr>
            <w:tcW w:w="3432" w:type="dxa"/>
          </w:tcPr>
          <w:p w:rsidR="007252C0" w:rsidRPr="00F35FED" w:rsidRDefault="007252C0" w:rsidP="00F35FED">
            <w:pPr>
              <w:spacing w:beforeLines="40" w:before="96" w:afterLines="40" w:after="96"/>
              <w:rPr>
                <w:sz w:val="18"/>
                <w:szCs w:val="18"/>
              </w:rPr>
            </w:pPr>
            <w:r w:rsidRPr="00F35FED">
              <w:rPr>
                <w:sz w:val="18"/>
                <w:szCs w:val="18"/>
              </w:rPr>
              <w:t>Not foreseen (CEN is not supporting a funding from its own budget and EC would  not accept to fund this considering it has already funded HAS system). Industry funding to be clarified although probably not acceptable.</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Relevance of funding channels</w:t>
            </w:r>
          </w:p>
        </w:tc>
        <w:tc>
          <w:tcPr>
            <w:tcW w:w="3221" w:type="dxa"/>
          </w:tcPr>
          <w:p w:rsidR="007252C0" w:rsidRPr="00F35FED" w:rsidRDefault="007252C0" w:rsidP="00F35FED">
            <w:pPr>
              <w:spacing w:beforeLines="40" w:before="96" w:afterLines="40" w:after="96"/>
              <w:rPr>
                <w:sz w:val="18"/>
                <w:szCs w:val="18"/>
              </w:rPr>
            </w:pPr>
            <w:r w:rsidRPr="00F35FED">
              <w:rPr>
                <w:sz w:val="18"/>
                <w:szCs w:val="18"/>
              </w:rPr>
              <w:t>Authorities are funding even if the relevance of the EU MS funding this project through EC may be argued in the context of TDG regulation.</w:t>
            </w:r>
          </w:p>
          <w:p w:rsidR="007252C0" w:rsidRPr="00F35FED" w:rsidRDefault="007252C0" w:rsidP="00F35FED">
            <w:pPr>
              <w:spacing w:beforeLines="40" w:before="96" w:afterLines="40" w:after="96"/>
              <w:rPr>
                <w:sz w:val="18"/>
                <w:szCs w:val="18"/>
              </w:rPr>
            </w:pPr>
          </w:p>
        </w:tc>
        <w:tc>
          <w:tcPr>
            <w:tcW w:w="3432" w:type="dxa"/>
          </w:tcPr>
          <w:p w:rsidR="007252C0" w:rsidRPr="00F35FED" w:rsidRDefault="007252C0" w:rsidP="00F35FED">
            <w:pPr>
              <w:spacing w:beforeLines="40" w:before="96" w:afterLines="40" w:after="96"/>
              <w:rPr>
                <w:sz w:val="18"/>
                <w:szCs w:val="18"/>
              </w:rPr>
            </w:pPr>
            <w:r w:rsidRPr="00F35FED">
              <w:rPr>
                <w:sz w:val="18"/>
                <w:szCs w:val="18"/>
              </w:rPr>
              <w:t>Industry and National Standardization Bodies are already heavily funding the system. To be explored the possibility for UN / JM / Contracting Parties and OTIF Contracting States to provide financial support for this position.</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Neutrality</w:t>
            </w:r>
          </w:p>
        </w:tc>
        <w:tc>
          <w:tcPr>
            <w:tcW w:w="3221" w:type="dxa"/>
          </w:tcPr>
          <w:p w:rsidR="007252C0" w:rsidRPr="00F35FED" w:rsidRDefault="007252C0" w:rsidP="00F35FED">
            <w:pPr>
              <w:spacing w:beforeLines="40" w:before="96" w:afterLines="40" w:after="96"/>
              <w:rPr>
                <w:sz w:val="18"/>
                <w:szCs w:val="18"/>
              </w:rPr>
            </w:pPr>
            <w:r w:rsidRPr="00F35FED">
              <w:rPr>
                <w:sz w:val="18"/>
                <w:szCs w:val="18"/>
              </w:rPr>
              <w:t>Well considered by a set of strict criteria.</w:t>
            </w:r>
          </w:p>
        </w:tc>
        <w:tc>
          <w:tcPr>
            <w:tcW w:w="3432" w:type="dxa"/>
          </w:tcPr>
          <w:p w:rsidR="007252C0" w:rsidRPr="00F35FED" w:rsidRDefault="007252C0" w:rsidP="00F35FED">
            <w:pPr>
              <w:spacing w:beforeLines="40" w:before="96" w:afterLines="40" w:after="96"/>
              <w:rPr>
                <w:sz w:val="18"/>
                <w:szCs w:val="18"/>
              </w:rPr>
            </w:pPr>
            <w:r w:rsidRPr="00F35FED">
              <w:rPr>
                <w:sz w:val="18"/>
                <w:szCs w:val="18"/>
              </w:rPr>
              <w:t>More flexible criteria but weaker neutrality as funds will probably come from Industry (direct funding or funding via CEN Members).</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 xml:space="preserve">Agility </w:t>
            </w:r>
          </w:p>
        </w:tc>
        <w:tc>
          <w:tcPr>
            <w:tcW w:w="3221" w:type="dxa"/>
          </w:tcPr>
          <w:p w:rsidR="007252C0" w:rsidRPr="00F35FED" w:rsidRDefault="007252C0" w:rsidP="00F35FED">
            <w:pPr>
              <w:spacing w:beforeLines="40" w:before="96" w:afterLines="40" w:after="96"/>
              <w:rPr>
                <w:sz w:val="18"/>
                <w:szCs w:val="18"/>
              </w:rPr>
            </w:pPr>
            <w:r w:rsidRPr="00F35FED">
              <w:rPr>
                <w:sz w:val="18"/>
                <w:szCs w:val="18"/>
              </w:rPr>
              <w:t>Low (position defined by very strict procedural EC rules) – contacts allowed only with CCMC and with the TCs.</w:t>
            </w:r>
          </w:p>
        </w:tc>
        <w:tc>
          <w:tcPr>
            <w:tcW w:w="3432" w:type="dxa"/>
          </w:tcPr>
          <w:p w:rsidR="007252C0" w:rsidRPr="00F35FED" w:rsidRDefault="007252C0" w:rsidP="00F35FED">
            <w:pPr>
              <w:spacing w:beforeLines="40" w:before="96" w:afterLines="40" w:after="96"/>
              <w:rPr>
                <w:sz w:val="18"/>
                <w:szCs w:val="18"/>
              </w:rPr>
            </w:pPr>
            <w:r w:rsidRPr="00F35FED">
              <w:rPr>
                <w:sz w:val="18"/>
                <w:szCs w:val="18"/>
              </w:rPr>
              <w:t>Higher as managed by CEN rules.</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Advice from DG Move</w:t>
            </w:r>
          </w:p>
        </w:tc>
        <w:tc>
          <w:tcPr>
            <w:tcW w:w="3221" w:type="dxa"/>
          </w:tcPr>
          <w:p w:rsidR="007252C0" w:rsidRPr="00F35FED" w:rsidRDefault="007252C0" w:rsidP="00F35FED">
            <w:pPr>
              <w:spacing w:beforeLines="40" w:before="96" w:afterLines="40" w:after="96"/>
              <w:rPr>
                <w:sz w:val="18"/>
                <w:szCs w:val="18"/>
              </w:rPr>
            </w:pPr>
            <w:r w:rsidRPr="00F35FED">
              <w:rPr>
                <w:sz w:val="18"/>
                <w:szCs w:val="18"/>
              </w:rPr>
              <w:t>Very pessimistic that this can be made to work in the way required by the Joint Meeting because of the legal constraints.</w:t>
            </w:r>
          </w:p>
        </w:tc>
        <w:tc>
          <w:tcPr>
            <w:tcW w:w="3432" w:type="dxa"/>
          </w:tcPr>
          <w:p w:rsidR="007252C0" w:rsidRPr="00F35FED" w:rsidRDefault="007252C0" w:rsidP="00F35FED">
            <w:pPr>
              <w:spacing w:beforeLines="40" w:before="96" w:afterLines="40" w:after="96"/>
              <w:rPr>
                <w:sz w:val="18"/>
                <w:szCs w:val="18"/>
              </w:rPr>
            </w:pPr>
            <w:r w:rsidRPr="00F35FED">
              <w:rPr>
                <w:sz w:val="18"/>
                <w:szCs w:val="18"/>
              </w:rPr>
              <w:t>Recommends that this possibility is fully explored.</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p>
        </w:tc>
        <w:tc>
          <w:tcPr>
            <w:tcW w:w="3221" w:type="dxa"/>
          </w:tcPr>
          <w:p w:rsidR="007252C0" w:rsidRPr="00F35FED" w:rsidRDefault="007252C0" w:rsidP="00F35FED">
            <w:pPr>
              <w:spacing w:beforeLines="40" w:before="96" w:afterLines="40" w:after="96"/>
              <w:rPr>
                <w:sz w:val="18"/>
                <w:szCs w:val="18"/>
              </w:rPr>
            </w:pPr>
          </w:p>
        </w:tc>
        <w:tc>
          <w:tcPr>
            <w:tcW w:w="3432" w:type="dxa"/>
          </w:tcPr>
          <w:p w:rsidR="007252C0" w:rsidRPr="00F35FED" w:rsidRDefault="007252C0" w:rsidP="00F35FED">
            <w:pPr>
              <w:spacing w:beforeLines="40" w:before="96" w:afterLines="40" w:after="96"/>
              <w:rPr>
                <w:sz w:val="18"/>
                <w:szCs w:val="18"/>
              </w:rPr>
            </w:pPr>
          </w:p>
        </w:tc>
      </w:tr>
      <w:tr w:rsidR="007252C0" w:rsidRPr="00F35FED" w:rsidTr="00033A15">
        <w:tc>
          <w:tcPr>
            <w:tcW w:w="2004" w:type="dxa"/>
          </w:tcPr>
          <w:p w:rsidR="007252C0" w:rsidRPr="00F35FED" w:rsidRDefault="007252C0" w:rsidP="00F35FED">
            <w:pPr>
              <w:spacing w:beforeLines="40" w:before="96" w:afterLines="40" w:after="96"/>
              <w:rPr>
                <w:b/>
                <w:sz w:val="18"/>
                <w:szCs w:val="18"/>
              </w:rPr>
            </w:pPr>
            <w:r w:rsidRPr="00F35FED">
              <w:rPr>
                <w:b/>
                <w:sz w:val="18"/>
                <w:szCs w:val="18"/>
              </w:rPr>
              <w:t>ISSUES</w:t>
            </w:r>
          </w:p>
        </w:tc>
        <w:tc>
          <w:tcPr>
            <w:tcW w:w="3221" w:type="dxa"/>
          </w:tcPr>
          <w:p w:rsidR="007252C0" w:rsidRPr="00F35FED" w:rsidRDefault="007252C0" w:rsidP="00F35FED">
            <w:pPr>
              <w:spacing w:beforeLines="40" w:before="96" w:afterLines="40" w:after="96"/>
              <w:rPr>
                <w:sz w:val="18"/>
                <w:szCs w:val="18"/>
              </w:rPr>
            </w:pPr>
          </w:p>
        </w:tc>
        <w:tc>
          <w:tcPr>
            <w:tcW w:w="3432" w:type="dxa"/>
          </w:tcPr>
          <w:p w:rsidR="007252C0" w:rsidRPr="00F35FED" w:rsidRDefault="007252C0" w:rsidP="00F35FED">
            <w:pPr>
              <w:spacing w:beforeLines="40" w:before="96" w:afterLines="40" w:after="96"/>
              <w:rPr>
                <w:sz w:val="18"/>
                <w:szCs w:val="18"/>
              </w:rPr>
            </w:pP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Availability for meeting with RID/ADR</w:t>
            </w:r>
          </w:p>
        </w:tc>
        <w:tc>
          <w:tcPr>
            <w:tcW w:w="3221" w:type="dxa"/>
          </w:tcPr>
          <w:p w:rsidR="007252C0" w:rsidRPr="00F35FED" w:rsidRDefault="007252C0" w:rsidP="00F35FED">
            <w:pPr>
              <w:spacing w:beforeLines="40" w:before="96" w:afterLines="40" w:after="96"/>
              <w:rPr>
                <w:sz w:val="18"/>
                <w:szCs w:val="18"/>
              </w:rPr>
            </w:pPr>
            <w:r w:rsidRPr="00F35FED">
              <w:rPr>
                <w:sz w:val="18"/>
                <w:szCs w:val="18"/>
              </w:rPr>
              <w:t>Feasible for preparatory telco; may appear more difficult for attendance to Joint Meeting.</w:t>
            </w:r>
          </w:p>
        </w:tc>
        <w:tc>
          <w:tcPr>
            <w:tcW w:w="3432" w:type="dxa"/>
          </w:tcPr>
          <w:p w:rsidR="007252C0" w:rsidRPr="00F35FED" w:rsidRDefault="007252C0" w:rsidP="00F35FED">
            <w:pPr>
              <w:spacing w:beforeLines="40" w:before="96" w:afterLines="40" w:after="96"/>
              <w:rPr>
                <w:sz w:val="18"/>
                <w:szCs w:val="18"/>
              </w:rPr>
            </w:pPr>
            <w:r w:rsidRPr="00F35FED">
              <w:rPr>
                <w:sz w:val="18"/>
                <w:szCs w:val="18"/>
              </w:rPr>
              <w:t>No limitation (except budget).</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Recognition</w:t>
            </w:r>
          </w:p>
        </w:tc>
        <w:tc>
          <w:tcPr>
            <w:tcW w:w="3221" w:type="dxa"/>
          </w:tcPr>
          <w:p w:rsidR="007252C0" w:rsidRPr="00F35FED" w:rsidRDefault="007252C0" w:rsidP="00F35FED">
            <w:pPr>
              <w:spacing w:beforeLines="40" w:before="96" w:afterLines="40" w:after="96"/>
              <w:rPr>
                <w:sz w:val="18"/>
                <w:szCs w:val="18"/>
              </w:rPr>
            </w:pPr>
            <w:r w:rsidRPr="00F35FED">
              <w:rPr>
                <w:sz w:val="18"/>
                <w:szCs w:val="18"/>
              </w:rPr>
              <w:t>Yes, as managed by EC although non EU contracting parties/states may disagree.</w:t>
            </w:r>
          </w:p>
        </w:tc>
        <w:tc>
          <w:tcPr>
            <w:tcW w:w="3432" w:type="dxa"/>
          </w:tcPr>
          <w:p w:rsidR="007252C0" w:rsidRPr="00F35FED" w:rsidRDefault="007252C0" w:rsidP="00F35FED">
            <w:pPr>
              <w:spacing w:beforeLines="40" w:before="96" w:afterLines="40" w:after="96"/>
              <w:rPr>
                <w:sz w:val="18"/>
                <w:szCs w:val="18"/>
              </w:rPr>
            </w:pPr>
            <w:r w:rsidRPr="00F35FED">
              <w:rPr>
                <w:sz w:val="18"/>
                <w:szCs w:val="18"/>
              </w:rPr>
              <w:t>Lack of legitimacy except as established by Joint Meeting.</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 xml:space="preserve">Availability of assessments </w:t>
            </w:r>
          </w:p>
        </w:tc>
        <w:tc>
          <w:tcPr>
            <w:tcW w:w="3221" w:type="dxa"/>
          </w:tcPr>
          <w:p w:rsidR="007252C0" w:rsidRPr="00F35FED" w:rsidRDefault="007252C0" w:rsidP="00F35FED">
            <w:pPr>
              <w:spacing w:beforeLines="40" w:before="96" w:afterLines="40" w:after="96"/>
              <w:rPr>
                <w:sz w:val="18"/>
                <w:szCs w:val="18"/>
              </w:rPr>
            </w:pPr>
            <w:r w:rsidRPr="00F35FED">
              <w:rPr>
                <w:sz w:val="18"/>
                <w:szCs w:val="18"/>
              </w:rPr>
              <w:t>Heavy assessments documentation constrains not fully adapted to TDG legal context.</w:t>
            </w:r>
          </w:p>
          <w:p w:rsidR="007252C0" w:rsidRPr="00F35FED" w:rsidRDefault="007252C0" w:rsidP="00F35FED">
            <w:pPr>
              <w:spacing w:beforeLines="40" w:before="96" w:afterLines="40" w:after="96"/>
              <w:rPr>
                <w:sz w:val="18"/>
                <w:szCs w:val="18"/>
              </w:rPr>
            </w:pPr>
            <w:r w:rsidRPr="00F35FED">
              <w:rPr>
                <w:sz w:val="18"/>
                <w:szCs w:val="18"/>
              </w:rPr>
              <w:t>Restricted to EC, CCMC and TCs but CCMC could transmit  them to the JM for discussion within the JM STD WG.</w:t>
            </w:r>
          </w:p>
        </w:tc>
        <w:tc>
          <w:tcPr>
            <w:tcW w:w="3432" w:type="dxa"/>
          </w:tcPr>
          <w:p w:rsidR="007252C0" w:rsidRPr="00F35FED" w:rsidRDefault="007252C0" w:rsidP="00F35FED">
            <w:pPr>
              <w:spacing w:beforeLines="40" w:before="96" w:afterLines="40" w:after="96"/>
              <w:rPr>
                <w:sz w:val="18"/>
                <w:szCs w:val="18"/>
              </w:rPr>
            </w:pPr>
            <w:r w:rsidRPr="00F35FED">
              <w:rPr>
                <w:sz w:val="18"/>
                <w:szCs w:val="18"/>
              </w:rPr>
              <w:t>No real limitation.</w:t>
            </w:r>
          </w:p>
        </w:tc>
      </w:tr>
      <w:tr w:rsidR="007252C0" w:rsidRPr="00F35FED" w:rsidTr="00033A15">
        <w:tc>
          <w:tcPr>
            <w:tcW w:w="2004" w:type="dxa"/>
          </w:tcPr>
          <w:p w:rsidR="007252C0" w:rsidRPr="00F35FED" w:rsidRDefault="007252C0" w:rsidP="00F35FED">
            <w:pPr>
              <w:spacing w:beforeLines="40" w:before="96" w:afterLines="40" w:after="96"/>
              <w:rPr>
                <w:sz w:val="18"/>
                <w:szCs w:val="18"/>
              </w:rPr>
            </w:pPr>
            <w:r w:rsidRPr="00F35FED">
              <w:rPr>
                <w:sz w:val="18"/>
                <w:szCs w:val="18"/>
              </w:rPr>
              <w:t>ISO standards evaluation</w:t>
            </w:r>
          </w:p>
        </w:tc>
        <w:tc>
          <w:tcPr>
            <w:tcW w:w="3221" w:type="dxa"/>
          </w:tcPr>
          <w:p w:rsidR="007252C0" w:rsidRPr="00F35FED" w:rsidRDefault="007252C0" w:rsidP="00F35FED">
            <w:pPr>
              <w:spacing w:beforeLines="40" w:before="96" w:afterLines="40" w:after="96"/>
              <w:rPr>
                <w:sz w:val="18"/>
                <w:szCs w:val="18"/>
              </w:rPr>
            </w:pPr>
            <w:r w:rsidRPr="00F35FED">
              <w:rPr>
                <w:sz w:val="18"/>
                <w:szCs w:val="18"/>
              </w:rPr>
              <w:t xml:space="preserve">Only carried out for EN ISO standards. Necessity for ISO standard evaluation not foreseen. </w:t>
            </w:r>
          </w:p>
        </w:tc>
        <w:tc>
          <w:tcPr>
            <w:tcW w:w="3432" w:type="dxa"/>
          </w:tcPr>
          <w:p w:rsidR="007252C0" w:rsidRPr="00F35FED" w:rsidRDefault="007252C0" w:rsidP="00F35FED">
            <w:pPr>
              <w:spacing w:beforeLines="40" w:before="96" w:afterLines="40" w:after="96"/>
              <w:rPr>
                <w:sz w:val="18"/>
                <w:szCs w:val="18"/>
              </w:rPr>
            </w:pPr>
            <w:r w:rsidRPr="00F35FED">
              <w:rPr>
                <w:sz w:val="18"/>
                <w:szCs w:val="18"/>
              </w:rPr>
              <w:t>Only carried out for EN ISO standards. Necessity for ISO standard evaluation not foreseen.</w:t>
            </w:r>
          </w:p>
        </w:tc>
      </w:tr>
    </w:tbl>
    <w:p w:rsidR="007252C0" w:rsidRPr="00DB337F" w:rsidRDefault="00041120" w:rsidP="00041120">
      <w:pPr>
        <w:pStyle w:val="HChG"/>
      </w:pPr>
      <w:r>
        <w:lastRenderedPageBreak/>
        <w:tab/>
      </w:r>
      <w:r>
        <w:tab/>
      </w:r>
      <w:r w:rsidR="007252C0" w:rsidRPr="00DB337F">
        <w:t>ACTIONS</w:t>
      </w:r>
    </w:p>
    <w:tbl>
      <w:tblPr>
        <w:tblStyle w:val="TableGrid"/>
        <w:tblW w:w="0" w:type="auto"/>
        <w:tblLook w:val="04A0" w:firstRow="1" w:lastRow="0" w:firstColumn="1" w:lastColumn="0" w:noHBand="0" w:noVBand="1"/>
      </w:tblPr>
      <w:tblGrid>
        <w:gridCol w:w="6432"/>
        <w:gridCol w:w="2367"/>
      </w:tblGrid>
      <w:tr w:rsidR="007252C0" w:rsidRPr="00DB337F" w:rsidTr="00033A15">
        <w:tc>
          <w:tcPr>
            <w:tcW w:w="6432" w:type="dxa"/>
          </w:tcPr>
          <w:p w:rsidR="007252C0" w:rsidRPr="00DB337F" w:rsidRDefault="007252C0" w:rsidP="00F35FED">
            <w:pPr>
              <w:spacing w:before="40" w:after="40"/>
            </w:pPr>
            <w:r w:rsidRPr="00DB337F">
              <w:t xml:space="preserve">To identify a neutral (retired or quasi-retired) expert knowledgeable in transportable </w:t>
            </w:r>
            <w:r>
              <w:t>pressure receptacles and tanks</w:t>
            </w:r>
            <w:r w:rsidRPr="00DB337F">
              <w:t>: allowing for appointment in the HAS context or ‘Voluntary Advisor’ context.</w:t>
            </w:r>
          </w:p>
        </w:tc>
        <w:tc>
          <w:tcPr>
            <w:tcW w:w="2367" w:type="dxa"/>
          </w:tcPr>
          <w:p w:rsidR="007252C0" w:rsidRPr="00DB337F" w:rsidRDefault="007252C0" w:rsidP="00F35FED">
            <w:pPr>
              <w:spacing w:before="40" w:after="40"/>
            </w:pPr>
            <w:r w:rsidRPr="00DB337F">
              <w:t>EIGA, AEGPL, ECMA, CCMC</w:t>
            </w:r>
            <w:r>
              <w:t>.</w:t>
            </w:r>
          </w:p>
        </w:tc>
      </w:tr>
      <w:tr w:rsidR="007252C0" w:rsidRPr="00DB337F" w:rsidTr="00033A15">
        <w:tc>
          <w:tcPr>
            <w:tcW w:w="6432" w:type="dxa"/>
          </w:tcPr>
          <w:p w:rsidR="007252C0" w:rsidRPr="00DB337F" w:rsidRDefault="007252C0" w:rsidP="00F35FED">
            <w:pPr>
              <w:spacing w:before="40" w:after="40"/>
            </w:pPr>
            <w:r w:rsidRPr="00DB337F">
              <w:t>To test CEN Members about willingness to fund the line ‘Voluntary Advisor’ of the CCMC budget in case this would be the favoured option.</w:t>
            </w:r>
          </w:p>
        </w:tc>
        <w:tc>
          <w:tcPr>
            <w:tcW w:w="2367" w:type="dxa"/>
          </w:tcPr>
          <w:p w:rsidR="007252C0" w:rsidRPr="00DB337F" w:rsidRDefault="007252C0" w:rsidP="00F35FED">
            <w:pPr>
              <w:spacing w:before="40" w:after="40"/>
            </w:pPr>
            <w:r w:rsidRPr="00DB337F">
              <w:t>CCMC</w:t>
            </w:r>
            <w:r>
              <w:t>.</w:t>
            </w:r>
          </w:p>
        </w:tc>
      </w:tr>
      <w:tr w:rsidR="007252C0" w:rsidRPr="00F24DE5" w:rsidTr="00033A15">
        <w:tc>
          <w:tcPr>
            <w:tcW w:w="6432" w:type="dxa"/>
          </w:tcPr>
          <w:p w:rsidR="007252C0" w:rsidRPr="00DB337F" w:rsidRDefault="007252C0" w:rsidP="00F35FED">
            <w:pPr>
              <w:spacing w:before="40" w:after="40"/>
            </w:pPr>
            <w:r w:rsidRPr="00DB337F">
              <w:t xml:space="preserve">To test </w:t>
            </w:r>
            <w:r>
              <w:t>JM and its Contracting Parties</w:t>
            </w:r>
            <w:r w:rsidRPr="00DB337F">
              <w:t xml:space="preserve"> about willingness to fund the line ‘Voluntary Advisor’ of the CCMC budget in case this would be the favoured option.</w:t>
            </w:r>
          </w:p>
        </w:tc>
        <w:tc>
          <w:tcPr>
            <w:tcW w:w="2367" w:type="dxa"/>
          </w:tcPr>
          <w:p w:rsidR="007252C0" w:rsidRPr="00DB337F" w:rsidRDefault="007252C0" w:rsidP="00F35FED">
            <w:pPr>
              <w:spacing w:before="40" w:after="40"/>
            </w:pPr>
            <w:r>
              <w:t xml:space="preserve">JM Contracting Parties, JM, </w:t>
            </w:r>
            <w:r w:rsidRPr="00DB337F">
              <w:t>CCMC</w:t>
            </w:r>
            <w:r>
              <w:t>.</w:t>
            </w:r>
          </w:p>
        </w:tc>
      </w:tr>
      <w:tr w:rsidR="007252C0" w:rsidRPr="00DB337F" w:rsidTr="00033A15">
        <w:tc>
          <w:tcPr>
            <w:tcW w:w="6432" w:type="dxa"/>
          </w:tcPr>
          <w:p w:rsidR="007252C0" w:rsidRPr="00DB337F" w:rsidRDefault="007252C0" w:rsidP="00F35FED">
            <w:pPr>
              <w:spacing w:before="40" w:after="40"/>
            </w:pPr>
            <w:r w:rsidRPr="00DB337F">
              <w:t>To consider modalities of funding directly from industry the line ‘Voluntary Advisor’.</w:t>
            </w:r>
          </w:p>
        </w:tc>
        <w:tc>
          <w:tcPr>
            <w:tcW w:w="2367" w:type="dxa"/>
          </w:tcPr>
          <w:p w:rsidR="007252C0" w:rsidRPr="00DB337F" w:rsidRDefault="007252C0" w:rsidP="00F35FED">
            <w:pPr>
              <w:spacing w:before="40" w:after="40"/>
            </w:pPr>
            <w:r w:rsidRPr="00DB337F">
              <w:t>EIGA, AEGPL, ECMA</w:t>
            </w:r>
            <w:r>
              <w:t>.</w:t>
            </w:r>
          </w:p>
        </w:tc>
      </w:tr>
      <w:tr w:rsidR="007252C0" w:rsidRPr="00F24DE5" w:rsidTr="00033A15">
        <w:tc>
          <w:tcPr>
            <w:tcW w:w="6432" w:type="dxa"/>
          </w:tcPr>
          <w:p w:rsidR="007252C0" w:rsidRPr="00DB337F" w:rsidRDefault="007252C0" w:rsidP="00F35FED">
            <w:pPr>
              <w:spacing w:before="40" w:after="40"/>
            </w:pPr>
            <w:r w:rsidRPr="00DB337F">
              <w:t>To liaise with the national standardization bodies to support their favourite proposal.</w:t>
            </w:r>
          </w:p>
        </w:tc>
        <w:tc>
          <w:tcPr>
            <w:tcW w:w="2367" w:type="dxa"/>
          </w:tcPr>
          <w:p w:rsidR="007252C0" w:rsidRPr="00DB337F" w:rsidRDefault="007252C0" w:rsidP="00F35FED">
            <w:pPr>
              <w:spacing w:before="40" w:after="40"/>
            </w:pPr>
            <w:r w:rsidRPr="00DB337F">
              <w:t>Contracting parties/states having a NSB in the CEN System</w:t>
            </w:r>
            <w:r>
              <w:t>.</w:t>
            </w:r>
          </w:p>
        </w:tc>
      </w:tr>
    </w:tbl>
    <w:p w:rsidR="007252C0" w:rsidRPr="00DB337F" w:rsidRDefault="007252C0" w:rsidP="007252C0"/>
    <w:p w:rsidR="007252C0" w:rsidRPr="00DB337F" w:rsidRDefault="007252C0" w:rsidP="007252C0">
      <w:pPr>
        <w:spacing w:line="240" w:lineRule="auto"/>
        <w:rPr>
          <w:b/>
          <w:sz w:val="24"/>
          <w:szCs w:val="24"/>
          <w:u w:val="single"/>
        </w:rPr>
      </w:pPr>
      <w:r w:rsidRPr="00DB337F">
        <w:rPr>
          <w:b/>
          <w:sz w:val="24"/>
          <w:szCs w:val="24"/>
          <w:u w:val="single"/>
        </w:rPr>
        <w:br w:type="page"/>
      </w:r>
    </w:p>
    <w:p w:rsidR="007252C0" w:rsidRPr="00DB337F" w:rsidRDefault="00041120" w:rsidP="00FC1C35">
      <w:pPr>
        <w:pStyle w:val="HChG"/>
      </w:pPr>
      <w:r>
        <w:lastRenderedPageBreak/>
        <w:tab/>
      </w:r>
      <w:r>
        <w:tab/>
      </w:r>
      <w:r w:rsidR="007252C0" w:rsidRPr="00DB337F">
        <w:t>Annex 2</w:t>
      </w:r>
    </w:p>
    <w:p w:rsidR="007252C0" w:rsidRPr="00DB337F" w:rsidRDefault="00041120" w:rsidP="00041120">
      <w:pPr>
        <w:pStyle w:val="H1G"/>
      </w:pPr>
      <w:r>
        <w:tab/>
      </w:r>
      <w:r>
        <w:tab/>
      </w:r>
      <w:r w:rsidR="007252C0" w:rsidRPr="00DB337F">
        <w:t>Criteria for Neutrality as per EY</w:t>
      </w:r>
    </w:p>
    <w:p w:rsidR="007252C0" w:rsidRPr="00DB337F" w:rsidRDefault="007252C0" w:rsidP="007252C0">
      <w:pPr>
        <w:tabs>
          <w:tab w:val="left" w:pos="567"/>
        </w:tabs>
        <w:spacing w:before="60" w:line="240" w:lineRule="auto"/>
        <w:rPr>
          <w:b/>
          <w:u w:val="single"/>
        </w:rPr>
      </w:pPr>
      <w:r w:rsidRPr="00DB337F">
        <w:rPr>
          <w:noProof/>
          <w:lang w:eastAsia="en-GB"/>
        </w:rPr>
        <w:drawing>
          <wp:inline distT="0" distB="0" distL="0" distR="0" wp14:anchorId="16502413" wp14:editId="1B849DD5">
            <wp:extent cx="6277365" cy="463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1482" cy="4646221"/>
                    </a:xfrm>
                    <a:prstGeom prst="rect">
                      <a:avLst/>
                    </a:prstGeom>
                  </pic:spPr>
                </pic:pic>
              </a:graphicData>
            </a:graphic>
          </wp:inline>
        </w:drawing>
      </w:r>
    </w:p>
    <w:p w:rsidR="007252C0" w:rsidRPr="00DB337F" w:rsidRDefault="00041120" w:rsidP="00041120">
      <w:pPr>
        <w:pStyle w:val="H1G"/>
      </w:pPr>
      <w:r>
        <w:tab/>
      </w:r>
      <w:r>
        <w:tab/>
      </w:r>
      <w:r w:rsidR="007252C0" w:rsidRPr="00DB337F">
        <w:t>Criteria for Neutrality as per CEN</w:t>
      </w:r>
    </w:p>
    <w:p w:rsidR="007252C0" w:rsidRPr="00041120" w:rsidRDefault="007252C0" w:rsidP="00041120">
      <w:pPr>
        <w:pStyle w:val="SingleTxtG"/>
        <w:spacing w:before="120" w:after="240"/>
      </w:pPr>
      <w:r w:rsidRPr="00041120">
        <w:t>I am aware that impartiality and independency are essential in this role and any appearance of conflict of interest has to be avoided.</w:t>
      </w:r>
    </w:p>
    <w:p w:rsidR="007252C0" w:rsidRPr="00041120" w:rsidRDefault="007252C0" w:rsidP="00041120">
      <w:pPr>
        <w:pStyle w:val="SingleTxtG"/>
        <w:spacing w:before="120" w:after="240"/>
      </w:pPr>
      <w:r w:rsidRPr="00041120">
        <w:t xml:space="preserve">As potentially conflicting could be considered any one of the following activities: </w:t>
      </w:r>
    </w:p>
    <w:p w:rsidR="007252C0" w:rsidRPr="00041120" w:rsidRDefault="00041120" w:rsidP="00041120">
      <w:pPr>
        <w:pStyle w:val="Bullet1G"/>
        <w:numPr>
          <w:ilvl w:val="0"/>
          <w:numId w:val="0"/>
        </w:numPr>
        <w:ind w:left="1701"/>
      </w:pPr>
      <w:r>
        <w:t>-</w:t>
      </w:r>
      <w:r>
        <w:tab/>
      </w:r>
      <w:r w:rsidR="007252C0" w:rsidRPr="00041120">
        <w:t>Any  role of  chairman, secretary,  member or expert in CEN, CENELEC,  ISO, IEC Technical bodies (TC, WG,..) or national mirroring bodies;</w:t>
      </w:r>
    </w:p>
    <w:p w:rsidR="007252C0" w:rsidRPr="00041120" w:rsidRDefault="00041120" w:rsidP="00041120">
      <w:pPr>
        <w:pStyle w:val="Bullet1G"/>
        <w:numPr>
          <w:ilvl w:val="0"/>
          <w:numId w:val="0"/>
        </w:numPr>
        <w:ind w:left="1701"/>
      </w:pPr>
      <w:r>
        <w:t>-</w:t>
      </w:r>
      <w:r>
        <w:tab/>
      </w:r>
      <w:r w:rsidR="007252C0" w:rsidRPr="00041120">
        <w:t xml:space="preserve">Any role as representative of a CENELEC or IEC National Committee; </w:t>
      </w:r>
    </w:p>
    <w:p w:rsidR="007252C0" w:rsidRPr="00041120" w:rsidRDefault="00041120" w:rsidP="00041120">
      <w:pPr>
        <w:pStyle w:val="Bullet1G"/>
        <w:numPr>
          <w:ilvl w:val="0"/>
          <w:numId w:val="0"/>
        </w:numPr>
        <w:ind w:left="1701"/>
      </w:pPr>
      <w:r>
        <w:t>-</w:t>
      </w:r>
      <w:r>
        <w:tab/>
      </w:r>
      <w:r w:rsidR="007252C0" w:rsidRPr="00041120">
        <w:t>Any role in representing a Member State in Committees as meant by article 10(2) of regulation 1025/2012/EU,  ADCOs, Working Parties, …</w:t>
      </w:r>
    </w:p>
    <w:p w:rsidR="007252C0" w:rsidRPr="00041120" w:rsidRDefault="007252C0" w:rsidP="00041120">
      <w:pPr>
        <w:pStyle w:val="SingleTxtG"/>
        <w:spacing w:before="120" w:after="240"/>
      </w:pPr>
      <w:r w:rsidRPr="00041120">
        <w:t>This list is non-exhaustive.</w:t>
      </w:r>
    </w:p>
    <w:p w:rsidR="007252C0" w:rsidRPr="00720BAE" w:rsidRDefault="007252C0" w:rsidP="00041120">
      <w:pPr>
        <w:pStyle w:val="SingleTxtG"/>
        <w:spacing w:before="120" w:after="240"/>
      </w:pPr>
      <w:r w:rsidRPr="00720BAE">
        <w:lastRenderedPageBreak/>
        <w:t>I acknowledge that I shall consult CEN on any potential conflict to mutually evaluate if continuing an activity is appropriate, at the latest prior to the signature of the contract mentioned above.</w:t>
      </w:r>
    </w:p>
    <w:p w:rsidR="007252C0" w:rsidRDefault="007252C0" w:rsidP="00041120">
      <w:pPr>
        <w:pStyle w:val="SingleTxtG"/>
        <w:spacing w:before="120" w:after="240"/>
      </w:pPr>
      <w:r w:rsidRPr="00720BAE">
        <w:t>In the light of the above, I declare I shall not throughout the term of this contract undertake any work or activity, paid or unpaid, within or outside of the European Union, which may be, actually or potentially, conflicting with the duties I will have to fulfil under this contract, without the prior written consent of CEN.</w:t>
      </w:r>
    </w:p>
    <w:p w:rsidR="00041120" w:rsidRPr="00041120" w:rsidRDefault="00041120" w:rsidP="00041120">
      <w:pPr>
        <w:pStyle w:val="SingleTxtG"/>
        <w:spacing w:before="240" w:after="0"/>
        <w:jc w:val="center"/>
        <w:rPr>
          <w:u w:val="single"/>
        </w:rPr>
      </w:pPr>
      <w:r>
        <w:rPr>
          <w:u w:val="single"/>
        </w:rPr>
        <w:tab/>
      </w:r>
      <w:r>
        <w:rPr>
          <w:u w:val="single"/>
        </w:rPr>
        <w:tab/>
      </w:r>
      <w:r>
        <w:rPr>
          <w:u w:val="single"/>
        </w:rPr>
        <w:tab/>
      </w:r>
    </w:p>
    <w:sectPr w:rsidR="00041120" w:rsidRPr="00041120" w:rsidSect="00FC1C35">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21" w:rsidRDefault="00844321"/>
  </w:endnote>
  <w:endnote w:type="continuationSeparator" w:id="0">
    <w:p w:rsidR="00844321" w:rsidRDefault="00844321"/>
  </w:endnote>
  <w:endnote w:type="continuationNotice" w:id="1">
    <w:p w:rsidR="00844321" w:rsidRDefault="0084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F409F1" w:rsidRDefault="000E2911">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F409F1" w:rsidRDefault="000E2911"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C7502E">
      <w:rPr>
        <w:rStyle w:val="PageNumber"/>
        <w:noProof/>
      </w:rPr>
      <w:t>8</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21" w:rsidRPr="000B175B" w:rsidRDefault="00844321" w:rsidP="000B175B">
      <w:pPr>
        <w:tabs>
          <w:tab w:val="right" w:pos="2155"/>
        </w:tabs>
        <w:spacing w:after="80"/>
        <w:ind w:left="680"/>
        <w:rPr>
          <w:u w:val="single"/>
        </w:rPr>
      </w:pPr>
      <w:r>
        <w:rPr>
          <w:u w:val="single"/>
        </w:rPr>
        <w:tab/>
      </w:r>
    </w:p>
  </w:footnote>
  <w:footnote w:type="continuationSeparator" w:id="0">
    <w:p w:rsidR="00844321" w:rsidRPr="00FC68B7" w:rsidRDefault="00844321" w:rsidP="00FC68B7">
      <w:pPr>
        <w:tabs>
          <w:tab w:val="left" w:pos="2155"/>
        </w:tabs>
        <w:spacing w:after="80"/>
        <w:ind w:left="680"/>
        <w:rPr>
          <w:u w:val="single"/>
        </w:rPr>
      </w:pPr>
      <w:r>
        <w:rPr>
          <w:u w:val="single"/>
        </w:rPr>
        <w:tab/>
      </w:r>
    </w:p>
  </w:footnote>
  <w:footnote w:type="continuationNotice" w:id="1">
    <w:p w:rsidR="00844321" w:rsidRDefault="00844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39263E" w:rsidRDefault="000E2911">
    <w:pPr>
      <w:pStyle w:val="Header"/>
      <w:rPr>
        <w:lang w:val="fr-CH"/>
      </w:rPr>
    </w:pPr>
    <w:r>
      <w:rPr>
        <w:lang w:val="fr-CH"/>
      </w:rPr>
      <w:t>INF.xy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EE0802" w:rsidRDefault="007252C0" w:rsidP="00EE0802">
    <w:pPr>
      <w:pStyle w:val="Header"/>
      <w:jc w:val="right"/>
      <w:rPr>
        <w:lang w:val="fr-CH"/>
      </w:rPr>
    </w:pPr>
    <w:r>
      <w:rPr>
        <w:lang w:val="fr-CH"/>
      </w:rPr>
      <w:t>INF.29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11" w:rsidRPr="007D620D" w:rsidRDefault="000E2911" w:rsidP="006E7A53">
    <w:pPr>
      <w:pStyle w:val="Header"/>
      <w:jc w:val="right"/>
      <w:rPr>
        <w:sz w:val="28"/>
        <w:szCs w:val="28"/>
        <w:lang w:val="en-US"/>
      </w:rPr>
    </w:pPr>
    <w:r>
      <w:rPr>
        <w:sz w:val="28"/>
        <w:szCs w:val="28"/>
        <w:lang w:val="en-US"/>
      </w:rPr>
      <w:t>INF</w:t>
    </w:r>
    <w:r w:rsidR="007252C0">
      <w:rPr>
        <w:sz w:val="28"/>
        <w:szCs w:val="28"/>
        <w:lang w:val="en-US"/>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28A"/>
    <w:multiLevelType w:val="hybridMultilevel"/>
    <w:tmpl w:val="B3C2CAD2"/>
    <w:lvl w:ilvl="0" w:tplc="72C42520">
      <w:start w:val="5"/>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30F1F"/>
    <w:multiLevelType w:val="multilevel"/>
    <w:tmpl w:val="F192148E"/>
    <w:lvl w:ilvl="0">
      <w:start w:val="1"/>
      <w:numFmt w:val="decimal"/>
      <w:lvlText w:val="%1."/>
      <w:lvlJc w:val="left"/>
      <w:pPr>
        <w:tabs>
          <w:tab w:val="num" w:pos="1778"/>
        </w:tabs>
        <w:ind w:left="1778" w:hanging="360"/>
      </w:pPr>
      <w:rPr>
        <w:rFonts w:hint="default"/>
        <w:sz w:val="22"/>
      </w:rPr>
    </w:lvl>
    <w:lvl w:ilvl="1">
      <w:start w:val="1"/>
      <w:numFmt w:val="bullet"/>
      <w:lvlText w:val=""/>
      <w:lvlJc w:val="left"/>
      <w:pPr>
        <w:tabs>
          <w:tab w:val="num" w:pos="2210"/>
        </w:tabs>
        <w:ind w:left="2210" w:hanging="432"/>
      </w:pPr>
      <w:rPr>
        <w:rFonts w:ascii="Symbol" w:hAnsi="Symbol" w:hint="default"/>
        <w:sz w:val="22"/>
      </w:rPr>
    </w:lvl>
    <w:lvl w:ilvl="2">
      <w:start w:val="1"/>
      <w:numFmt w:val="decimal"/>
      <w:lvlText w:val="%1.%2.%3."/>
      <w:lvlJc w:val="left"/>
      <w:pPr>
        <w:tabs>
          <w:tab w:val="num" w:pos="2642"/>
        </w:tabs>
        <w:ind w:left="2642" w:hanging="504"/>
      </w:pPr>
      <w:rPr>
        <w:rFonts w:hint="default"/>
      </w:rPr>
    </w:lvl>
    <w:lvl w:ilvl="3">
      <w:start w:val="1"/>
      <w:numFmt w:val="decimal"/>
      <w:lvlText w:val="%1.%2.%3.%4."/>
      <w:lvlJc w:val="left"/>
      <w:pPr>
        <w:tabs>
          <w:tab w:val="num" w:pos="3146"/>
        </w:tabs>
        <w:ind w:left="3146" w:hanging="648"/>
      </w:pPr>
      <w:rPr>
        <w:rFonts w:hint="default"/>
      </w:rPr>
    </w:lvl>
    <w:lvl w:ilvl="4">
      <w:start w:val="1"/>
      <w:numFmt w:val="decimal"/>
      <w:lvlText w:val="%1.%2.%3.%4.%5."/>
      <w:lvlJc w:val="left"/>
      <w:pPr>
        <w:tabs>
          <w:tab w:val="num" w:pos="3650"/>
        </w:tabs>
        <w:ind w:left="3650" w:hanging="792"/>
      </w:pPr>
      <w:rPr>
        <w:rFonts w:hint="default"/>
      </w:rPr>
    </w:lvl>
    <w:lvl w:ilvl="5">
      <w:start w:val="1"/>
      <w:numFmt w:val="decimal"/>
      <w:lvlText w:val="%1.%2.%3.%4.%5.%6."/>
      <w:lvlJc w:val="left"/>
      <w:pPr>
        <w:tabs>
          <w:tab w:val="num" w:pos="4154"/>
        </w:tabs>
        <w:ind w:left="4154" w:hanging="936"/>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3"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390F3F2B"/>
    <w:multiLevelType w:val="hybridMultilevel"/>
    <w:tmpl w:val="14C2A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4"/>
  </w:num>
  <w:num w:numId="8">
    <w:abstractNumId w:val="2"/>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34"/>
    <w:rsid w:val="0000073B"/>
    <w:rsid w:val="00001AFF"/>
    <w:rsid w:val="00001E2E"/>
    <w:rsid w:val="000029F9"/>
    <w:rsid w:val="00002A7D"/>
    <w:rsid w:val="000038A8"/>
    <w:rsid w:val="00004CB4"/>
    <w:rsid w:val="00006790"/>
    <w:rsid w:val="00006801"/>
    <w:rsid w:val="00007E32"/>
    <w:rsid w:val="00011658"/>
    <w:rsid w:val="00013B80"/>
    <w:rsid w:val="0001600A"/>
    <w:rsid w:val="00020248"/>
    <w:rsid w:val="00020916"/>
    <w:rsid w:val="00022EEF"/>
    <w:rsid w:val="00023789"/>
    <w:rsid w:val="000249ED"/>
    <w:rsid w:val="00026557"/>
    <w:rsid w:val="00027388"/>
    <w:rsid w:val="00027624"/>
    <w:rsid w:val="00027947"/>
    <w:rsid w:val="00035D7C"/>
    <w:rsid w:val="000368D1"/>
    <w:rsid w:val="0003741E"/>
    <w:rsid w:val="0004043C"/>
    <w:rsid w:val="00040E1B"/>
    <w:rsid w:val="00041120"/>
    <w:rsid w:val="00044F6C"/>
    <w:rsid w:val="00047D7C"/>
    <w:rsid w:val="00050F6B"/>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90320"/>
    <w:rsid w:val="000909DC"/>
    <w:rsid w:val="00091148"/>
    <w:rsid w:val="000931C0"/>
    <w:rsid w:val="00094AB6"/>
    <w:rsid w:val="000A0ABD"/>
    <w:rsid w:val="000A15F8"/>
    <w:rsid w:val="000A2E09"/>
    <w:rsid w:val="000A343D"/>
    <w:rsid w:val="000A483F"/>
    <w:rsid w:val="000A7A5D"/>
    <w:rsid w:val="000B040C"/>
    <w:rsid w:val="000B086D"/>
    <w:rsid w:val="000B175B"/>
    <w:rsid w:val="000B283A"/>
    <w:rsid w:val="000B3A0F"/>
    <w:rsid w:val="000B41FA"/>
    <w:rsid w:val="000B5F58"/>
    <w:rsid w:val="000B7086"/>
    <w:rsid w:val="000B76CB"/>
    <w:rsid w:val="000C0B45"/>
    <w:rsid w:val="000C337C"/>
    <w:rsid w:val="000C406E"/>
    <w:rsid w:val="000C6F33"/>
    <w:rsid w:val="000C723C"/>
    <w:rsid w:val="000D10D6"/>
    <w:rsid w:val="000D2A5F"/>
    <w:rsid w:val="000D6464"/>
    <w:rsid w:val="000D7669"/>
    <w:rsid w:val="000E0415"/>
    <w:rsid w:val="000E1915"/>
    <w:rsid w:val="000E23EF"/>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989"/>
    <w:rsid w:val="001112A1"/>
    <w:rsid w:val="0011427A"/>
    <w:rsid w:val="0011441F"/>
    <w:rsid w:val="00116DD4"/>
    <w:rsid w:val="001174B6"/>
    <w:rsid w:val="001216F0"/>
    <w:rsid w:val="00122737"/>
    <w:rsid w:val="001246B9"/>
    <w:rsid w:val="0012590B"/>
    <w:rsid w:val="00136227"/>
    <w:rsid w:val="00142A3D"/>
    <w:rsid w:val="00144613"/>
    <w:rsid w:val="00144F57"/>
    <w:rsid w:val="00144FD9"/>
    <w:rsid w:val="001457B9"/>
    <w:rsid w:val="00151120"/>
    <w:rsid w:val="00153DBC"/>
    <w:rsid w:val="001543B9"/>
    <w:rsid w:val="001554BC"/>
    <w:rsid w:val="00155EE4"/>
    <w:rsid w:val="00156B99"/>
    <w:rsid w:val="00160E4F"/>
    <w:rsid w:val="00162B50"/>
    <w:rsid w:val="00162D8C"/>
    <w:rsid w:val="00166124"/>
    <w:rsid w:val="00166C6A"/>
    <w:rsid w:val="001672B9"/>
    <w:rsid w:val="00167F20"/>
    <w:rsid w:val="00170219"/>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A0452"/>
    <w:rsid w:val="001A1068"/>
    <w:rsid w:val="001A3481"/>
    <w:rsid w:val="001A47A9"/>
    <w:rsid w:val="001A4A15"/>
    <w:rsid w:val="001A61CC"/>
    <w:rsid w:val="001B0778"/>
    <w:rsid w:val="001B4B04"/>
    <w:rsid w:val="001B4F0C"/>
    <w:rsid w:val="001B5875"/>
    <w:rsid w:val="001C1CF4"/>
    <w:rsid w:val="001C210A"/>
    <w:rsid w:val="001C4B9C"/>
    <w:rsid w:val="001C4C2F"/>
    <w:rsid w:val="001C5340"/>
    <w:rsid w:val="001C5476"/>
    <w:rsid w:val="001C5E1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DB9"/>
    <w:rsid w:val="002033E9"/>
    <w:rsid w:val="002043F0"/>
    <w:rsid w:val="002060B9"/>
    <w:rsid w:val="00210C39"/>
    <w:rsid w:val="0021125F"/>
    <w:rsid w:val="00211E0B"/>
    <w:rsid w:val="002138C6"/>
    <w:rsid w:val="002148E8"/>
    <w:rsid w:val="0022437B"/>
    <w:rsid w:val="00224E46"/>
    <w:rsid w:val="00226909"/>
    <w:rsid w:val="002272AD"/>
    <w:rsid w:val="00232575"/>
    <w:rsid w:val="002400DA"/>
    <w:rsid w:val="00241F73"/>
    <w:rsid w:val="00247258"/>
    <w:rsid w:val="00247716"/>
    <w:rsid w:val="00247DB6"/>
    <w:rsid w:val="002512DC"/>
    <w:rsid w:val="002522CE"/>
    <w:rsid w:val="0025234F"/>
    <w:rsid w:val="00252E36"/>
    <w:rsid w:val="0025625B"/>
    <w:rsid w:val="00257CAC"/>
    <w:rsid w:val="00257E90"/>
    <w:rsid w:val="00264088"/>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32BF"/>
    <w:rsid w:val="00283DAD"/>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32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5F8"/>
    <w:rsid w:val="003623D1"/>
    <w:rsid w:val="00364A5F"/>
    <w:rsid w:val="00365613"/>
    <w:rsid w:val="00365E3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30"/>
    <w:rsid w:val="003A46BB"/>
    <w:rsid w:val="003A4EC7"/>
    <w:rsid w:val="003A5808"/>
    <w:rsid w:val="003A59CB"/>
    <w:rsid w:val="003A64C2"/>
    <w:rsid w:val="003A7295"/>
    <w:rsid w:val="003B1F60"/>
    <w:rsid w:val="003B26A8"/>
    <w:rsid w:val="003B550A"/>
    <w:rsid w:val="003B783B"/>
    <w:rsid w:val="003B7E5B"/>
    <w:rsid w:val="003C2CC4"/>
    <w:rsid w:val="003C55AA"/>
    <w:rsid w:val="003C7026"/>
    <w:rsid w:val="003C7C0A"/>
    <w:rsid w:val="003D094B"/>
    <w:rsid w:val="003D0AE6"/>
    <w:rsid w:val="003D33DC"/>
    <w:rsid w:val="003D4B23"/>
    <w:rsid w:val="003D58A1"/>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47C"/>
    <w:rsid w:val="00407E64"/>
    <w:rsid w:val="004118B4"/>
    <w:rsid w:val="00413520"/>
    <w:rsid w:val="00414F7A"/>
    <w:rsid w:val="00416004"/>
    <w:rsid w:val="00416B90"/>
    <w:rsid w:val="004303D7"/>
    <w:rsid w:val="00430776"/>
    <w:rsid w:val="00430D9D"/>
    <w:rsid w:val="00431D4D"/>
    <w:rsid w:val="004325CB"/>
    <w:rsid w:val="0043347B"/>
    <w:rsid w:val="00433613"/>
    <w:rsid w:val="0043602F"/>
    <w:rsid w:val="004373E9"/>
    <w:rsid w:val="00440A07"/>
    <w:rsid w:val="0044443C"/>
    <w:rsid w:val="00444D7C"/>
    <w:rsid w:val="00445869"/>
    <w:rsid w:val="00446217"/>
    <w:rsid w:val="0044630A"/>
    <w:rsid w:val="00450065"/>
    <w:rsid w:val="00450357"/>
    <w:rsid w:val="00451E9F"/>
    <w:rsid w:val="00454B8A"/>
    <w:rsid w:val="00455A33"/>
    <w:rsid w:val="004571AC"/>
    <w:rsid w:val="004579C8"/>
    <w:rsid w:val="00457D51"/>
    <w:rsid w:val="00460958"/>
    <w:rsid w:val="00461164"/>
    <w:rsid w:val="00462880"/>
    <w:rsid w:val="0047298C"/>
    <w:rsid w:val="00476F24"/>
    <w:rsid w:val="004779FE"/>
    <w:rsid w:val="00480E6D"/>
    <w:rsid w:val="004826ED"/>
    <w:rsid w:val="0048451D"/>
    <w:rsid w:val="004858EC"/>
    <w:rsid w:val="004909E7"/>
    <w:rsid w:val="00491E3F"/>
    <w:rsid w:val="00492A81"/>
    <w:rsid w:val="0049495B"/>
    <w:rsid w:val="004A5E22"/>
    <w:rsid w:val="004A6325"/>
    <w:rsid w:val="004A6CF6"/>
    <w:rsid w:val="004B2E3E"/>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819"/>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0C3E"/>
    <w:rsid w:val="0053109F"/>
    <w:rsid w:val="005321E6"/>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57B4"/>
    <w:rsid w:val="00556B0F"/>
    <w:rsid w:val="00560336"/>
    <w:rsid w:val="0056045E"/>
    <w:rsid w:val="00560489"/>
    <w:rsid w:val="0056060A"/>
    <w:rsid w:val="005617AD"/>
    <w:rsid w:val="00561F5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D6FED"/>
    <w:rsid w:val="005E23D9"/>
    <w:rsid w:val="005E3F4A"/>
    <w:rsid w:val="005E44C1"/>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4B3E"/>
    <w:rsid w:val="00616C86"/>
    <w:rsid w:val="006176FB"/>
    <w:rsid w:val="0062431F"/>
    <w:rsid w:val="00625D10"/>
    <w:rsid w:val="006268AC"/>
    <w:rsid w:val="00630FCB"/>
    <w:rsid w:val="00631E2D"/>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3BD5"/>
    <w:rsid w:val="00662A44"/>
    <w:rsid w:val="00663903"/>
    <w:rsid w:val="00663D13"/>
    <w:rsid w:val="0066539A"/>
    <w:rsid w:val="00667D6B"/>
    <w:rsid w:val="00673B06"/>
    <w:rsid w:val="006768FA"/>
    <w:rsid w:val="006770B2"/>
    <w:rsid w:val="006815F0"/>
    <w:rsid w:val="00683E36"/>
    <w:rsid w:val="006858C1"/>
    <w:rsid w:val="0069164A"/>
    <w:rsid w:val="0069221E"/>
    <w:rsid w:val="006940E1"/>
    <w:rsid w:val="0069455A"/>
    <w:rsid w:val="00694E38"/>
    <w:rsid w:val="006954A0"/>
    <w:rsid w:val="006A092C"/>
    <w:rsid w:val="006A1A18"/>
    <w:rsid w:val="006A3314"/>
    <w:rsid w:val="006A3C72"/>
    <w:rsid w:val="006A6D1F"/>
    <w:rsid w:val="006A7392"/>
    <w:rsid w:val="006B03A1"/>
    <w:rsid w:val="006B14D7"/>
    <w:rsid w:val="006B1C28"/>
    <w:rsid w:val="006B67D9"/>
    <w:rsid w:val="006C0BAD"/>
    <w:rsid w:val="006C17FC"/>
    <w:rsid w:val="006C21B7"/>
    <w:rsid w:val="006C48B1"/>
    <w:rsid w:val="006C5535"/>
    <w:rsid w:val="006D002D"/>
    <w:rsid w:val="006D0589"/>
    <w:rsid w:val="006D40CB"/>
    <w:rsid w:val="006D650A"/>
    <w:rsid w:val="006E26BF"/>
    <w:rsid w:val="006E2B3C"/>
    <w:rsid w:val="006E33A7"/>
    <w:rsid w:val="006E3E2D"/>
    <w:rsid w:val="006E564B"/>
    <w:rsid w:val="006E7154"/>
    <w:rsid w:val="006E7A53"/>
    <w:rsid w:val="006E7B64"/>
    <w:rsid w:val="006F3CFC"/>
    <w:rsid w:val="006F3DE2"/>
    <w:rsid w:val="006F4AE2"/>
    <w:rsid w:val="006F63A8"/>
    <w:rsid w:val="007003CD"/>
    <w:rsid w:val="007017CC"/>
    <w:rsid w:val="007020A0"/>
    <w:rsid w:val="0070581F"/>
    <w:rsid w:val="007059FB"/>
    <w:rsid w:val="00706887"/>
    <w:rsid w:val="0070701E"/>
    <w:rsid w:val="0070702F"/>
    <w:rsid w:val="00710688"/>
    <w:rsid w:val="00713B00"/>
    <w:rsid w:val="00714254"/>
    <w:rsid w:val="00720BAE"/>
    <w:rsid w:val="00722F37"/>
    <w:rsid w:val="00724C65"/>
    <w:rsid w:val="007252C0"/>
    <w:rsid w:val="0072632A"/>
    <w:rsid w:val="007264E6"/>
    <w:rsid w:val="00731AD4"/>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432E"/>
    <w:rsid w:val="007643BC"/>
    <w:rsid w:val="00772FDE"/>
    <w:rsid w:val="0077342A"/>
    <w:rsid w:val="00776978"/>
    <w:rsid w:val="00781F48"/>
    <w:rsid w:val="00783BE0"/>
    <w:rsid w:val="007874BF"/>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872"/>
    <w:rsid w:val="008155C9"/>
    <w:rsid w:val="00816F31"/>
    <w:rsid w:val="008175E9"/>
    <w:rsid w:val="00820437"/>
    <w:rsid w:val="00821061"/>
    <w:rsid w:val="008242D7"/>
    <w:rsid w:val="00825578"/>
    <w:rsid w:val="0082577B"/>
    <w:rsid w:val="00826857"/>
    <w:rsid w:val="00827C9D"/>
    <w:rsid w:val="0083503F"/>
    <w:rsid w:val="00842664"/>
    <w:rsid w:val="00844321"/>
    <w:rsid w:val="008446A8"/>
    <w:rsid w:val="00846160"/>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D18"/>
    <w:rsid w:val="00871DB5"/>
    <w:rsid w:val="00871E7D"/>
    <w:rsid w:val="00871F9A"/>
    <w:rsid w:val="00871FD5"/>
    <w:rsid w:val="00872048"/>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11D"/>
    <w:rsid w:val="00890ABB"/>
    <w:rsid w:val="00892DA6"/>
    <w:rsid w:val="008946DC"/>
    <w:rsid w:val="008969F4"/>
    <w:rsid w:val="00896E31"/>
    <w:rsid w:val="00896F12"/>
    <w:rsid w:val="00897501"/>
    <w:rsid w:val="008979B1"/>
    <w:rsid w:val="008A1A38"/>
    <w:rsid w:val="008A22B9"/>
    <w:rsid w:val="008A4001"/>
    <w:rsid w:val="008A5647"/>
    <w:rsid w:val="008A6B25"/>
    <w:rsid w:val="008A6C4F"/>
    <w:rsid w:val="008B35B6"/>
    <w:rsid w:val="008B389E"/>
    <w:rsid w:val="008B3A02"/>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22D5"/>
    <w:rsid w:val="009037A5"/>
    <w:rsid w:val="00911823"/>
    <w:rsid w:val="00911A17"/>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92C"/>
    <w:rsid w:val="009359D5"/>
    <w:rsid w:val="0093690F"/>
    <w:rsid w:val="00940690"/>
    <w:rsid w:val="009461B9"/>
    <w:rsid w:val="00947162"/>
    <w:rsid w:val="009529AE"/>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F57"/>
    <w:rsid w:val="0098363A"/>
    <w:rsid w:val="0098592B"/>
    <w:rsid w:val="00985982"/>
    <w:rsid w:val="00985FC4"/>
    <w:rsid w:val="00990766"/>
    <w:rsid w:val="00991261"/>
    <w:rsid w:val="00992C68"/>
    <w:rsid w:val="009933FB"/>
    <w:rsid w:val="00993C00"/>
    <w:rsid w:val="00994BEC"/>
    <w:rsid w:val="009964C4"/>
    <w:rsid w:val="009A17C1"/>
    <w:rsid w:val="009A1981"/>
    <w:rsid w:val="009A1AA6"/>
    <w:rsid w:val="009A387E"/>
    <w:rsid w:val="009A7B81"/>
    <w:rsid w:val="009B1167"/>
    <w:rsid w:val="009B132C"/>
    <w:rsid w:val="009B18F3"/>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4647"/>
    <w:rsid w:val="00A050B1"/>
    <w:rsid w:val="00A10F4F"/>
    <w:rsid w:val="00A11067"/>
    <w:rsid w:val="00A12C62"/>
    <w:rsid w:val="00A158FA"/>
    <w:rsid w:val="00A16573"/>
    <w:rsid w:val="00A1704A"/>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2590"/>
    <w:rsid w:val="00A52C26"/>
    <w:rsid w:val="00A6534B"/>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FE7"/>
    <w:rsid w:val="00A94748"/>
    <w:rsid w:val="00A94BC9"/>
    <w:rsid w:val="00A96696"/>
    <w:rsid w:val="00A96ACC"/>
    <w:rsid w:val="00AA0FF8"/>
    <w:rsid w:val="00AA1F83"/>
    <w:rsid w:val="00AA2178"/>
    <w:rsid w:val="00AA6950"/>
    <w:rsid w:val="00AA7585"/>
    <w:rsid w:val="00AB2271"/>
    <w:rsid w:val="00AB2A66"/>
    <w:rsid w:val="00AB3EE5"/>
    <w:rsid w:val="00AB4802"/>
    <w:rsid w:val="00AB4CC0"/>
    <w:rsid w:val="00AB54F9"/>
    <w:rsid w:val="00AB7654"/>
    <w:rsid w:val="00AB772E"/>
    <w:rsid w:val="00AC0F2C"/>
    <w:rsid w:val="00AC1B06"/>
    <w:rsid w:val="00AC1BF0"/>
    <w:rsid w:val="00AC284C"/>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4213"/>
    <w:rsid w:val="00AE5220"/>
    <w:rsid w:val="00AE7EB4"/>
    <w:rsid w:val="00AF2D03"/>
    <w:rsid w:val="00AF3A9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30179"/>
    <w:rsid w:val="00B33FFF"/>
    <w:rsid w:val="00B37647"/>
    <w:rsid w:val="00B37B15"/>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71329"/>
    <w:rsid w:val="00B7143E"/>
    <w:rsid w:val="00B72A1E"/>
    <w:rsid w:val="00B7346C"/>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4A6"/>
    <w:rsid w:val="00BA339B"/>
    <w:rsid w:val="00BA41CA"/>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0251"/>
    <w:rsid w:val="00BD1FF0"/>
    <w:rsid w:val="00BD249C"/>
    <w:rsid w:val="00BD3A36"/>
    <w:rsid w:val="00BD47D8"/>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36C1"/>
    <w:rsid w:val="00C443B0"/>
    <w:rsid w:val="00C44BB0"/>
    <w:rsid w:val="00C4511D"/>
    <w:rsid w:val="00C4565A"/>
    <w:rsid w:val="00C45BBB"/>
    <w:rsid w:val="00C463DD"/>
    <w:rsid w:val="00C4667E"/>
    <w:rsid w:val="00C515F4"/>
    <w:rsid w:val="00C5214F"/>
    <w:rsid w:val="00C535FC"/>
    <w:rsid w:val="00C54EFC"/>
    <w:rsid w:val="00C60828"/>
    <w:rsid w:val="00C61A1E"/>
    <w:rsid w:val="00C6208B"/>
    <w:rsid w:val="00C628D6"/>
    <w:rsid w:val="00C6325B"/>
    <w:rsid w:val="00C64E90"/>
    <w:rsid w:val="00C70809"/>
    <w:rsid w:val="00C729AB"/>
    <w:rsid w:val="00C745C3"/>
    <w:rsid w:val="00C7502E"/>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1F74"/>
    <w:rsid w:val="00CB2995"/>
    <w:rsid w:val="00CB348D"/>
    <w:rsid w:val="00CB34BE"/>
    <w:rsid w:val="00CB6F8B"/>
    <w:rsid w:val="00CB7336"/>
    <w:rsid w:val="00CB763D"/>
    <w:rsid w:val="00CC53AC"/>
    <w:rsid w:val="00CC6524"/>
    <w:rsid w:val="00CC67F3"/>
    <w:rsid w:val="00CD01D6"/>
    <w:rsid w:val="00CD1B07"/>
    <w:rsid w:val="00CD46F5"/>
    <w:rsid w:val="00CD6C29"/>
    <w:rsid w:val="00CE47CE"/>
    <w:rsid w:val="00CE4A8F"/>
    <w:rsid w:val="00CE52ED"/>
    <w:rsid w:val="00CE6F0E"/>
    <w:rsid w:val="00CE7670"/>
    <w:rsid w:val="00CE7E07"/>
    <w:rsid w:val="00CF009E"/>
    <w:rsid w:val="00CF071D"/>
    <w:rsid w:val="00CF07E6"/>
    <w:rsid w:val="00CF0ACE"/>
    <w:rsid w:val="00CF116C"/>
    <w:rsid w:val="00CF28C6"/>
    <w:rsid w:val="00CF2990"/>
    <w:rsid w:val="00CF4A88"/>
    <w:rsid w:val="00CF4F5E"/>
    <w:rsid w:val="00CF64EB"/>
    <w:rsid w:val="00CF6FCF"/>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339"/>
    <w:rsid w:val="00D66FFA"/>
    <w:rsid w:val="00D704E5"/>
    <w:rsid w:val="00D70771"/>
    <w:rsid w:val="00D714AA"/>
    <w:rsid w:val="00D72727"/>
    <w:rsid w:val="00D72E93"/>
    <w:rsid w:val="00D72F03"/>
    <w:rsid w:val="00D731DD"/>
    <w:rsid w:val="00D74686"/>
    <w:rsid w:val="00D75E4C"/>
    <w:rsid w:val="00D769D3"/>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2283"/>
    <w:rsid w:val="00DB3569"/>
    <w:rsid w:val="00DB63EC"/>
    <w:rsid w:val="00DB66FA"/>
    <w:rsid w:val="00DB79C5"/>
    <w:rsid w:val="00DB7B83"/>
    <w:rsid w:val="00DC1369"/>
    <w:rsid w:val="00DC18AD"/>
    <w:rsid w:val="00DC49A3"/>
    <w:rsid w:val="00DC646C"/>
    <w:rsid w:val="00DD37F9"/>
    <w:rsid w:val="00DD719A"/>
    <w:rsid w:val="00DD73AC"/>
    <w:rsid w:val="00DE02C0"/>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4C8C"/>
    <w:rsid w:val="00E06BA6"/>
    <w:rsid w:val="00E0791D"/>
    <w:rsid w:val="00E07935"/>
    <w:rsid w:val="00E10812"/>
    <w:rsid w:val="00E11827"/>
    <w:rsid w:val="00E13838"/>
    <w:rsid w:val="00E14B2A"/>
    <w:rsid w:val="00E14BD5"/>
    <w:rsid w:val="00E1773B"/>
    <w:rsid w:val="00E22C84"/>
    <w:rsid w:val="00E258E1"/>
    <w:rsid w:val="00E31E66"/>
    <w:rsid w:val="00E32149"/>
    <w:rsid w:val="00E32784"/>
    <w:rsid w:val="00E32CDB"/>
    <w:rsid w:val="00E34FF6"/>
    <w:rsid w:val="00E361DA"/>
    <w:rsid w:val="00E37137"/>
    <w:rsid w:val="00E37E73"/>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630"/>
    <w:rsid w:val="00E9698F"/>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2D69"/>
    <w:rsid w:val="00F1457B"/>
    <w:rsid w:val="00F16C3C"/>
    <w:rsid w:val="00F1745C"/>
    <w:rsid w:val="00F21786"/>
    <w:rsid w:val="00F217A6"/>
    <w:rsid w:val="00F23B73"/>
    <w:rsid w:val="00F27408"/>
    <w:rsid w:val="00F27B83"/>
    <w:rsid w:val="00F32323"/>
    <w:rsid w:val="00F32753"/>
    <w:rsid w:val="00F339AA"/>
    <w:rsid w:val="00F34428"/>
    <w:rsid w:val="00F35FED"/>
    <w:rsid w:val="00F36309"/>
    <w:rsid w:val="00F3742B"/>
    <w:rsid w:val="00F4052D"/>
    <w:rsid w:val="00F409F1"/>
    <w:rsid w:val="00F41FDB"/>
    <w:rsid w:val="00F44630"/>
    <w:rsid w:val="00F449D7"/>
    <w:rsid w:val="00F46066"/>
    <w:rsid w:val="00F5337D"/>
    <w:rsid w:val="00F55E47"/>
    <w:rsid w:val="00F56D63"/>
    <w:rsid w:val="00F609A9"/>
    <w:rsid w:val="00F60C0F"/>
    <w:rsid w:val="00F62357"/>
    <w:rsid w:val="00F625EA"/>
    <w:rsid w:val="00F66E04"/>
    <w:rsid w:val="00F674AD"/>
    <w:rsid w:val="00F67A2B"/>
    <w:rsid w:val="00F718BB"/>
    <w:rsid w:val="00F73569"/>
    <w:rsid w:val="00F73A9C"/>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C35"/>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B06F3"/>
  <w15:docId w15:val="{A7F599A8-EC46-4A62-B788-C072F32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uiPriority w:val="99"/>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 w:type="paragraph" w:styleId="Revision">
    <w:name w:val="Revision"/>
    <w:hidden/>
    <w:uiPriority w:val="99"/>
    <w:semiHidden/>
    <w:rsid w:val="0089011D"/>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D2B4-136A-4D12-B1E7-1BE126F5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2206</Words>
  <Characters>12576</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9</cp:revision>
  <cp:lastPrinted>2018-09-19T14:46:00Z</cp:lastPrinted>
  <dcterms:created xsi:type="dcterms:W3CDTF">2018-09-19T13:51:00Z</dcterms:created>
  <dcterms:modified xsi:type="dcterms:W3CDTF">2018-09-19T14:46:00Z</dcterms:modified>
</cp:coreProperties>
</file>