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B68D" w14:textId="3103EDA2" w:rsidR="00B1002A" w:rsidRDefault="00197458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b/>
          <w:lang w:val="en-GB"/>
        </w:rPr>
      </w:pPr>
      <w:r>
        <w:rPr>
          <w:b/>
          <w:lang w:val="en-GB"/>
        </w:rPr>
        <w:t>INF.27</w:t>
      </w:r>
    </w:p>
    <w:p w14:paraId="70A51F81" w14:textId="77777777"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14:paraId="09B6815E" w14:textId="77777777" w:rsidR="00B1002A" w:rsidRPr="00BB6FCF" w:rsidRDefault="000C4D4E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 w:rsidRPr="00BA4980">
        <w:rPr>
          <w:lang w:val="en-GB"/>
        </w:rPr>
        <w:t>17</w:t>
      </w:r>
      <w:r w:rsidR="00BB6FCF" w:rsidRPr="00BA4980">
        <w:rPr>
          <w:lang w:val="en-GB"/>
        </w:rPr>
        <w:t xml:space="preserve"> </w:t>
      </w:r>
      <w:r w:rsidRPr="00BA4980">
        <w:rPr>
          <w:lang w:val="en-GB"/>
        </w:rPr>
        <w:t>September</w:t>
      </w:r>
      <w:r w:rsidR="00BB6FCF" w:rsidRPr="00BA4980">
        <w:rPr>
          <w:lang w:val="en-GB"/>
        </w:rPr>
        <w:t xml:space="preserve"> 2018</w:t>
      </w:r>
    </w:p>
    <w:p w14:paraId="398D9D09" w14:textId="77777777"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14:paraId="08CE2A5B" w14:textId="77777777" w:rsidR="00B1002A" w:rsidRPr="00A23D75" w:rsidRDefault="00970B8D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>
        <w:rPr>
          <w:lang w:val="en-GB"/>
        </w:rPr>
        <w:t xml:space="preserve">Original: </w:t>
      </w:r>
      <w:r w:rsidR="00BB6FCF">
        <w:rPr>
          <w:lang w:val="en-GB"/>
        </w:rPr>
        <w:t>German</w:t>
      </w:r>
    </w:p>
    <w:p w14:paraId="683B8E7E" w14:textId="77777777" w:rsidR="005D18DA" w:rsidRPr="00A23D75" w:rsidRDefault="005D18DA">
      <w:pPr>
        <w:widowControl w:val="0"/>
        <w:rPr>
          <w:lang w:val="en-GB"/>
        </w:rPr>
      </w:pPr>
    </w:p>
    <w:p w14:paraId="4FD662C5" w14:textId="77777777" w:rsidR="005D18DA" w:rsidRPr="00A23D75" w:rsidRDefault="005D18DA">
      <w:pPr>
        <w:widowControl w:val="0"/>
        <w:rPr>
          <w:lang w:val="en-GB"/>
        </w:rPr>
        <w:sectPr w:rsidR="005D18DA" w:rsidRPr="00A23D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14:paraId="6E980817" w14:textId="77777777" w:rsidR="005D18DA" w:rsidRPr="00A23D75" w:rsidRDefault="005D18DA">
      <w:pPr>
        <w:widowControl w:val="0"/>
        <w:rPr>
          <w:b/>
          <w:u w:val="single"/>
          <w:lang w:val="en-GB"/>
        </w:rPr>
      </w:pPr>
    </w:p>
    <w:p w14:paraId="597B431B" w14:textId="77777777" w:rsidR="005D18DA" w:rsidRDefault="005D18DA">
      <w:pPr>
        <w:widowControl w:val="0"/>
        <w:rPr>
          <w:b/>
          <w:u w:val="single"/>
          <w:lang w:val="en-GB"/>
        </w:rPr>
      </w:pPr>
    </w:p>
    <w:p w14:paraId="68CA3A3F" w14:textId="77777777" w:rsidR="007C5926" w:rsidRDefault="007C5926">
      <w:pPr>
        <w:widowControl w:val="0"/>
        <w:rPr>
          <w:b/>
          <w:u w:val="single"/>
          <w:lang w:val="en-GB"/>
        </w:rPr>
      </w:pPr>
    </w:p>
    <w:p w14:paraId="3129821E" w14:textId="77777777" w:rsidR="007C5926" w:rsidRDefault="007C5926">
      <w:pPr>
        <w:widowControl w:val="0"/>
        <w:rPr>
          <w:b/>
          <w:u w:val="single"/>
          <w:lang w:val="en-GB"/>
        </w:rPr>
      </w:pPr>
    </w:p>
    <w:p w14:paraId="20717CB6" w14:textId="77777777" w:rsidR="007C5926" w:rsidRDefault="007C5926">
      <w:pPr>
        <w:widowControl w:val="0"/>
        <w:rPr>
          <w:b/>
          <w:u w:val="single"/>
          <w:lang w:val="en-GB"/>
        </w:rPr>
      </w:pPr>
    </w:p>
    <w:p w14:paraId="3CCA145B" w14:textId="77777777" w:rsidR="007C5926" w:rsidRDefault="007C5926">
      <w:pPr>
        <w:widowControl w:val="0"/>
        <w:rPr>
          <w:b/>
          <w:u w:val="single"/>
          <w:lang w:val="en-GB"/>
        </w:rPr>
      </w:pPr>
    </w:p>
    <w:p w14:paraId="2F7BB06A" w14:textId="77777777" w:rsidR="007C5926" w:rsidRDefault="007C5926">
      <w:pPr>
        <w:widowControl w:val="0"/>
        <w:rPr>
          <w:b/>
          <w:u w:val="single"/>
          <w:lang w:val="en-GB"/>
        </w:rPr>
      </w:pPr>
    </w:p>
    <w:p w14:paraId="372BA5AE" w14:textId="77777777" w:rsidR="007C5926" w:rsidRPr="00A23D75" w:rsidRDefault="007C5926">
      <w:pPr>
        <w:widowControl w:val="0"/>
        <w:rPr>
          <w:b/>
          <w:u w:val="single"/>
          <w:lang w:val="en-GB"/>
        </w:rPr>
      </w:pPr>
    </w:p>
    <w:p w14:paraId="207FCF84" w14:textId="77777777" w:rsidR="005D18DA" w:rsidRPr="00A23D75" w:rsidRDefault="005D18DA">
      <w:pPr>
        <w:widowControl w:val="0"/>
        <w:rPr>
          <w:b/>
          <w:u w:val="single"/>
          <w:lang w:val="en-GB"/>
        </w:rPr>
      </w:pPr>
    </w:p>
    <w:p w14:paraId="6248C37B" w14:textId="77777777" w:rsidR="005D18DA" w:rsidRPr="00A23D75" w:rsidRDefault="005D18DA">
      <w:pPr>
        <w:widowControl w:val="0"/>
        <w:jc w:val="left"/>
        <w:rPr>
          <w:b/>
          <w:lang w:val="en-GB"/>
        </w:rPr>
      </w:pPr>
      <w:r w:rsidRPr="00A23D75">
        <w:rPr>
          <w:b/>
          <w:u w:val="single"/>
          <w:lang w:val="en-GB"/>
        </w:rPr>
        <w:t>RID/ADR</w:t>
      </w:r>
      <w:r w:rsidR="001E50D8" w:rsidRPr="00A23D75">
        <w:rPr>
          <w:b/>
          <w:u w:val="single"/>
          <w:lang w:val="en-GB"/>
        </w:rPr>
        <w:t>/ADN</w:t>
      </w:r>
    </w:p>
    <w:p w14:paraId="1C803F4B" w14:textId="77777777" w:rsidR="005D18DA" w:rsidRPr="00A23D75" w:rsidRDefault="005D18DA">
      <w:pPr>
        <w:widowControl w:val="0"/>
        <w:jc w:val="left"/>
        <w:rPr>
          <w:lang w:val="en-GB"/>
        </w:rPr>
      </w:pPr>
    </w:p>
    <w:p w14:paraId="7F08F284" w14:textId="77777777" w:rsidR="000E1B8E" w:rsidRPr="000E1B8E" w:rsidRDefault="000E1B8E" w:rsidP="000E1B8E">
      <w:pPr>
        <w:widowControl w:val="0"/>
        <w:jc w:val="left"/>
        <w:rPr>
          <w:lang w:val="en-GB"/>
        </w:rPr>
      </w:pPr>
      <w:r w:rsidRPr="000E1B8E">
        <w:rPr>
          <w:lang w:val="en-GB"/>
        </w:rPr>
        <w:t>Joint Meeting of the RID Committee of Experts and the</w:t>
      </w:r>
    </w:p>
    <w:p w14:paraId="154C9CBB" w14:textId="77777777" w:rsidR="000E1B8E" w:rsidRPr="000E1B8E" w:rsidRDefault="000E1B8E" w:rsidP="000E1B8E">
      <w:pPr>
        <w:widowControl w:val="0"/>
        <w:jc w:val="left"/>
        <w:rPr>
          <w:lang w:val="en-GB"/>
        </w:rPr>
      </w:pPr>
      <w:r w:rsidRPr="000E1B8E">
        <w:rPr>
          <w:lang w:val="en-GB"/>
        </w:rPr>
        <w:t>Working Party on the Transport of Dangerous Goods</w:t>
      </w:r>
    </w:p>
    <w:p w14:paraId="37255F44" w14:textId="77777777" w:rsidR="0070019B" w:rsidRPr="00A23D75" w:rsidRDefault="000E1B8E" w:rsidP="000E1B8E">
      <w:pPr>
        <w:widowControl w:val="0"/>
        <w:jc w:val="left"/>
        <w:rPr>
          <w:lang w:val="en-GB"/>
        </w:rPr>
      </w:pPr>
      <w:r w:rsidRPr="00A23D75">
        <w:rPr>
          <w:lang w:val="en-GB"/>
        </w:rPr>
        <w:t>(</w:t>
      </w:r>
      <w:r w:rsidR="00BB6FCF">
        <w:rPr>
          <w:lang w:val="en-GB"/>
        </w:rPr>
        <w:t>Berne</w:t>
      </w:r>
      <w:r w:rsidRPr="00A23D75">
        <w:rPr>
          <w:lang w:val="en-GB"/>
        </w:rPr>
        <w:t>, 1</w:t>
      </w:r>
      <w:r w:rsidR="00970B8D">
        <w:rPr>
          <w:lang w:val="en-GB"/>
        </w:rPr>
        <w:t>2</w:t>
      </w:r>
      <w:r w:rsidRPr="00A23D75">
        <w:rPr>
          <w:lang w:val="en-GB"/>
        </w:rPr>
        <w:t xml:space="preserve"> - 1</w:t>
      </w:r>
      <w:r w:rsidR="00970B8D">
        <w:rPr>
          <w:lang w:val="en-GB"/>
        </w:rPr>
        <w:t>6</w:t>
      </w:r>
      <w:r w:rsidRPr="00A23D75">
        <w:rPr>
          <w:lang w:val="en-GB"/>
        </w:rPr>
        <w:t xml:space="preserve"> March 201</w:t>
      </w:r>
      <w:r w:rsidR="00582C42">
        <w:rPr>
          <w:lang w:val="en-GB"/>
        </w:rPr>
        <w:t>8</w:t>
      </w:r>
      <w:r w:rsidRPr="00A23D75">
        <w:rPr>
          <w:lang w:val="en-GB"/>
        </w:rPr>
        <w:t>)</w:t>
      </w:r>
    </w:p>
    <w:p w14:paraId="2FC4896C" w14:textId="77777777" w:rsidR="0070019B" w:rsidRPr="00A23D75" w:rsidRDefault="0070019B" w:rsidP="0070019B">
      <w:pPr>
        <w:widowControl w:val="0"/>
        <w:jc w:val="left"/>
        <w:rPr>
          <w:lang w:val="en-GB"/>
        </w:rPr>
      </w:pPr>
    </w:p>
    <w:p w14:paraId="21D8C648" w14:textId="77777777" w:rsidR="000E1B8E" w:rsidRPr="00A23D75" w:rsidRDefault="000E1B8E" w:rsidP="0070019B">
      <w:pPr>
        <w:widowControl w:val="0"/>
        <w:jc w:val="left"/>
        <w:rPr>
          <w:lang w:val="en-GB"/>
        </w:rPr>
      </w:pPr>
    </w:p>
    <w:p w14:paraId="143B8E07" w14:textId="77777777" w:rsidR="0070019B" w:rsidRPr="000C4D4E" w:rsidRDefault="000E1B8E" w:rsidP="000C4D4E">
      <w:pPr>
        <w:rPr>
          <w:u w:val="single"/>
          <w:lang w:val="en-GB"/>
        </w:rPr>
      </w:pPr>
      <w:r w:rsidRPr="000C4D4E">
        <w:rPr>
          <w:b/>
          <w:u w:val="single"/>
          <w:lang w:val="en-GB"/>
        </w:rPr>
        <w:t>Agenda item</w:t>
      </w:r>
      <w:r w:rsidR="00511A7F" w:rsidRPr="000C4D4E">
        <w:rPr>
          <w:b/>
          <w:u w:val="single"/>
          <w:lang w:val="en-GB"/>
        </w:rPr>
        <w:t xml:space="preserve"> </w:t>
      </w:r>
      <w:r w:rsidR="000C4D4E" w:rsidRPr="000C4D4E">
        <w:rPr>
          <w:b/>
          <w:u w:val="single"/>
          <w:lang w:val="en-GB"/>
        </w:rPr>
        <w:t>5 (b)</w:t>
      </w:r>
      <w:r w:rsidR="004D69C0" w:rsidRPr="000C4D4E">
        <w:rPr>
          <w:b/>
          <w:u w:val="single"/>
          <w:lang w:val="en-GB"/>
        </w:rPr>
        <w:t>:</w:t>
      </w:r>
      <w:r w:rsidR="0070019B" w:rsidRPr="000C4D4E">
        <w:rPr>
          <w:b/>
          <w:bCs/>
          <w:u w:val="single"/>
          <w:lang w:val="en-GB"/>
        </w:rPr>
        <w:tab/>
      </w:r>
      <w:r w:rsidR="000C4D4E" w:rsidRPr="000C4D4E">
        <w:rPr>
          <w:b/>
          <w:u w:val="single"/>
          <w:lang w:val="en-GB"/>
        </w:rPr>
        <w:t>Proposals for amendments to RID/ADR/ADR – New proposals</w:t>
      </w:r>
    </w:p>
    <w:p w14:paraId="4BC45C2A" w14:textId="77777777" w:rsidR="0070019B" w:rsidRPr="00A23D75" w:rsidRDefault="0070019B" w:rsidP="0070019B">
      <w:pPr>
        <w:widowControl w:val="0"/>
        <w:jc w:val="left"/>
        <w:rPr>
          <w:lang w:val="en-GB"/>
        </w:rPr>
      </w:pPr>
    </w:p>
    <w:p w14:paraId="471084E2" w14:textId="77777777" w:rsidR="0070019B" w:rsidRPr="00A23D75" w:rsidRDefault="0070019B" w:rsidP="0070019B">
      <w:pPr>
        <w:widowControl w:val="0"/>
        <w:jc w:val="left"/>
        <w:rPr>
          <w:lang w:val="en-GB"/>
        </w:rPr>
      </w:pPr>
    </w:p>
    <w:p w14:paraId="5FC6B2D5" w14:textId="77777777" w:rsidR="0070019B" w:rsidRPr="00A23D75" w:rsidRDefault="0070019B" w:rsidP="0070019B">
      <w:pPr>
        <w:widowControl w:val="0"/>
        <w:jc w:val="left"/>
        <w:rPr>
          <w:lang w:val="en-GB"/>
        </w:rPr>
      </w:pPr>
    </w:p>
    <w:p w14:paraId="64C78253" w14:textId="77777777" w:rsidR="0070019B" w:rsidRPr="000C4D4E" w:rsidRDefault="000C4D4E" w:rsidP="0070019B">
      <w:pPr>
        <w:widowControl w:val="0"/>
        <w:jc w:val="left"/>
        <w:rPr>
          <w:lang w:val="en-GB"/>
        </w:rPr>
      </w:pPr>
      <w:r w:rsidRPr="000C4D4E">
        <w:rPr>
          <w:b/>
          <w:u w:val="single"/>
          <w:lang w:val="en-GB"/>
        </w:rPr>
        <w:t>Carriage of articles containing PCBs that are contaminated with dioxins and furans</w:t>
      </w:r>
    </w:p>
    <w:p w14:paraId="54DF8809" w14:textId="77777777" w:rsidR="0070019B" w:rsidRDefault="0070019B" w:rsidP="0070019B">
      <w:pPr>
        <w:widowControl w:val="0"/>
        <w:jc w:val="left"/>
        <w:rPr>
          <w:lang w:val="en-GB"/>
        </w:rPr>
      </w:pPr>
    </w:p>
    <w:p w14:paraId="1E72B1F7" w14:textId="77777777" w:rsidR="006979A2" w:rsidRPr="00A23D75" w:rsidRDefault="006979A2" w:rsidP="0070019B">
      <w:pPr>
        <w:widowControl w:val="0"/>
        <w:jc w:val="left"/>
        <w:rPr>
          <w:lang w:val="en-GB"/>
        </w:rPr>
      </w:pPr>
    </w:p>
    <w:p w14:paraId="31220B67" w14:textId="77777777" w:rsidR="0070019B" w:rsidRPr="00A23D75" w:rsidRDefault="0070019B" w:rsidP="0070019B">
      <w:pPr>
        <w:widowControl w:val="0"/>
        <w:jc w:val="left"/>
        <w:rPr>
          <w:lang w:val="en-GB"/>
        </w:rPr>
      </w:pPr>
    </w:p>
    <w:p w14:paraId="021C2A84" w14:textId="77777777" w:rsidR="0070019B" w:rsidRPr="00BA4980" w:rsidRDefault="000E1B8E" w:rsidP="0070019B">
      <w:pPr>
        <w:widowControl w:val="0"/>
        <w:jc w:val="left"/>
        <w:rPr>
          <w:b/>
          <w:u w:val="single"/>
          <w:lang w:val="en-GB"/>
        </w:rPr>
      </w:pPr>
      <w:r w:rsidRPr="00BA4980">
        <w:rPr>
          <w:b/>
          <w:bCs/>
          <w:u w:val="single"/>
          <w:lang w:val="en-GB"/>
        </w:rPr>
        <w:t xml:space="preserve">Transmitted by </w:t>
      </w:r>
      <w:r w:rsidR="000C4D4E" w:rsidRPr="00BA4980">
        <w:rPr>
          <w:b/>
          <w:bCs/>
          <w:u w:val="single"/>
          <w:lang w:val="en-GB"/>
        </w:rPr>
        <w:t>Germany</w:t>
      </w:r>
    </w:p>
    <w:p w14:paraId="0D97B0FF" w14:textId="77777777" w:rsidR="005D18DA" w:rsidRPr="00BA4980" w:rsidRDefault="005D18DA">
      <w:pPr>
        <w:widowControl w:val="0"/>
        <w:pBdr>
          <w:bottom w:val="single" w:sz="12" w:space="1" w:color="auto"/>
        </w:pBdr>
        <w:jc w:val="left"/>
        <w:rPr>
          <w:lang w:val="en-GB"/>
        </w:rPr>
      </w:pPr>
    </w:p>
    <w:p w14:paraId="0F6DCC1B" w14:textId="77777777" w:rsidR="00C6226D" w:rsidRPr="00BA4980" w:rsidRDefault="00C6226D">
      <w:pPr>
        <w:widowControl w:val="0"/>
        <w:jc w:val="left"/>
        <w:rPr>
          <w:lang w:val="en-GB"/>
        </w:rPr>
      </w:pPr>
    </w:p>
    <w:p w14:paraId="023BEB66" w14:textId="77777777" w:rsidR="00020E85" w:rsidRPr="00BA4980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14:paraId="4FC25563" w14:textId="77777777" w:rsidR="00020E85" w:rsidRPr="00020E85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</w:pPr>
      <w:r w:rsidRPr="00020E85">
        <w:t>(DE:)</w:t>
      </w:r>
    </w:p>
    <w:p w14:paraId="6D528CAF" w14:textId="77777777" w:rsidR="00020E85" w:rsidRPr="00020E85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</w:pPr>
    </w:p>
    <w:p w14:paraId="12EBFEA0" w14:textId="19C97FDD" w:rsidR="00020E85" w:rsidRPr="000C4D4E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</w:pPr>
      <w:r w:rsidRPr="000C4D4E">
        <w:t xml:space="preserve">Der </w:t>
      </w:r>
      <w:r w:rsidR="002C4615">
        <w:t>Absatz 2.1.3.4.2 erhält folgenden Wortlaut (neuer Text ist unterstrichen dargestellt)</w:t>
      </w:r>
      <w:r w:rsidRPr="000C4D4E">
        <w:t>:</w:t>
      </w:r>
    </w:p>
    <w:p w14:paraId="02940D15" w14:textId="77777777" w:rsidR="00020E85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</w:pPr>
    </w:p>
    <w:p w14:paraId="7572FF10" w14:textId="1E870CB3" w:rsidR="002C4615" w:rsidRPr="002C4615" w:rsidRDefault="002C4615" w:rsidP="002C4615">
      <w:pPr>
        <w:tabs>
          <w:tab w:val="clear" w:pos="1276"/>
          <w:tab w:val="left" w:pos="1418"/>
          <w:tab w:val="left" w:pos="2977"/>
          <w:tab w:val="left" w:pos="4395"/>
        </w:tabs>
        <w:ind w:left="1418" w:hanging="1418"/>
      </w:pPr>
      <w:r w:rsidRPr="002C4615">
        <w:t>"</w:t>
      </w:r>
      <w:r w:rsidRPr="002C4615">
        <w:rPr>
          <w:b/>
        </w:rPr>
        <w:t>2.1.3.4.2</w:t>
      </w:r>
      <w:r w:rsidRPr="002C4615">
        <w:rPr>
          <w:b/>
        </w:rPr>
        <w:tab/>
      </w:r>
      <w:r w:rsidRPr="002C4615">
        <w:t>Lösungen und Gemische, die einen Stoff enthalten, der unter eine der folgenden Eintragungen der Klasse 9 fällt:</w:t>
      </w:r>
    </w:p>
    <w:p w14:paraId="67505CFC" w14:textId="77777777" w:rsid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</w:p>
    <w:p w14:paraId="57AFFDED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 2315 POLYCHLORIERTE BIPHENYLE, FLÜSSIG,</w:t>
      </w:r>
    </w:p>
    <w:p w14:paraId="15AD4358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 3151 POLYHALOGENIERTE BIPHENYLE, FLÜSSIG,</w:t>
      </w:r>
    </w:p>
    <w:p w14:paraId="32FD3D11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 3151 HALOGENIERTE MONOMETHYLDIPHENYLMETHANE, FLÜSSIG,</w:t>
      </w:r>
    </w:p>
    <w:p w14:paraId="381C948F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 3151 POLYHALOGENIERTE TERPHENYLE, FLÜSSIG,</w:t>
      </w:r>
    </w:p>
    <w:p w14:paraId="3B7C148E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 3152 POLYHALOGENIERTE BIPHENYLE, FEST,</w:t>
      </w:r>
    </w:p>
    <w:p w14:paraId="222D66ED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 3152 HALOGENIERTE MONOMETHYLDIPHENYLMETHANE, FEST,</w:t>
      </w:r>
    </w:p>
    <w:p w14:paraId="42D255AF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 3152 POLYHALOGENIERTE TERPHENYLE, FEST oder</w:t>
      </w:r>
    </w:p>
    <w:p w14:paraId="1A2DEE46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UN 3432 POLYCHLORIERTE BIPHENYLE, FEST</w:t>
      </w:r>
    </w:p>
    <w:p w14:paraId="110C14C7" w14:textId="77777777" w:rsid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</w:p>
    <w:p w14:paraId="6F1AA2C8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</w:pPr>
      <w:r w:rsidRPr="002C4615">
        <w:t>sind immer derselben Eintragung der Klasse 9 zuzuordnen, vorausgesetzt,</w:t>
      </w:r>
    </w:p>
    <w:p w14:paraId="7D67136F" w14:textId="77777777" w:rsid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</w:pPr>
    </w:p>
    <w:p w14:paraId="6BE3CB10" w14:textId="77777777" w:rsidR="002C4615" w:rsidRP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</w:pPr>
      <w:r w:rsidRPr="002C4615">
        <w:t>–</w:t>
      </w:r>
      <w:r w:rsidRPr="002C4615">
        <w:tab/>
        <w:t>sie enthalten darüber hinaus keine anderen gefährlichen Bestandteile mit Ausnahme von Bestandteilen der Verpackungsgruppe III der Klasse 3, 4.1, 4.2, 4.3, 5.1, 6.1 oder 8 und</w:t>
      </w:r>
    </w:p>
    <w:p w14:paraId="76617A8A" w14:textId="77777777" w:rsid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</w:pPr>
    </w:p>
    <w:p w14:paraId="1CF2211F" w14:textId="77777777" w:rsidR="002C4615" w:rsidRP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</w:pPr>
      <w:r w:rsidRPr="002C4615">
        <w:t>–</w:t>
      </w:r>
      <w:r w:rsidRPr="002C4615">
        <w:tab/>
        <w:t>sie weisen nicht die in Absatz 2.1.3.5.3 angegebenen Gefahreneigenschaften auf.</w:t>
      </w:r>
    </w:p>
    <w:p w14:paraId="62AB58AE" w14:textId="77777777" w:rsidR="002C4615" w:rsidRDefault="002C4615" w:rsidP="00020E85">
      <w:pPr>
        <w:tabs>
          <w:tab w:val="clear" w:pos="1276"/>
          <w:tab w:val="left" w:pos="1418"/>
          <w:tab w:val="left" w:pos="2977"/>
          <w:tab w:val="left" w:pos="4395"/>
        </w:tabs>
        <w:ind w:left="1418"/>
        <w:rPr>
          <w:lang w:val="de-CH"/>
        </w:rPr>
      </w:pPr>
    </w:p>
    <w:p w14:paraId="5AA9E98A" w14:textId="14A6EBA8" w:rsidR="00020E85" w:rsidRPr="002C4615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  <w:ind w:left="1418"/>
        <w:rPr>
          <w:u w:val="single"/>
          <w:lang w:val="de-CH"/>
        </w:rPr>
      </w:pPr>
      <w:r w:rsidRPr="002C4615">
        <w:rPr>
          <w:u w:val="single"/>
          <w:lang w:val="de-CH"/>
        </w:rPr>
        <w:t xml:space="preserve">Gebrauchte Gegenstände, die vorgenannte Gemische </w:t>
      </w:r>
      <w:r w:rsidR="00A06D6D" w:rsidRPr="002C4615">
        <w:rPr>
          <w:u w:val="single"/>
          <w:lang w:val="de-CH"/>
        </w:rPr>
        <w:t xml:space="preserve">oder </w:t>
      </w:r>
      <w:r w:rsidRPr="002C4615">
        <w:rPr>
          <w:u w:val="single"/>
          <w:lang w:val="de-CH"/>
        </w:rPr>
        <w:t>Lösungen enthalten, wie z. B. Transformatoren und Kondensatoren, sind immer derselben Eintragung der Klasse 9 zuzuordnen, vorausgesetzt,</w:t>
      </w:r>
    </w:p>
    <w:p w14:paraId="43714B2B" w14:textId="77777777" w:rsidR="00020E85" w:rsidRPr="002C4615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</w:rPr>
      </w:pPr>
    </w:p>
    <w:p w14:paraId="6C5D8A02" w14:textId="77777777" w:rsidR="00020E85" w:rsidRPr="002C4615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</w:rPr>
      </w:pPr>
      <w:r w:rsidRPr="002C4615">
        <w:rPr>
          <w:u w:val="single"/>
        </w:rPr>
        <w:t>–</w:t>
      </w:r>
      <w:r w:rsidRPr="002C4615">
        <w:rPr>
          <w:u w:val="single"/>
        </w:rPr>
        <w:tab/>
        <w:t>sie enthalten darüber hinaus keine anderen gefährlichen Bestandteile mit Ausnahme von Bestandteilen der Verpackungsgruppe III der Klasse 3, 4.1, 4.2, 4.3, 5.1, 6.1 oder 8 oder von polyhalogenierten Dibenzodioxinen und -furanen der Klasse 6.1 und</w:t>
      </w:r>
    </w:p>
    <w:p w14:paraId="5B846350" w14:textId="77777777" w:rsidR="00020E85" w:rsidRPr="002C4615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</w:rPr>
      </w:pPr>
    </w:p>
    <w:p w14:paraId="00E2E62F" w14:textId="77777777" w:rsidR="00020E85" w:rsidRPr="000C4D4E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</w:pPr>
      <w:r w:rsidRPr="002C4615">
        <w:rPr>
          <w:u w:val="single"/>
        </w:rPr>
        <w:t>–</w:t>
      </w:r>
      <w:r w:rsidRPr="002C4615">
        <w:rPr>
          <w:u w:val="single"/>
        </w:rPr>
        <w:tab/>
        <w:t>sie weisen nicht die in Absatz 2.1.3.5.3 a) bis g) und i) angegebenen Gefahreigenschaften auf.</w:t>
      </w:r>
      <w:r w:rsidRPr="000C4D4E">
        <w:t>"</w:t>
      </w:r>
    </w:p>
    <w:p w14:paraId="1BA53EB1" w14:textId="77777777" w:rsidR="0051746D" w:rsidRPr="00020E85" w:rsidRDefault="0051746D" w:rsidP="00B126ED">
      <w:pPr>
        <w:tabs>
          <w:tab w:val="clear" w:pos="1276"/>
          <w:tab w:val="left" w:pos="1418"/>
          <w:tab w:val="left" w:pos="2977"/>
          <w:tab w:val="left" w:pos="4395"/>
        </w:tabs>
      </w:pPr>
    </w:p>
    <w:p w14:paraId="2D62C6D3" w14:textId="62760471" w:rsidR="00020E85" w:rsidRDefault="00020E85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>
        <w:rPr>
          <w:lang w:val="en-US"/>
        </w:rPr>
        <w:t>(EN:)</w:t>
      </w:r>
    </w:p>
    <w:p w14:paraId="1DF9E7EA" w14:textId="77777777" w:rsidR="002C4615" w:rsidRDefault="002C4615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14:paraId="580028FD" w14:textId="1742C49E" w:rsidR="000C4D4E" w:rsidRDefault="002C4615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>
        <w:rPr>
          <w:lang w:val="en-US"/>
        </w:rPr>
        <w:t xml:space="preserve">Amend 2.1.3.4.2 to </w:t>
      </w:r>
      <w:r w:rsidR="000C4D4E">
        <w:rPr>
          <w:lang w:val="en-US"/>
        </w:rPr>
        <w:t>read as follows (new text is underlined):</w:t>
      </w:r>
    </w:p>
    <w:p w14:paraId="193163CE" w14:textId="77777777" w:rsidR="000C4D4E" w:rsidRDefault="000C4D4E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14:paraId="33C58B62" w14:textId="623AEFE4" w:rsidR="002C4615" w:rsidRPr="002C4615" w:rsidRDefault="002C4615" w:rsidP="002C4615">
      <w:pPr>
        <w:tabs>
          <w:tab w:val="clear" w:pos="1276"/>
          <w:tab w:val="left" w:pos="1418"/>
          <w:tab w:val="left" w:pos="2977"/>
          <w:tab w:val="left" w:pos="4395"/>
        </w:tabs>
        <w:ind w:left="1418" w:hanging="1418"/>
        <w:rPr>
          <w:lang w:val="en-GB"/>
        </w:rPr>
      </w:pPr>
      <w:r w:rsidRPr="002C4615">
        <w:rPr>
          <w:bCs/>
          <w:lang w:val="en-GB"/>
        </w:rPr>
        <w:t>"</w:t>
      </w:r>
      <w:r w:rsidRPr="002C4615">
        <w:rPr>
          <w:b/>
          <w:bCs/>
          <w:lang w:val="en-GB"/>
        </w:rPr>
        <w:t>2.1.3.4.2</w:t>
      </w:r>
      <w:r w:rsidRPr="002C4615">
        <w:rPr>
          <w:lang w:val="en-GB"/>
        </w:rPr>
        <w:tab/>
      </w:r>
      <w:r w:rsidRPr="002C4615">
        <w:rPr>
          <w:bCs/>
          <w:lang w:val="en-GB"/>
        </w:rPr>
        <w:t>Solutions and mixtures containing a substance belonging to one of the following entries of Class 9:</w:t>
      </w:r>
    </w:p>
    <w:p w14:paraId="17C11B92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en-GB"/>
        </w:rPr>
      </w:pPr>
    </w:p>
    <w:p w14:paraId="3C80F76F" w14:textId="4287B306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>
        <w:rPr>
          <w:lang w:val="fr-FR"/>
        </w:rPr>
        <w:t xml:space="preserve">UN 2315 </w:t>
      </w:r>
      <w:r w:rsidRPr="002C4615">
        <w:rPr>
          <w:lang w:val="fr-FR"/>
        </w:rPr>
        <w:t xml:space="preserve">POLYCHLORINATED BIPHENYLS, </w:t>
      </w:r>
      <w:proofErr w:type="gramStart"/>
      <w:r w:rsidRPr="002C4615">
        <w:rPr>
          <w:lang w:val="fr-FR"/>
        </w:rPr>
        <w:t>LIQUID;</w:t>
      </w:r>
      <w:proofErr w:type="gramEnd"/>
    </w:p>
    <w:p w14:paraId="3AA13195" w14:textId="3768E128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>
        <w:rPr>
          <w:lang w:val="fr-FR"/>
        </w:rPr>
        <w:t xml:space="preserve">UN 3151 </w:t>
      </w:r>
      <w:r w:rsidRPr="002C4615">
        <w:rPr>
          <w:lang w:val="fr-FR"/>
        </w:rPr>
        <w:t xml:space="preserve">POLYHALOGENATED BIPHENYLS, </w:t>
      </w:r>
      <w:proofErr w:type="gramStart"/>
      <w:r w:rsidRPr="002C4615">
        <w:rPr>
          <w:lang w:val="fr-FR"/>
        </w:rPr>
        <w:t>LIQUID;</w:t>
      </w:r>
      <w:proofErr w:type="gramEnd"/>
    </w:p>
    <w:p w14:paraId="54F7F19A" w14:textId="021DF5E6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>
        <w:rPr>
          <w:lang w:val="fr-FR"/>
        </w:rPr>
        <w:t xml:space="preserve">UN 3151 </w:t>
      </w:r>
      <w:r w:rsidRPr="002C4615">
        <w:rPr>
          <w:caps/>
          <w:lang w:val="fr-FR"/>
        </w:rPr>
        <w:t xml:space="preserve">halogenated monomethyldiphenylmethanes, </w:t>
      </w:r>
      <w:proofErr w:type="gramStart"/>
      <w:r w:rsidRPr="002C4615">
        <w:rPr>
          <w:caps/>
          <w:lang w:val="fr-FR"/>
        </w:rPr>
        <w:t>liquid</w:t>
      </w:r>
      <w:r w:rsidRPr="002C4615">
        <w:rPr>
          <w:lang w:val="fr-FR"/>
        </w:rPr>
        <w:t>;</w:t>
      </w:r>
      <w:proofErr w:type="gramEnd"/>
    </w:p>
    <w:p w14:paraId="46FC7DEE" w14:textId="0DF340D8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>
        <w:rPr>
          <w:lang w:val="fr-FR"/>
        </w:rPr>
        <w:t xml:space="preserve">UN 3151 </w:t>
      </w:r>
      <w:r w:rsidRPr="002C4615">
        <w:rPr>
          <w:lang w:val="fr-FR"/>
        </w:rPr>
        <w:t xml:space="preserve">POLYHALOGENATED TERPHENYLS, </w:t>
      </w:r>
      <w:proofErr w:type="gramStart"/>
      <w:r w:rsidRPr="002C4615">
        <w:rPr>
          <w:lang w:val="fr-FR"/>
        </w:rPr>
        <w:t>LIQUID;</w:t>
      </w:r>
      <w:proofErr w:type="gramEnd"/>
    </w:p>
    <w:p w14:paraId="5F77FD42" w14:textId="74312FA5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>
        <w:rPr>
          <w:lang w:val="fr-FR"/>
        </w:rPr>
        <w:t xml:space="preserve">UN 3152 </w:t>
      </w:r>
      <w:r w:rsidRPr="002C4615">
        <w:rPr>
          <w:lang w:val="fr-FR"/>
        </w:rPr>
        <w:t xml:space="preserve">POLYHALOGENATED BIPHENYLS, </w:t>
      </w:r>
      <w:proofErr w:type="gramStart"/>
      <w:r w:rsidRPr="002C4615">
        <w:rPr>
          <w:lang w:val="fr-FR"/>
        </w:rPr>
        <w:t>SOLID;</w:t>
      </w:r>
      <w:proofErr w:type="gramEnd"/>
    </w:p>
    <w:p w14:paraId="193BB91A" w14:textId="2BC540D9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 xml:space="preserve">UN 3152 </w:t>
      </w:r>
      <w:r w:rsidRPr="002C4615">
        <w:rPr>
          <w:caps/>
          <w:lang w:val="fr-FR"/>
        </w:rPr>
        <w:t>halogenated monomethyldiphenylmethanes,</w:t>
      </w:r>
      <w:r w:rsidRPr="002C4615">
        <w:rPr>
          <w:lang w:val="fr-FR"/>
        </w:rPr>
        <w:t xml:space="preserve"> </w:t>
      </w:r>
      <w:proofErr w:type="gramStart"/>
      <w:r w:rsidRPr="002C4615">
        <w:rPr>
          <w:lang w:val="fr-FR"/>
        </w:rPr>
        <w:t>SOLID;</w:t>
      </w:r>
      <w:proofErr w:type="gramEnd"/>
    </w:p>
    <w:p w14:paraId="2338D20B" w14:textId="4B7B5BD3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>
        <w:rPr>
          <w:lang w:val="fr-FR"/>
        </w:rPr>
        <w:t xml:space="preserve">UN 3152 </w:t>
      </w:r>
      <w:r w:rsidRPr="002C4615">
        <w:rPr>
          <w:lang w:val="fr-FR"/>
        </w:rPr>
        <w:t>POLYHALOGENATED TERPHENYLS, SOLID or</w:t>
      </w:r>
    </w:p>
    <w:p w14:paraId="55DEC14B" w14:textId="4DF00C2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en-GB"/>
        </w:rPr>
      </w:pPr>
      <w:r>
        <w:rPr>
          <w:lang w:val="en-GB"/>
        </w:rPr>
        <w:t xml:space="preserve">UN 3432 </w:t>
      </w:r>
      <w:r w:rsidRPr="002C4615">
        <w:rPr>
          <w:lang w:val="en-GB"/>
        </w:rPr>
        <w:t>POLYCHLORINATED BIPHENYLS, SOLID</w:t>
      </w:r>
    </w:p>
    <w:p w14:paraId="0D0F1C66" w14:textId="77777777" w:rsid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bCs/>
          <w:lang w:val="en-GB"/>
        </w:rPr>
      </w:pPr>
    </w:p>
    <w:p w14:paraId="5DAA3728" w14:textId="77777777" w:rsidR="002C4615" w:rsidRPr="002C4615" w:rsidRDefault="002C4615" w:rsidP="002C4615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bCs/>
          <w:lang w:val="en-GB"/>
        </w:rPr>
      </w:pPr>
      <w:r w:rsidRPr="002C4615">
        <w:rPr>
          <w:bCs/>
          <w:lang w:val="en-GB"/>
        </w:rPr>
        <w:t>shall always be classified under the same entry of Class 9, provided that:</w:t>
      </w:r>
    </w:p>
    <w:p w14:paraId="4223132E" w14:textId="77777777" w:rsid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lang w:val="en-GB"/>
        </w:rPr>
      </w:pPr>
    </w:p>
    <w:p w14:paraId="6612DC5C" w14:textId="77777777" w:rsidR="002C4615" w:rsidRP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lang w:val="en-GB"/>
        </w:rPr>
      </w:pPr>
      <w:r w:rsidRPr="002C4615">
        <w:rPr>
          <w:lang w:val="en-GB"/>
        </w:rPr>
        <w:t>–</w:t>
      </w:r>
      <w:r w:rsidRPr="002C4615">
        <w:rPr>
          <w:lang w:val="en-GB"/>
        </w:rPr>
        <w:tab/>
        <w:t>they do not contain any additional dangerous component other than components of packing group III of classes 3, 4.1, 4.2, 4.3, 5.1, 6.1 or 8; and</w:t>
      </w:r>
    </w:p>
    <w:p w14:paraId="56A392F7" w14:textId="77777777" w:rsid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lang w:val="en-GB"/>
        </w:rPr>
      </w:pPr>
    </w:p>
    <w:p w14:paraId="7C9CA5A9" w14:textId="77777777" w:rsidR="002C4615" w:rsidRPr="002C4615" w:rsidRDefault="002C4615" w:rsidP="002C4615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lang w:val="en-GB"/>
        </w:rPr>
      </w:pPr>
      <w:r w:rsidRPr="002C4615">
        <w:rPr>
          <w:lang w:val="en-GB"/>
        </w:rPr>
        <w:t>–</w:t>
      </w:r>
      <w:r w:rsidRPr="002C4615">
        <w:rPr>
          <w:lang w:val="en-GB"/>
        </w:rPr>
        <w:tab/>
        <w:t>they do not have the hazard characteristics as indicated in 2.1.3.5.3.</w:t>
      </w:r>
    </w:p>
    <w:p w14:paraId="0D008D88" w14:textId="77777777" w:rsidR="000C4D4E" w:rsidRPr="000C4D4E" w:rsidRDefault="000C4D4E" w:rsidP="000C4D4E">
      <w:pPr>
        <w:tabs>
          <w:tab w:val="clear" w:pos="1276"/>
          <w:tab w:val="left" w:pos="1418"/>
          <w:tab w:val="left" w:pos="2977"/>
          <w:tab w:val="left" w:pos="4395"/>
        </w:tabs>
        <w:ind w:left="1418"/>
        <w:rPr>
          <w:lang w:val="en-GB"/>
        </w:rPr>
      </w:pPr>
    </w:p>
    <w:p w14:paraId="69424770" w14:textId="5C4A03F7" w:rsidR="000C4D4E" w:rsidRPr="002C4615" w:rsidRDefault="000C4D4E" w:rsidP="000C4D4E">
      <w:pPr>
        <w:tabs>
          <w:tab w:val="clear" w:pos="1276"/>
          <w:tab w:val="left" w:pos="1418"/>
          <w:tab w:val="left" w:pos="2977"/>
          <w:tab w:val="left" w:pos="4395"/>
        </w:tabs>
        <w:ind w:left="1418"/>
        <w:rPr>
          <w:u w:val="single"/>
          <w:lang w:val="en-GB"/>
        </w:rPr>
      </w:pPr>
      <w:r w:rsidRPr="002C4615">
        <w:rPr>
          <w:u w:val="single"/>
          <w:lang w:val="en-GB"/>
        </w:rPr>
        <w:t xml:space="preserve">Used articles containing above mentioned solutions </w:t>
      </w:r>
      <w:r w:rsidR="00A06D6D" w:rsidRPr="002C4615">
        <w:rPr>
          <w:u w:val="single"/>
          <w:lang w:val="en-GB"/>
        </w:rPr>
        <w:t xml:space="preserve">or </w:t>
      </w:r>
      <w:r w:rsidRPr="002C4615">
        <w:rPr>
          <w:u w:val="single"/>
          <w:lang w:val="en-GB"/>
        </w:rPr>
        <w:t>mixtures, e.g. transformers and condensers, shall always be classified under the same entry of Class 9, provided:</w:t>
      </w:r>
    </w:p>
    <w:p w14:paraId="2EBB73E6" w14:textId="77777777" w:rsidR="000C4D4E" w:rsidRPr="002C4615" w:rsidRDefault="000C4D4E" w:rsidP="000C4D4E">
      <w:pPr>
        <w:tabs>
          <w:tab w:val="clear" w:pos="1276"/>
          <w:tab w:val="left" w:pos="1418"/>
          <w:tab w:val="left" w:pos="2977"/>
          <w:tab w:val="left" w:pos="4395"/>
        </w:tabs>
        <w:ind w:left="1418"/>
        <w:rPr>
          <w:u w:val="single"/>
          <w:lang w:val="en-GB"/>
        </w:rPr>
      </w:pPr>
    </w:p>
    <w:p w14:paraId="6859FAB8" w14:textId="77777777" w:rsidR="000C4D4E" w:rsidRPr="002C4615" w:rsidRDefault="000C4D4E" w:rsidP="000C4D4E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  <w:lang w:val="en-GB"/>
        </w:rPr>
      </w:pPr>
      <w:r w:rsidRPr="002C4615">
        <w:rPr>
          <w:u w:val="single"/>
          <w:lang w:val="en-GB"/>
        </w:rPr>
        <w:t>–</w:t>
      </w:r>
      <w:r w:rsidRPr="002C4615">
        <w:rPr>
          <w:u w:val="single"/>
          <w:lang w:val="en-GB"/>
        </w:rPr>
        <w:tab/>
        <w:t>they do not contain any additional dangerous components, other than components of packing group III of classes 3, 4.1, 4.2, 4.3, 5.1, 6.1</w:t>
      </w:r>
      <w:r w:rsidR="00020E85" w:rsidRPr="002C4615">
        <w:rPr>
          <w:u w:val="single"/>
          <w:lang w:val="en-GB"/>
        </w:rPr>
        <w:t xml:space="preserve"> or 8 or polyhalogenated </w:t>
      </w:r>
      <w:r w:rsidR="00020E85" w:rsidRPr="002C4615">
        <w:rPr>
          <w:snapToGrid w:val="0"/>
          <w:u w:val="single"/>
          <w:lang w:val="en-GB"/>
        </w:rPr>
        <w:t>dibenzodioxins and dibenzofurans</w:t>
      </w:r>
      <w:r w:rsidRPr="002C4615">
        <w:rPr>
          <w:u w:val="single"/>
          <w:lang w:val="en-GB"/>
        </w:rPr>
        <w:t xml:space="preserve"> of Class 6.1, and</w:t>
      </w:r>
    </w:p>
    <w:p w14:paraId="5EF45F93" w14:textId="77777777" w:rsidR="000C4D4E" w:rsidRPr="002C4615" w:rsidRDefault="000C4D4E" w:rsidP="000C4D4E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  <w:lang w:val="en-GB"/>
        </w:rPr>
      </w:pPr>
    </w:p>
    <w:p w14:paraId="60037878" w14:textId="77777777" w:rsidR="000C4D4E" w:rsidRPr="000C4D4E" w:rsidRDefault="000C4D4E" w:rsidP="000C4D4E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lang w:val="en-GB"/>
        </w:rPr>
      </w:pPr>
      <w:r w:rsidRPr="002C4615">
        <w:rPr>
          <w:u w:val="single"/>
          <w:lang w:val="en-GB"/>
        </w:rPr>
        <w:t>–</w:t>
      </w:r>
      <w:r w:rsidRPr="002C4615">
        <w:rPr>
          <w:u w:val="single"/>
          <w:lang w:val="en-GB"/>
        </w:rPr>
        <w:tab/>
        <w:t>they do not have the hazard characteristics as indicated in 2.1.3.5.3 (a) to (g) and (</w:t>
      </w:r>
      <w:proofErr w:type="spellStart"/>
      <w:r w:rsidRPr="002C4615">
        <w:rPr>
          <w:u w:val="single"/>
          <w:lang w:val="en-GB"/>
        </w:rPr>
        <w:t>i</w:t>
      </w:r>
      <w:proofErr w:type="spellEnd"/>
      <w:r w:rsidRPr="002C4615">
        <w:rPr>
          <w:u w:val="single"/>
          <w:lang w:val="en-GB"/>
        </w:rPr>
        <w:t>).</w:t>
      </w:r>
      <w:r>
        <w:rPr>
          <w:lang w:val="en-GB"/>
        </w:rPr>
        <w:t>"</w:t>
      </w:r>
    </w:p>
    <w:p w14:paraId="00318D48" w14:textId="77777777" w:rsidR="000C4D4E" w:rsidRPr="00BA4980" w:rsidRDefault="000C4D4E" w:rsidP="00020E85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14:paraId="0805B609" w14:textId="77777777" w:rsidR="00020E85" w:rsidRPr="00BA4980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14:paraId="5BB10E83" w14:textId="77777777" w:rsidR="00785F7C" w:rsidRDefault="00785F7C">
      <w:pPr>
        <w:tabs>
          <w:tab w:val="clear" w:pos="425"/>
          <w:tab w:val="clear" w:pos="851"/>
          <w:tab w:val="clear" w:pos="1276"/>
        </w:tabs>
        <w:jc w:val="left"/>
        <w:rPr>
          <w:lang w:val="fr-CH"/>
        </w:rPr>
      </w:pPr>
      <w:r>
        <w:rPr>
          <w:lang w:val="fr-CH"/>
        </w:rPr>
        <w:br w:type="page"/>
      </w:r>
    </w:p>
    <w:p w14:paraId="5E25378F" w14:textId="15BF01B4" w:rsidR="00020E85" w:rsidRPr="00BA4980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  <w:rPr>
          <w:lang w:val="fr-CH"/>
        </w:rPr>
      </w:pPr>
      <w:r w:rsidRPr="00BA4980">
        <w:rPr>
          <w:lang w:val="fr-CH"/>
        </w:rPr>
        <w:lastRenderedPageBreak/>
        <w:t>(FR:)</w:t>
      </w:r>
      <w:bookmarkStart w:id="0" w:name="_GoBack"/>
      <w:bookmarkEnd w:id="0"/>
    </w:p>
    <w:p w14:paraId="54D14B52" w14:textId="77777777" w:rsidR="00020E85" w:rsidRDefault="00020E85" w:rsidP="00020E85">
      <w:pPr>
        <w:tabs>
          <w:tab w:val="clear" w:pos="1276"/>
          <w:tab w:val="left" w:pos="1418"/>
          <w:tab w:val="left" w:pos="2977"/>
          <w:tab w:val="left" w:pos="4395"/>
        </w:tabs>
        <w:rPr>
          <w:lang w:val="fr-CH"/>
        </w:rPr>
      </w:pPr>
    </w:p>
    <w:p w14:paraId="04CA5F5F" w14:textId="6F1F103E" w:rsidR="00785F7C" w:rsidRPr="00785F7C" w:rsidRDefault="00785F7C" w:rsidP="00020E85">
      <w:pPr>
        <w:tabs>
          <w:tab w:val="clear" w:pos="1276"/>
          <w:tab w:val="left" w:pos="1418"/>
          <w:tab w:val="left" w:pos="2977"/>
          <w:tab w:val="left" w:pos="4395"/>
        </w:tabs>
        <w:rPr>
          <w:lang w:val="fr-CH"/>
        </w:rPr>
      </w:pPr>
      <w:r>
        <w:rPr>
          <w:lang w:val="fr-CH"/>
        </w:rPr>
        <w:t>Le 2.1.3.4.2 reçoit la teneur suivante (nouveau texte est souligné) :</w:t>
      </w:r>
    </w:p>
    <w:p w14:paraId="62B96D4B" w14:textId="77777777" w:rsidR="00785F7C" w:rsidRDefault="00785F7C" w:rsidP="00020E85">
      <w:pPr>
        <w:tabs>
          <w:tab w:val="clear" w:pos="1276"/>
          <w:tab w:val="left" w:pos="1418"/>
          <w:tab w:val="left" w:pos="2977"/>
          <w:tab w:val="left" w:pos="4395"/>
        </w:tabs>
        <w:rPr>
          <w:lang w:val="fr-CH"/>
        </w:rPr>
      </w:pPr>
    </w:p>
    <w:p w14:paraId="50919319" w14:textId="77B56401" w:rsidR="002C4615" w:rsidRPr="002C4615" w:rsidRDefault="00785F7C" w:rsidP="00785F7C">
      <w:pPr>
        <w:tabs>
          <w:tab w:val="clear" w:pos="1276"/>
          <w:tab w:val="left" w:pos="1418"/>
          <w:tab w:val="left" w:pos="2977"/>
          <w:tab w:val="left" w:pos="4395"/>
        </w:tabs>
        <w:ind w:left="1418" w:hanging="1418"/>
        <w:rPr>
          <w:lang w:val="fr-FR"/>
        </w:rPr>
      </w:pPr>
      <w:r w:rsidRPr="00785F7C">
        <w:rPr>
          <w:lang w:val="fr-FR"/>
        </w:rPr>
        <w:t>"</w:t>
      </w:r>
      <w:r w:rsidR="002C4615" w:rsidRPr="002C4615">
        <w:rPr>
          <w:b/>
          <w:lang w:val="fr-FR"/>
        </w:rPr>
        <w:t>2.1.3.4.2</w:t>
      </w:r>
      <w:r w:rsidR="002C4615" w:rsidRPr="002C4615">
        <w:rPr>
          <w:b/>
          <w:lang w:val="fr-FR"/>
        </w:rPr>
        <w:tab/>
      </w:r>
      <w:r w:rsidR="002C4615" w:rsidRPr="002C4615">
        <w:rPr>
          <w:lang w:val="fr-FR"/>
        </w:rPr>
        <w:t>Les solutions et mélanges contenant une matière relevant d’une des rubriques de la classe 9 suivantes :</w:t>
      </w:r>
    </w:p>
    <w:p w14:paraId="508F0D1A" w14:textId="77777777" w:rsidR="00785F7C" w:rsidRDefault="00785F7C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</w:p>
    <w:p w14:paraId="7BC4FB1F" w14:textId="1AF69163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>No ONU 2315 DIPHÉNYLES POLYCHLORÉS LIQUIDES ;</w:t>
      </w:r>
    </w:p>
    <w:p w14:paraId="4EE2DAAF" w14:textId="00344EDF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>No ONU 3151 DIPHÉNYLES POLYHALOGÉNÉS LIQUIDES ;</w:t>
      </w:r>
    </w:p>
    <w:p w14:paraId="6FEC4051" w14:textId="71C2748F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>No ONU</w:t>
      </w:r>
      <w:r w:rsidRPr="002C4615">
        <w:rPr>
          <w:lang w:val="fr-CH"/>
        </w:rPr>
        <w:t xml:space="preserve"> 3151 MONOMÉTHYLDIPHÉNYLMÉTHANES HALOGÉNÉS </w:t>
      </w:r>
      <w:r w:rsidRPr="002C4615">
        <w:rPr>
          <w:lang w:val="fr-FR"/>
        </w:rPr>
        <w:t>LIQUIDES ;</w:t>
      </w:r>
    </w:p>
    <w:p w14:paraId="556C4DF9" w14:textId="4BFE90F4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>No ONU 3151 TERPHÉNYLESPOLYHALOGÉNÉS LIQUIDES ;</w:t>
      </w:r>
    </w:p>
    <w:p w14:paraId="36F82EB0" w14:textId="000BC460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>No ONU 3152 DIPHÉNYLES POLYHALOGÉNÉS SOLIDES ;</w:t>
      </w:r>
    </w:p>
    <w:p w14:paraId="6A23D89F" w14:textId="5E794148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>No ONU</w:t>
      </w:r>
      <w:r w:rsidRPr="002C4615">
        <w:rPr>
          <w:lang w:val="fr-CH"/>
        </w:rPr>
        <w:t xml:space="preserve"> 3152 MONOMÉTHYLDIPHÉNYLMÉTHANES HALOGÉNÉS </w:t>
      </w:r>
      <w:r w:rsidRPr="002C4615">
        <w:rPr>
          <w:lang w:val="fr-FR"/>
        </w:rPr>
        <w:t>SOLIDES ;</w:t>
      </w:r>
    </w:p>
    <w:p w14:paraId="7C3A3EEC" w14:textId="6CCA6004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 xml:space="preserve">No ONU 3152 TERPHÉNYLES POLYHALOGÉNÉS SOLIDES ; </w:t>
      </w:r>
      <w:proofErr w:type="gramStart"/>
      <w:r w:rsidRPr="002C4615">
        <w:rPr>
          <w:lang w:val="fr-FR"/>
        </w:rPr>
        <w:t>ou</w:t>
      </w:r>
      <w:proofErr w:type="gramEnd"/>
    </w:p>
    <w:p w14:paraId="618CEAE7" w14:textId="2AD26068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18"/>
        <w:rPr>
          <w:lang w:val="fr-FR"/>
        </w:rPr>
      </w:pPr>
      <w:r w:rsidRPr="002C4615">
        <w:rPr>
          <w:lang w:val="fr-FR"/>
        </w:rPr>
        <w:t>No ONU 3432 DIPHÉNYLES POLYCHLORÉS SOLIDES</w:t>
      </w:r>
    </w:p>
    <w:p w14:paraId="63C93F6F" w14:textId="77777777" w:rsidR="00785F7C" w:rsidRDefault="00785F7C" w:rsidP="00785F7C">
      <w:pPr>
        <w:tabs>
          <w:tab w:val="clear" w:pos="1276"/>
          <w:tab w:val="left" w:pos="1400"/>
          <w:tab w:val="left" w:pos="2977"/>
          <w:tab w:val="left" w:pos="4395"/>
        </w:tabs>
        <w:ind w:left="1400"/>
        <w:rPr>
          <w:lang w:val="fr-FR"/>
        </w:rPr>
      </w:pPr>
    </w:p>
    <w:p w14:paraId="761C93D4" w14:textId="77777777" w:rsidR="002C4615" w:rsidRPr="002C4615" w:rsidRDefault="002C4615" w:rsidP="00785F7C">
      <w:pPr>
        <w:tabs>
          <w:tab w:val="clear" w:pos="1276"/>
          <w:tab w:val="left" w:pos="1400"/>
          <w:tab w:val="left" w:pos="2977"/>
          <w:tab w:val="left" w:pos="4395"/>
        </w:tabs>
        <w:ind w:left="1400"/>
        <w:rPr>
          <w:lang w:val="fr-FR"/>
        </w:rPr>
      </w:pPr>
      <w:proofErr w:type="gramStart"/>
      <w:r w:rsidRPr="002C4615">
        <w:rPr>
          <w:lang w:val="fr-FR"/>
        </w:rPr>
        <w:t>doivent</w:t>
      </w:r>
      <w:proofErr w:type="gramEnd"/>
      <w:r w:rsidRPr="002C4615">
        <w:rPr>
          <w:lang w:val="fr-FR"/>
        </w:rPr>
        <w:t xml:space="preserve"> </w:t>
      </w:r>
      <w:r w:rsidRPr="002C4615">
        <w:rPr>
          <w:bCs/>
          <w:lang w:val="fr-FR"/>
        </w:rPr>
        <w:t>toujours</w:t>
      </w:r>
      <w:r w:rsidRPr="002C4615">
        <w:rPr>
          <w:lang w:val="fr-FR"/>
        </w:rPr>
        <w:t xml:space="preserve"> être classés sous la même rubrique de la classe 9, à condition :</w:t>
      </w:r>
    </w:p>
    <w:p w14:paraId="7BFCFB69" w14:textId="77777777" w:rsidR="00785F7C" w:rsidRDefault="00785F7C" w:rsidP="00785F7C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lang w:val="fr-FR"/>
        </w:rPr>
      </w:pPr>
    </w:p>
    <w:p w14:paraId="41602C25" w14:textId="77777777" w:rsidR="002C4615" w:rsidRPr="002C4615" w:rsidRDefault="002C4615" w:rsidP="00785F7C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lang w:val="fr-FR"/>
        </w:rPr>
      </w:pPr>
      <w:r w:rsidRPr="002C4615">
        <w:rPr>
          <w:lang w:val="fr-FR"/>
        </w:rPr>
        <w:t>–</w:t>
      </w:r>
      <w:r w:rsidRPr="002C4615">
        <w:rPr>
          <w:lang w:val="fr-FR"/>
        </w:rPr>
        <w:tab/>
        <w:t>qu’ils ne contiennent pas en outre de composants dangereux autres que des composants du groupe d’emballage III des classes 3, 4.1, 4.2, 4.3, 5.1, 6.1 ou 8 ; et</w:t>
      </w:r>
    </w:p>
    <w:p w14:paraId="3345DD69" w14:textId="77777777" w:rsidR="00785F7C" w:rsidRDefault="00785F7C" w:rsidP="00785F7C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lang w:val="fr-FR"/>
        </w:rPr>
      </w:pPr>
    </w:p>
    <w:p w14:paraId="218A524C" w14:textId="77777777" w:rsidR="002C4615" w:rsidRPr="002C4615" w:rsidRDefault="002C4615" w:rsidP="00785F7C">
      <w:pPr>
        <w:tabs>
          <w:tab w:val="clear" w:pos="1276"/>
          <w:tab w:val="left" w:pos="1400"/>
          <w:tab w:val="left" w:pos="1843"/>
          <w:tab w:val="left" w:pos="2977"/>
          <w:tab w:val="left" w:pos="4395"/>
        </w:tabs>
        <w:ind w:left="1843" w:hanging="425"/>
        <w:rPr>
          <w:b/>
          <w:lang w:val="fr-FR"/>
        </w:rPr>
      </w:pPr>
      <w:r w:rsidRPr="002C4615">
        <w:rPr>
          <w:lang w:val="fr-FR"/>
        </w:rPr>
        <w:t>–</w:t>
      </w:r>
      <w:r w:rsidRPr="002C4615">
        <w:rPr>
          <w:lang w:val="fr-FR"/>
        </w:rPr>
        <w:tab/>
        <w:t>qu’ils ne présentent pas les caractéristiques de danger indiquées en 2.1.3.5.3.</w:t>
      </w:r>
    </w:p>
    <w:p w14:paraId="4AEF68AF" w14:textId="77777777" w:rsidR="002C4615" w:rsidRPr="002C4615" w:rsidRDefault="002C4615" w:rsidP="00785F7C">
      <w:pPr>
        <w:tabs>
          <w:tab w:val="clear" w:pos="1276"/>
          <w:tab w:val="left" w:pos="1418"/>
          <w:tab w:val="left" w:pos="2977"/>
          <w:tab w:val="left" w:pos="4395"/>
        </w:tabs>
        <w:ind w:left="1418"/>
        <w:rPr>
          <w:lang w:val="fr-FR"/>
        </w:rPr>
      </w:pPr>
    </w:p>
    <w:p w14:paraId="7D271EFF" w14:textId="29C14D0B" w:rsidR="00020E85" w:rsidRPr="00785F7C" w:rsidRDefault="00020E85" w:rsidP="00785F7C">
      <w:pPr>
        <w:tabs>
          <w:tab w:val="clear" w:pos="1276"/>
          <w:tab w:val="left" w:pos="1418"/>
          <w:tab w:val="left" w:pos="2977"/>
          <w:tab w:val="left" w:pos="4395"/>
        </w:tabs>
        <w:ind w:left="1418"/>
        <w:rPr>
          <w:u w:val="single"/>
          <w:lang w:val="fr-FR"/>
        </w:rPr>
      </w:pPr>
      <w:r w:rsidRPr="00785F7C">
        <w:rPr>
          <w:u w:val="single"/>
          <w:lang w:val="fr-FR"/>
        </w:rPr>
        <w:t>Les articles usagés contenant des solutions ou mélanges susmentionnés, par exemple les transformateurs et les condensateurs, doivent toujours être classés sous la même rubrique de la classe 9, à condition :</w:t>
      </w:r>
    </w:p>
    <w:p w14:paraId="60DD2A8D" w14:textId="77777777" w:rsidR="00020E85" w:rsidRPr="00785F7C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  <w:lang w:val="fr-FR"/>
        </w:rPr>
      </w:pPr>
    </w:p>
    <w:p w14:paraId="1FB63E43" w14:textId="45D711A1" w:rsidR="00020E85" w:rsidRPr="00785F7C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  <w:lang w:val="fr-FR"/>
        </w:rPr>
      </w:pPr>
      <w:r w:rsidRPr="00785F7C">
        <w:rPr>
          <w:u w:val="single"/>
          <w:lang w:val="fr-FR"/>
        </w:rPr>
        <w:t>–</w:t>
      </w:r>
      <w:r w:rsidRPr="00785F7C">
        <w:rPr>
          <w:u w:val="single"/>
          <w:lang w:val="fr-FR"/>
        </w:rPr>
        <w:tab/>
        <w:t xml:space="preserve">qu’ils ne contiennent pas en outre de composants dangereux autres que des composants du groupe d’emballage III des classes 3, 4.1, 4.2, 4.3, 5.1, 6.1 ou 8 ou des </w:t>
      </w:r>
      <w:proofErr w:type="spellStart"/>
      <w:r w:rsidRPr="00785F7C">
        <w:rPr>
          <w:u w:val="single"/>
          <w:lang w:val="fr-FR"/>
        </w:rPr>
        <w:t>dibenzodioxines</w:t>
      </w:r>
      <w:proofErr w:type="spellEnd"/>
      <w:r w:rsidRPr="00785F7C">
        <w:rPr>
          <w:u w:val="single"/>
          <w:lang w:val="fr-FR"/>
        </w:rPr>
        <w:t xml:space="preserve"> et </w:t>
      </w:r>
      <w:r w:rsidR="00BA4980" w:rsidRPr="00785F7C">
        <w:rPr>
          <w:u w:val="single"/>
          <w:lang w:val="fr-FR"/>
        </w:rPr>
        <w:t>d</w:t>
      </w:r>
      <w:r w:rsidRPr="00785F7C">
        <w:rPr>
          <w:u w:val="single"/>
          <w:lang w:val="fr-FR"/>
        </w:rPr>
        <w:t xml:space="preserve">es </w:t>
      </w:r>
      <w:proofErr w:type="spellStart"/>
      <w:r w:rsidRPr="00785F7C">
        <w:rPr>
          <w:u w:val="single"/>
          <w:lang w:val="fr-FR"/>
        </w:rPr>
        <w:t>dibenzofuranes</w:t>
      </w:r>
      <w:proofErr w:type="spellEnd"/>
      <w:r w:rsidRPr="00785F7C">
        <w:rPr>
          <w:u w:val="single"/>
          <w:lang w:val="fr-FR"/>
        </w:rPr>
        <w:t xml:space="preserve"> </w:t>
      </w:r>
      <w:proofErr w:type="spellStart"/>
      <w:r w:rsidRPr="00785F7C">
        <w:rPr>
          <w:u w:val="single"/>
          <w:lang w:val="fr-FR"/>
        </w:rPr>
        <w:t>polyhalogénés</w:t>
      </w:r>
      <w:proofErr w:type="spellEnd"/>
      <w:r w:rsidRPr="00785F7C">
        <w:rPr>
          <w:u w:val="single"/>
          <w:lang w:val="fr-FR"/>
        </w:rPr>
        <w:t xml:space="preserve"> de la classe 6.1 ; et</w:t>
      </w:r>
    </w:p>
    <w:p w14:paraId="2D7F5E6B" w14:textId="77777777" w:rsidR="00020E85" w:rsidRPr="00785F7C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u w:val="single"/>
          <w:lang w:val="fr-FR"/>
        </w:rPr>
      </w:pPr>
    </w:p>
    <w:p w14:paraId="0A55ECB1" w14:textId="77777777" w:rsidR="00020E85" w:rsidRPr="00020E85" w:rsidRDefault="00020E85" w:rsidP="00020E85">
      <w:pPr>
        <w:tabs>
          <w:tab w:val="clear" w:pos="1276"/>
          <w:tab w:val="left" w:pos="1418"/>
          <w:tab w:val="left" w:pos="1843"/>
          <w:tab w:val="left" w:pos="2977"/>
          <w:tab w:val="left" w:pos="4395"/>
        </w:tabs>
        <w:ind w:left="1843" w:hanging="425"/>
        <w:rPr>
          <w:lang w:val="fr-CH"/>
        </w:rPr>
      </w:pPr>
      <w:r w:rsidRPr="00785F7C">
        <w:rPr>
          <w:u w:val="single"/>
          <w:lang w:val="fr-FR"/>
        </w:rPr>
        <w:t>–</w:t>
      </w:r>
      <w:r w:rsidRPr="00785F7C">
        <w:rPr>
          <w:u w:val="single"/>
          <w:lang w:val="fr-FR"/>
        </w:rPr>
        <w:tab/>
        <w:t>qu’ils ne présentent pas les caractéristiques de danger indiquées aux alinéas a) à g) et i) du paragraphe 2.1.3.5.3. ».</w:t>
      </w:r>
    </w:p>
    <w:p w14:paraId="1D65F029" w14:textId="77777777" w:rsidR="000C4D4E" w:rsidRPr="00020E85" w:rsidRDefault="000C4D4E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fr-FR"/>
        </w:rPr>
      </w:pPr>
    </w:p>
    <w:p w14:paraId="6ABB0EA9" w14:textId="77777777" w:rsidR="006E295F" w:rsidRPr="00582C42" w:rsidRDefault="006E295F" w:rsidP="006E295F">
      <w:pPr>
        <w:widowControl w:val="0"/>
        <w:jc w:val="center"/>
        <w:rPr>
          <w:lang w:val="en-GB"/>
        </w:rPr>
      </w:pPr>
      <w:r w:rsidRPr="00582C42">
        <w:rPr>
          <w:lang w:val="en-GB"/>
        </w:rPr>
        <w:t>_______</w:t>
      </w:r>
      <w:r w:rsidR="00D954B8" w:rsidRPr="00582C42">
        <w:rPr>
          <w:lang w:val="en-GB"/>
        </w:rPr>
        <w:t>___</w:t>
      </w:r>
    </w:p>
    <w:sectPr w:rsidR="006E295F" w:rsidRPr="00582C42" w:rsidSect="00F45AC5">
      <w:headerReference w:type="even" r:id="rId13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269E" w14:textId="77777777" w:rsidR="0051746D" w:rsidRDefault="0051746D">
      <w:r>
        <w:separator/>
      </w:r>
    </w:p>
  </w:endnote>
  <w:endnote w:type="continuationSeparator" w:id="0">
    <w:p w14:paraId="4230DA00" w14:textId="77777777" w:rsidR="0051746D" w:rsidRDefault="005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1455" w14:textId="77777777" w:rsidR="0051746D" w:rsidRDefault="00DE244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174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F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43FF21" w14:textId="77777777" w:rsidR="0051746D" w:rsidRDefault="005174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0626" w14:textId="77777777" w:rsidR="0051746D" w:rsidRDefault="00DE244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174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F7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31CD81" w14:textId="77777777" w:rsidR="0051746D" w:rsidRDefault="0051746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F1EE" w14:textId="77777777" w:rsidR="0051746D" w:rsidRPr="0047163B" w:rsidRDefault="00020E85" w:rsidP="00B21279">
    <w:pPr>
      <w:pStyle w:val="Footer"/>
      <w:jc w:val="center"/>
    </w:pPr>
    <w:r>
      <w:rPr>
        <w:noProof/>
      </w:rPr>
      <w:drawing>
        <wp:inline distT="0" distB="0" distL="0" distR="0" wp14:anchorId="4EA78253" wp14:editId="0B3F8498">
          <wp:extent cx="5985510" cy="190500"/>
          <wp:effectExtent l="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B0841" w14:textId="77777777" w:rsidR="0051746D" w:rsidRDefault="0051746D">
      <w:r>
        <w:separator/>
      </w:r>
    </w:p>
  </w:footnote>
  <w:footnote w:type="continuationSeparator" w:id="0">
    <w:p w14:paraId="00CBA275" w14:textId="77777777" w:rsidR="0051746D" w:rsidRDefault="005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EEEA" w14:textId="77777777" w:rsidR="0051746D" w:rsidRPr="00BE7CFB" w:rsidRDefault="0051746D">
    <w:pPr>
      <w:pStyle w:val="Header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1</w:t>
    </w:r>
    <w:r w:rsidRPr="00BE7CFB">
      <w:rPr>
        <w:b/>
        <w:sz w:val="18"/>
        <w:szCs w:val="18"/>
        <w:lang w:val="de-CH"/>
      </w:rPr>
      <w:t>/</w:t>
    </w:r>
    <w:r>
      <w:rPr>
        <w:b/>
        <w:sz w:val="18"/>
        <w:szCs w:val="18"/>
        <w:lang w:val="de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175B" w14:textId="699D0F3D" w:rsidR="0051746D" w:rsidRPr="00785F7C" w:rsidRDefault="002C4615" w:rsidP="00BE7CFB">
    <w:pPr>
      <w:pStyle w:val="Header"/>
      <w:jc w:val="right"/>
      <w:rPr>
        <w:b/>
        <w:sz w:val="18"/>
        <w:szCs w:val="18"/>
        <w:lang w:val="de-CH"/>
      </w:rPr>
    </w:pPr>
    <w:r w:rsidRPr="00785F7C">
      <w:rPr>
        <w:b/>
        <w:sz w:val="18"/>
        <w:szCs w:val="18"/>
        <w:lang w:val="de-CH"/>
      </w:rPr>
      <w:t>I</w:t>
    </w:r>
    <w:r w:rsidR="00197458">
      <w:rPr>
        <w:b/>
        <w:sz w:val="18"/>
        <w:szCs w:val="18"/>
        <w:lang w:val="de-CH"/>
      </w:rPr>
      <w:t>NF. 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BD73" w14:textId="77777777" w:rsidR="0051746D" w:rsidRPr="00B1002A" w:rsidRDefault="00020E85" w:rsidP="00B1002A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5FEB7" wp14:editId="7B498606">
          <wp:simplePos x="0" y="0"/>
          <wp:positionH relativeFrom="margin">
            <wp:align>center</wp:align>
          </wp:positionH>
          <wp:positionV relativeFrom="margin">
            <wp:posOffset>-72390</wp:posOffset>
          </wp:positionV>
          <wp:extent cx="6743700" cy="1152525"/>
          <wp:effectExtent l="0" t="0" r="0" b="0"/>
          <wp:wrapSquare wrapText="bothSides"/>
          <wp:docPr id="8" name="Picture 3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- Letter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CE33" w14:textId="11C3FC5B" w:rsidR="0051746D" w:rsidRPr="0051746D" w:rsidRDefault="0051746D">
    <w:pPr>
      <w:pStyle w:val="Header"/>
      <w:rPr>
        <w:b/>
        <w:sz w:val="18"/>
        <w:szCs w:val="18"/>
        <w:lang w:val="de-CH"/>
      </w:rPr>
    </w:pPr>
    <w:r w:rsidRPr="0051746D">
      <w:rPr>
        <w:b/>
        <w:sz w:val="18"/>
        <w:szCs w:val="18"/>
        <w:lang w:val="de-CH"/>
      </w:rPr>
      <w:t>I</w:t>
    </w:r>
    <w:r w:rsidR="00197458">
      <w:rPr>
        <w:b/>
        <w:sz w:val="18"/>
        <w:szCs w:val="18"/>
        <w:lang w:val="de-CH"/>
      </w:rPr>
      <w:t>NF.27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6077FF"/>
    <w:multiLevelType w:val="hybridMultilevel"/>
    <w:tmpl w:val="E9085A20"/>
    <w:lvl w:ilvl="0" w:tplc="0FA8F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9" w15:restartNumberingAfterBreak="0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B8"/>
    <w:rsid w:val="0000458D"/>
    <w:rsid w:val="00007CB1"/>
    <w:rsid w:val="00020E85"/>
    <w:rsid w:val="000372D1"/>
    <w:rsid w:val="0005681B"/>
    <w:rsid w:val="00057113"/>
    <w:rsid w:val="00060EB4"/>
    <w:rsid w:val="00067DDD"/>
    <w:rsid w:val="00071074"/>
    <w:rsid w:val="000778EF"/>
    <w:rsid w:val="000818D1"/>
    <w:rsid w:val="000851BF"/>
    <w:rsid w:val="00090DBA"/>
    <w:rsid w:val="0009374A"/>
    <w:rsid w:val="000A1577"/>
    <w:rsid w:val="000A59FB"/>
    <w:rsid w:val="000C4D4E"/>
    <w:rsid w:val="000C7870"/>
    <w:rsid w:val="000D2F81"/>
    <w:rsid w:val="000E1B8E"/>
    <w:rsid w:val="000E6F16"/>
    <w:rsid w:val="000F5E37"/>
    <w:rsid w:val="0010783E"/>
    <w:rsid w:val="001349A5"/>
    <w:rsid w:val="00151657"/>
    <w:rsid w:val="00181138"/>
    <w:rsid w:val="00184238"/>
    <w:rsid w:val="00197458"/>
    <w:rsid w:val="001A56B1"/>
    <w:rsid w:val="001B4EF9"/>
    <w:rsid w:val="001B69B3"/>
    <w:rsid w:val="001D4A3D"/>
    <w:rsid w:val="001D557A"/>
    <w:rsid w:val="001E2089"/>
    <w:rsid w:val="001E50D8"/>
    <w:rsid w:val="001F38D3"/>
    <w:rsid w:val="00221FC7"/>
    <w:rsid w:val="002236EC"/>
    <w:rsid w:val="00231BF1"/>
    <w:rsid w:val="00260D5E"/>
    <w:rsid w:val="00264271"/>
    <w:rsid w:val="002708C2"/>
    <w:rsid w:val="002B2562"/>
    <w:rsid w:val="002C2995"/>
    <w:rsid w:val="002C4615"/>
    <w:rsid w:val="002F6E0B"/>
    <w:rsid w:val="00324DA7"/>
    <w:rsid w:val="00331574"/>
    <w:rsid w:val="0033779C"/>
    <w:rsid w:val="0034430F"/>
    <w:rsid w:val="00361A9B"/>
    <w:rsid w:val="00382780"/>
    <w:rsid w:val="00382792"/>
    <w:rsid w:val="00385FA9"/>
    <w:rsid w:val="00392AB8"/>
    <w:rsid w:val="003A5B23"/>
    <w:rsid w:val="003E0433"/>
    <w:rsid w:val="003E17BC"/>
    <w:rsid w:val="00425D62"/>
    <w:rsid w:val="00436321"/>
    <w:rsid w:val="004426F0"/>
    <w:rsid w:val="00450C1B"/>
    <w:rsid w:val="00450E1C"/>
    <w:rsid w:val="004924B0"/>
    <w:rsid w:val="004A30C5"/>
    <w:rsid w:val="004A5450"/>
    <w:rsid w:val="004A678F"/>
    <w:rsid w:val="004A6F9A"/>
    <w:rsid w:val="004D0D73"/>
    <w:rsid w:val="004D69C0"/>
    <w:rsid w:val="00511A7F"/>
    <w:rsid w:val="0051746D"/>
    <w:rsid w:val="00517DC6"/>
    <w:rsid w:val="005264CE"/>
    <w:rsid w:val="005466F3"/>
    <w:rsid w:val="00546EFE"/>
    <w:rsid w:val="005545E2"/>
    <w:rsid w:val="00556C61"/>
    <w:rsid w:val="0055791E"/>
    <w:rsid w:val="00575910"/>
    <w:rsid w:val="00576A0E"/>
    <w:rsid w:val="00582C42"/>
    <w:rsid w:val="005B0125"/>
    <w:rsid w:val="005B3426"/>
    <w:rsid w:val="005B36E7"/>
    <w:rsid w:val="005B45B4"/>
    <w:rsid w:val="005B4827"/>
    <w:rsid w:val="005B79DA"/>
    <w:rsid w:val="005C3D54"/>
    <w:rsid w:val="005D18DA"/>
    <w:rsid w:val="005F4D3B"/>
    <w:rsid w:val="005F5F1D"/>
    <w:rsid w:val="00615497"/>
    <w:rsid w:val="006317B4"/>
    <w:rsid w:val="006335C0"/>
    <w:rsid w:val="00644673"/>
    <w:rsid w:val="00647E6B"/>
    <w:rsid w:val="00651C38"/>
    <w:rsid w:val="006767DD"/>
    <w:rsid w:val="006930B9"/>
    <w:rsid w:val="006979A2"/>
    <w:rsid w:val="006A07B9"/>
    <w:rsid w:val="006B37EC"/>
    <w:rsid w:val="006B7ADF"/>
    <w:rsid w:val="006C0871"/>
    <w:rsid w:val="006C3CC7"/>
    <w:rsid w:val="006D155D"/>
    <w:rsid w:val="006D4C8A"/>
    <w:rsid w:val="006E295F"/>
    <w:rsid w:val="006E2CA8"/>
    <w:rsid w:val="006E57A2"/>
    <w:rsid w:val="006F22F2"/>
    <w:rsid w:val="0070019B"/>
    <w:rsid w:val="00707A96"/>
    <w:rsid w:val="00716252"/>
    <w:rsid w:val="00732DAD"/>
    <w:rsid w:val="00746C3A"/>
    <w:rsid w:val="007508A3"/>
    <w:rsid w:val="00752CEC"/>
    <w:rsid w:val="00757DF7"/>
    <w:rsid w:val="0076721C"/>
    <w:rsid w:val="00785F7C"/>
    <w:rsid w:val="00787889"/>
    <w:rsid w:val="007A079F"/>
    <w:rsid w:val="007B6FA5"/>
    <w:rsid w:val="007C21EF"/>
    <w:rsid w:val="007C5926"/>
    <w:rsid w:val="00813A6C"/>
    <w:rsid w:val="00846FD7"/>
    <w:rsid w:val="00866BED"/>
    <w:rsid w:val="00891C16"/>
    <w:rsid w:val="008A0C50"/>
    <w:rsid w:val="008C7EC7"/>
    <w:rsid w:val="00903A86"/>
    <w:rsid w:val="0093239D"/>
    <w:rsid w:val="00965F37"/>
    <w:rsid w:val="00970B8D"/>
    <w:rsid w:val="00975734"/>
    <w:rsid w:val="00976DB9"/>
    <w:rsid w:val="00984039"/>
    <w:rsid w:val="009A058A"/>
    <w:rsid w:val="009A08AC"/>
    <w:rsid w:val="009A3430"/>
    <w:rsid w:val="009A68B3"/>
    <w:rsid w:val="009B642A"/>
    <w:rsid w:val="009E3563"/>
    <w:rsid w:val="009F1217"/>
    <w:rsid w:val="00A04933"/>
    <w:rsid w:val="00A059E4"/>
    <w:rsid w:val="00A06D6D"/>
    <w:rsid w:val="00A133AC"/>
    <w:rsid w:val="00A23D75"/>
    <w:rsid w:val="00A40696"/>
    <w:rsid w:val="00A54E69"/>
    <w:rsid w:val="00A74442"/>
    <w:rsid w:val="00A77B83"/>
    <w:rsid w:val="00A84CCB"/>
    <w:rsid w:val="00A8797F"/>
    <w:rsid w:val="00A92655"/>
    <w:rsid w:val="00AB26D5"/>
    <w:rsid w:val="00AB6B4B"/>
    <w:rsid w:val="00AC49F8"/>
    <w:rsid w:val="00AD107E"/>
    <w:rsid w:val="00B1002A"/>
    <w:rsid w:val="00B126ED"/>
    <w:rsid w:val="00B17522"/>
    <w:rsid w:val="00B21279"/>
    <w:rsid w:val="00B4268D"/>
    <w:rsid w:val="00B5411C"/>
    <w:rsid w:val="00B60FC6"/>
    <w:rsid w:val="00B63BC4"/>
    <w:rsid w:val="00B727BE"/>
    <w:rsid w:val="00B92E89"/>
    <w:rsid w:val="00BA4980"/>
    <w:rsid w:val="00BB6FCF"/>
    <w:rsid w:val="00BB78C8"/>
    <w:rsid w:val="00BE2EEA"/>
    <w:rsid w:val="00BE7CFB"/>
    <w:rsid w:val="00BF2574"/>
    <w:rsid w:val="00BF309D"/>
    <w:rsid w:val="00C04117"/>
    <w:rsid w:val="00C04A5E"/>
    <w:rsid w:val="00C07794"/>
    <w:rsid w:val="00C533FA"/>
    <w:rsid w:val="00C6226D"/>
    <w:rsid w:val="00C815F9"/>
    <w:rsid w:val="00C83F27"/>
    <w:rsid w:val="00CA5345"/>
    <w:rsid w:val="00CC7C44"/>
    <w:rsid w:val="00CD237D"/>
    <w:rsid w:val="00CD548D"/>
    <w:rsid w:val="00CF2396"/>
    <w:rsid w:val="00CF5F09"/>
    <w:rsid w:val="00D10932"/>
    <w:rsid w:val="00D139A6"/>
    <w:rsid w:val="00D16CFA"/>
    <w:rsid w:val="00D2447F"/>
    <w:rsid w:val="00D42830"/>
    <w:rsid w:val="00D517FD"/>
    <w:rsid w:val="00D551FD"/>
    <w:rsid w:val="00D62C81"/>
    <w:rsid w:val="00D76CD0"/>
    <w:rsid w:val="00D948D2"/>
    <w:rsid w:val="00D954B8"/>
    <w:rsid w:val="00D96435"/>
    <w:rsid w:val="00D97EA6"/>
    <w:rsid w:val="00DB0B1D"/>
    <w:rsid w:val="00DC3A2F"/>
    <w:rsid w:val="00DC4C56"/>
    <w:rsid w:val="00DD2698"/>
    <w:rsid w:val="00DE0A32"/>
    <w:rsid w:val="00DE2447"/>
    <w:rsid w:val="00DE2D92"/>
    <w:rsid w:val="00DE2DFB"/>
    <w:rsid w:val="00DE4620"/>
    <w:rsid w:val="00DE713D"/>
    <w:rsid w:val="00DF7270"/>
    <w:rsid w:val="00E57B7F"/>
    <w:rsid w:val="00E617F3"/>
    <w:rsid w:val="00E649C5"/>
    <w:rsid w:val="00E87A26"/>
    <w:rsid w:val="00E9092B"/>
    <w:rsid w:val="00E97EA3"/>
    <w:rsid w:val="00EA17E1"/>
    <w:rsid w:val="00EB4361"/>
    <w:rsid w:val="00EC6C73"/>
    <w:rsid w:val="00ED40CB"/>
    <w:rsid w:val="00EE168C"/>
    <w:rsid w:val="00F07648"/>
    <w:rsid w:val="00F30BA6"/>
    <w:rsid w:val="00F45AC5"/>
    <w:rsid w:val="00F508F0"/>
    <w:rsid w:val="00F64681"/>
    <w:rsid w:val="00F759A6"/>
    <w:rsid w:val="00F91F2B"/>
    <w:rsid w:val="00F942CD"/>
    <w:rsid w:val="00FB6BC5"/>
    <w:rsid w:val="00FC0CB8"/>
    <w:rsid w:val="00FE546E"/>
    <w:rsid w:val="00FE7647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DB046D"/>
  <w15:docId w15:val="{1EF2533F-BA3B-4368-AD77-8CCC1EA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  <w:lang w:val="fr-FR"/>
    </w:rPr>
  </w:style>
  <w:style w:type="paragraph" w:styleId="Header">
    <w:name w:val="header"/>
    <w:basedOn w:val="Normal"/>
    <w:link w:val="HeaderCh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PageNumber">
    <w:name w:val="page number"/>
    <w:basedOn w:val="DefaultParagraphFon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FootnoteReference">
    <w:name w:val="footnote reference"/>
    <w:aliases w:val="4_G,Footnote Reference/"/>
    <w:basedOn w:val="DefaultParagraphFon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Footer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basedOn w:val="DefaultParagraphFont"/>
    <w:uiPriority w:val="99"/>
    <w:semiHidden/>
    <w:rsid w:val="00D62C8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2C81"/>
    <w:rPr>
      <w:sz w:val="18"/>
    </w:rPr>
  </w:style>
  <w:style w:type="character" w:styleId="EndnoteReference">
    <w:name w:val="endnote reference"/>
    <w:basedOn w:val="DefaultParagraphFon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D62C81"/>
    <w:pPr>
      <w:ind w:left="4254" w:hanging="4254"/>
    </w:pPr>
    <w:rPr>
      <w:b/>
    </w:rPr>
  </w:style>
  <w:style w:type="paragraph" w:styleId="BodyTextIndent2">
    <w:name w:val="Body Text Indent 2"/>
    <w:basedOn w:val="Normal"/>
    <w:rsid w:val="00D62C81"/>
    <w:pPr>
      <w:ind w:left="8508" w:hanging="4254"/>
    </w:pPr>
    <w:rPr>
      <w:b/>
    </w:rPr>
  </w:style>
  <w:style w:type="paragraph" w:styleId="BodyTextIndent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Bullet">
    <w:name w:val="List Bullet"/>
    <w:basedOn w:val="Normal"/>
    <w:autoRedefine/>
    <w:rsid w:val="00D62C81"/>
    <w:pPr>
      <w:numPr>
        <w:numId w:val="4"/>
      </w:numPr>
    </w:pPr>
  </w:style>
  <w:style w:type="paragraph" w:styleId="BodyText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BalloonText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ooter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DF"/>
    <w:rPr>
      <w:rFonts w:ascii="Arial" w:hAnsi="Arial"/>
      <w:color w:val="000000"/>
      <w:sz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D6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06D6D"/>
    <w:rPr>
      <w:rFonts w:ascii="Arial" w:hAnsi="Arial"/>
      <w:b/>
      <w:b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Deutschland</vt:lpstr>
      <vt:lpstr>Deutschland</vt:lpstr>
    </vt:vector>
  </TitlesOfParts>
  <Company>OTIF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</dc:title>
  <dc:subject>Neue Ausgabe der Norm ISO 9001</dc:subject>
  <dc:creator>Jochen Conrad</dc:creator>
  <cp:lastModifiedBy>Christine Barrio-Champeau</cp:lastModifiedBy>
  <cp:revision>3</cp:revision>
  <cp:lastPrinted>2004-12-07T12:51:00Z</cp:lastPrinted>
  <dcterms:created xsi:type="dcterms:W3CDTF">2018-09-18T06:11:00Z</dcterms:created>
  <dcterms:modified xsi:type="dcterms:W3CDTF">2018-09-18T06:13:00Z</dcterms:modified>
</cp:coreProperties>
</file>