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51C74">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51C74" w:rsidP="00151C74">
            <w:pPr>
              <w:jc w:val="right"/>
            </w:pPr>
            <w:r w:rsidRPr="00151C74">
              <w:rPr>
                <w:sz w:val="40"/>
              </w:rPr>
              <w:t>ECE</w:t>
            </w:r>
            <w:r>
              <w:t>/TRANS/WP.15/AC.1/150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51C74" w:rsidP="00C97039">
            <w:pPr>
              <w:spacing w:before="240"/>
            </w:pPr>
            <w:proofErr w:type="spellStart"/>
            <w:r>
              <w:t>Distr</w:t>
            </w:r>
            <w:proofErr w:type="spellEnd"/>
            <w:r>
              <w:t>. générale</w:t>
            </w:r>
          </w:p>
          <w:p w:rsidR="00151C74" w:rsidRDefault="00151C74" w:rsidP="00151C74">
            <w:pPr>
              <w:spacing w:line="240" w:lineRule="exact"/>
            </w:pPr>
            <w:r>
              <w:t>10 avril 2018</w:t>
            </w:r>
          </w:p>
          <w:p w:rsidR="00151C74" w:rsidRDefault="00151C74" w:rsidP="00151C74">
            <w:pPr>
              <w:spacing w:line="240" w:lineRule="exact"/>
            </w:pPr>
            <w:r>
              <w:t>Français</w:t>
            </w:r>
          </w:p>
          <w:p w:rsidR="00151C74" w:rsidRPr="00DB58B5" w:rsidRDefault="00151C74" w:rsidP="00151C74">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8B6F84">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AB1ED9" w:rsidRPr="009E01B8" w:rsidRDefault="00AB1ED9" w:rsidP="00AF0CB5">
      <w:pPr>
        <w:spacing w:before="120"/>
        <w:rPr>
          <w:b/>
          <w:sz w:val="24"/>
          <w:szCs w:val="24"/>
        </w:rPr>
      </w:pPr>
      <w:r w:rsidRPr="009E01B8">
        <w:rPr>
          <w:b/>
          <w:sz w:val="24"/>
          <w:szCs w:val="24"/>
        </w:rPr>
        <w:t>Groupe de travail des transports de marchandises dangereuses</w:t>
      </w:r>
    </w:p>
    <w:p w:rsidR="00AB1ED9" w:rsidRPr="00926E87" w:rsidRDefault="00AB1ED9" w:rsidP="00AF0CB5">
      <w:pPr>
        <w:spacing w:before="120"/>
        <w:rPr>
          <w:b/>
        </w:rPr>
      </w:pPr>
      <w:r w:rsidRPr="00926E87">
        <w:rPr>
          <w:b/>
        </w:rPr>
        <w:t>Réunion commune de la Commission d</w:t>
      </w:r>
      <w:r w:rsidR="008B6F84">
        <w:rPr>
          <w:b/>
        </w:rPr>
        <w:t>’</w:t>
      </w:r>
      <w:r w:rsidRPr="00926E87">
        <w:rPr>
          <w:b/>
        </w:rPr>
        <w:t>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rsidR="00AB1ED9" w:rsidRPr="00F001B0" w:rsidRDefault="00AB1ED9" w:rsidP="00AB1ED9">
      <w:pPr>
        <w:pStyle w:val="HChG"/>
        <w:rPr>
          <w:lang w:val="fr-FR"/>
        </w:rPr>
      </w:pPr>
      <w:r w:rsidRPr="00F001B0">
        <w:rPr>
          <w:lang w:val="fr-FR"/>
        </w:rPr>
        <w:tab/>
      </w:r>
      <w:r w:rsidRPr="00F001B0">
        <w:rPr>
          <w:lang w:val="fr-FR"/>
        </w:rPr>
        <w:tab/>
      </w:r>
      <w:r w:rsidRPr="003A74E6">
        <w:rPr>
          <w:spacing w:val="-3"/>
          <w:lang w:val="fr-FR"/>
        </w:rPr>
        <w:t>Rapport de la Réunion commune de la Commission d</w:t>
      </w:r>
      <w:r w:rsidR="008B6F84">
        <w:rPr>
          <w:spacing w:val="-3"/>
          <w:lang w:val="fr-FR"/>
        </w:rPr>
        <w:t>’</w:t>
      </w:r>
      <w:r w:rsidRPr="003A74E6">
        <w:rPr>
          <w:spacing w:val="-3"/>
          <w:lang w:val="fr-FR"/>
        </w:rPr>
        <w:t>experts</w:t>
      </w:r>
      <w:r w:rsidRPr="00F001B0">
        <w:rPr>
          <w:lang w:val="fr-FR"/>
        </w:rPr>
        <w:t xml:space="preserve"> </w:t>
      </w:r>
      <w:r w:rsidRPr="003A74E6">
        <w:rPr>
          <w:spacing w:val="-4"/>
          <w:lang w:val="fr-FR"/>
        </w:rPr>
        <w:t xml:space="preserve">du RID et </w:t>
      </w:r>
      <w:r w:rsidRPr="003A74E6">
        <w:rPr>
          <w:spacing w:val="-4"/>
        </w:rPr>
        <w:t>du</w:t>
      </w:r>
      <w:r w:rsidRPr="003A74E6">
        <w:rPr>
          <w:spacing w:val="-4"/>
          <w:lang w:val="fr-FR"/>
        </w:rPr>
        <w:t xml:space="preserve"> Groupe de travail des transports de marchandises</w:t>
      </w:r>
      <w:r w:rsidRPr="00F001B0">
        <w:rPr>
          <w:lang w:val="fr-FR"/>
        </w:rPr>
        <w:t xml:space="preserve"> dangereuses sur sa session de printemps 2018</w:t>
      </w:r>
      <w:r w:rsidR="009806DB" w:rsidRPr="009806DB">
        <w:rPr>
          <w:rStyle w:val="FootnoteReference"/>
          <w:b w:val="0"/>
          <w:sz w:val="20"/>
          <w:vertAlign w:val="baseline"/>
        </w:rPr>
        <w:footnoteReference w:customMarkFollows="1" w:id="2"/>
        <w:t>*</w:t>
      </w:r>
    </w:p>
    <w:p w:rsidR="00F9573C" w:rsidRDefault="00AB1ED9" w:rsidP="0018313D">
      <w:pPr>
        <w:pStyle w:val="H56G"/>
        <w:spacing w:after="240"/>
        <w:rPr>
          <w:lang w:val="fr-FR"/>
        </w:rPr>
      </w:pPr>
      <w:r w:rsidRPr="00F001B0">
        <w:rPr>
          <w:lang w:val="fr-FR"/>
        </w:rPr>
        <w:tab/>
      </w:r>
      <w:r w:rsidRPr="00F001B0">
        <w:rPr>
          <w:lang w:val="fr-FR"/>
        </w:rPr>
        <w:tab/>
      </w:r>
      <w:r w:rsidR="00D21940">
        <w:rPr>
          <w:lang w:val="fr-FR"/>
        </w:rPr>
        <w:t>T</w:t>
      </w:r>
      <w:r w:rsidRPr="00F001B0">
        <w:rPr>
          <w:lang w:val="fr-FR"/>
        </w:rPr>
        <w:t>enue à Berne du 12 au 16 mars 2018</w:t>
      </w:r>
    </w:p>
    <w:p w:rsidR="00D21940" w:rsidRPr="00D21940" w:rsidRDefault="00D21940" w:rsidP="00D21940">
      <w:pPr>
        <w:spacing w:after="120"/>
        <w:rPr>
          <w:sz w:val="28"/>
        </w:rPr>
      </w:pPr>
      <w:r w:rsidRPr="00D21940">
        <w:rPr>
          <w:sz w:val="28"/>
        </w:rPr>
        <w:t>Table des matières</w:t>
      </w:r>
    </w:p>
    <w:p w:rsidR="00D21940" w:rsidRPr="00D21940" w:rsidRDefault="00D21940" w:rsidP="00D21940">
      <w:pPr>
        <w:tabs>
          <w:tab w:val="right" w:pos="8929"/>
          <w:tab w:val="right" w:pos="9638"/>
        </w:tabs>
        <w:spacing w:after="120"/>
        <w:ind w:left="283"/>
        <w:rPr>
          <w:i/>
          <w:sz w:val="18"/>
        </w:rPr>
      </w:pPr>
      <w:r w:rsidRPr="00D21940">
        <w:rPr>
          <w:i/>
          <w:sz w:val="18"/>
        </w:rPr>
        <w:tab/>
        <w:t>Paragraphes</w:t>
      </w:r>
      <w:r w:rsidRPr="00D21940">
        <w:rPr>
          <w:i/>
          <w:sz w:val="18"/>
        </w:rPr>
        <w:tab/>
        <w:t>Page</w:t>
      </w:r>
    </w:p>
    <w:p w:rsidR="00D21940" w:rsidRDefault="00D21940" w:rsidP="00D21940">
      <w:pPr>
        <w:tabs>
          <w:tab w:val="right" w:pos="850"/>
          <w:tab w:val="right" w:leader="dot" w:pos="7654"/>
          <w:tab w:val="right" w:pos="8929"/>
          <w:tab w:val="right" w:pos="9638"/>
        </w:tabs>
        <w:spacing w:after="120"/>
        <w:ind w:left="1134" w:hanging="1134"/>
      </w:pPr>
      <w:r>
        <w:tab/>
        <w:t>I.</w:t>
      </w:r>
      <w:r>
        <w:tab/>
      </w:r>
      <w:r w:rsidR="00E52B4E" w:rsidRPr="005912D6">
        <w:t>Participation</w:t>
      </w:r>
      <w:r>
        <w:tab/>
      </w:r>
      <w:r>
        <w:tab/>
      </w:r>
      <w:r w:rsidR="00E52B4E">
        <w:t>1−3</w:t>
      </w:r>
      <w:r>
        <w:tab/>
      </w:r>
      <w:r w:rsidR="00931B42">
        <w:t>4</w:t>
      </w:r>
    </w:p>
    <w:p w:rsidR="0018313D" w:rsidRDefault="0018313D" w:rsidP="00D21940">
      <w:pPr>
        <w:tabs>
          <w:tab w:val="right" w:pos="850"/>
          <w:tab w:val="right" w:leader="dot" w:pos="7654"/>
          <w:tab w:val="right" w:pos="8929"/>
          <w:tab w:val="right" w:pos="9638"/>
        </w:tabs>
        <w:spacing w:after="120"/>
        <w:ind w:left="1134" w:hanging="1134"/>
      </w:pPr>
      <w:r>
        <w:tab/>
        <w:t>II.</w:t>
      </w:r>
      <w:r>
        <w:tab/>
      </w:r>
      <w:r w:rsidR="006A143E" w:rsidRPr="00F001B0">
        <w:rPr>
          <w:lang w:val="fr-FR"/>
        </w:rPr>
        <w:t>Adoption de l</w:t>
      </w:r>
      <w:r w:rsidR="008B6F84">
        <w:rPr>
          <w:lang w:val="fr-FR"/>
        </w:rPr>
        <w:t>’</w:t>
      </w:r>
      <w:r w:rsidR="006A143E" w:rsidRPr="00F001B0">
        <w:rPr>
          <w:lang w:val="fr-FR"/>
        </w:rPr>
        <w:t>ordre du jour (point 1 de l</w:t>
      </w:r>
      <w:r w:rsidR="008B6F84">
        <w:rPr>
          <w:lang w:val="fr-FR"/>
        </w:rPr>
        <w:t>’</w:t>
      </w:r>
      <w:r w:rsidR="006A143E" w:rsidRPr="00F001B0">
        <w:rPr>
          <w:lang w:val="fr-FR"/>
        </w:rPr>
        <w:t>ordre du jour)</w:t>
      </w:r>
      <w:r>
        <w:tab/>
      </w:r>
      <w:r>
        <w:tab/>
      </w:r>
      <w:r w:rsidR="00E52B4E">
        <w:t>4</w:t>
      </w:r>
      <w:r>
        <w:tab/>
      </w:r>
      <w:r w:rsidR="00931B42">
        <w:t>4</w:t>
      </w:r>
    </w:p>
    <w:p w:rsidR="0018313D" w:rsidRDefault="0018313D" w:rsidP="0018313D">
      <w:pPr>
        <w:tabs>
          <w:tab w:val="right" w:pos="850"/>
          <w:tab w:val="right" w:leader="dot" w:pos="7654"/>
          <w:tab w:val="right" w:pos="8929"/>
          <w:tab w:val="right" w:pos="9638"/>
        </w:tabs>
        <w:spacing w:after="120"/>
        <w:ind w:left="1134" w:hanging="1134"/>
      </w:pPr>
      <w:r>
        <w:tab/>
        <w:t>III.</w:t>
      </w:r>
      <w:r>
        <w:tab/>
      </w:r>
      <w:r w:rsidR="006A143E" w:rsidRPr="00F001B0">
        <w:rPr>
          <w:lang w:val="fr-FR"/>
        </w:rPr>
        <w:t>Citernes (point 2 de l</w:t>
      </w:r>
      <w:r w:rsidR="008B6F84">
        <w:rPr>
          <w:lang w:val="fr-FR"/>
        </w:rPr>
        <w:t>’</w:t>
      </w:r>
      <w:r w:rsidR="006A143E" w:rsidRPr="00F001B0">
        <w:rPr>
          <w:lang w:val="fr-FR"/>
        </w:rPr>
        <w:t>ordre du jour)</w:t>
      </w:r>
      <w:r>
        <w:tab/>
      </w:r>
      <w:r>
        <w:tab/>
      </w:r>
      <w:r w:rsidR="00E52B4E">
        <w:t>5−7</w:t>
      </w:r>
      <w:r>
        <w:tab/>
      </w:r>
      <w:r w:rsidR="00931B42">
        <w:t>4</w:t>
      </w:r>
    </w:p>
    <w:p w:rsidR="0018313D" w:rsidRDefault="0018313D" w:rsidP="0018313D">
      <w:pPr>
        <w:tabs>
          <w:tab w:val="right" w:pos="850"/>
          <w:tab w:val="right" w:leader="dot" w:pos="7654"/>
          <w:tab w:val="right" w:pos="8929"/>
          <w:tab w:val="right" w:pos="9638"/>
        </w:tabs>
        <w:spacing w:after="120"/>
        <w:ind w:left="1134" w:hanging="1134"/>
      </w:pPr>
      <w:r>
        <w:tab/>
        <w:t>IV.</w:t>
      </w:r>
      <w:r>
        <w:tab/>
      </w:r>
      <w:r w:rsidR="006A143E" w:rsidRPr="00F001B0">
        <w:rPr>
          <w:lang w:val="fr-FR"/>
        </w:rPr>
        <w:t>Normes (point 3 de l</w:t>
      </w:r>
      <w:r w:rsidR="008B6F84">
        <w:rPr>
          <w:lang w:val="fr-FR"/>
        </w:rPr>
        <w:t>’</w:t>
      </w:r>
      <w:r w:rsidR="006A143E" w:rsidRPr="00F001B0">
        <w:rPr>
          <w:lang w:val="fr-FR"/>
        </w:rPr>
        <w:t>ordre du jour)</w:t>
      </w:r>
      <w:r>
        <w:tab/>
      </w:r>
      <w:r>
        <w:tab/>
      </w:r>
      <w:r w:rsidR="00E52B4E">
        <w:t>8−11</w:t>
      </w:r>
      <w:r>
        <w:tab/>
      </w:r>
      <w:r w:rsidR="00931B42">
        <w:t>5</w:t>
      </w:r>
    </w:p>
    <w:p w:rsidR="0018313D" w:rsidRDefault="0018313D" w:rsidP="0018313D">
      <w:pPr>
        <w:tabs>
          <w:tab w:val="right" w:pos="850"/>
          <w:tab w:val="right" w:leader="dot" w:pos="7654"/>
          <w:tab w:val="right" w:pos="8929"/>
          <w:tab w:val="right" w:pos="9638"/>
        </w:tabs>
        <w:spacing w:after="120"/>
        <w:ind w:left="1134" w:hanging="1134"/>
      </w:pPr>
      <w:r>
        <w:tab/>
        <w:t>V.</w:t>
      </w:r>
      <w:r>
        <w:tab/>
      </w:r>
      <w:r w:rsidR="006A143E" w:rsidRPr="00F001B0">
        <w:rPr>
          <w:lang w:val="fr-FR"/>
        </w:rPr>
        <w:t>Interprétation du RID/ADR/ADN (point 4 de l</w:t>
      </w:r>
      <w:r w:rsidR="008B6F84">
        <w:rPr>
          <w:lang w:val="fr-FR"/>
        </w:rPr>
        <w:t>’</w:t>
      </w:r>
      <w:r w:rsidR="006A143E" w:rsidRPr="00F001B0">
        <w:rPr>
          <w:lang w:val="fr-FR"/>
        </w:rPr>
        <w:t>ordre du jour)</w:t>
      </w:r>
      <w:r>
        <w:tab/>
      </w:r>
      <w:r>
        <w:tab/>
      </w:r>
      <w:r w:rsidR="00E52B4E">
        <w:t>12−17</w:t>
      </w:r>
      <w:r>
        <w:tab/>
      </w:r>
      <w:r w:rsidR="00931B42">
        <w:t>6</w:t>
      </w:r>
    </w:p>
    <w:p w:rsidR="00D21940" w:rsidRDefault="00D21940" w:rsidP="00D21940">
      <w:pPr>
        <w:tabs>
          <w:tab w:val="right" w:leader="dot" w:pos="7654"/>
          <w:tab w:val="right" w:pos="8929"/>
          <w:tab w:val="right" w:pos="9638"/>
        </w:tabs>
        <w:spacing w:after="120"/>
        <w:ind w:left="1559" w:hanging="425"/>
      </w:pPr>
      <w:r>
        <w:t>A.</w:t>
      </w:r>
      <w:r>
        <w:tab/>
      </w:r>
      <w:r w:rsidR="006A143E" w:rsidRPr="00F001B0">
        <w:rPr>
          <w:lang w:val="fr-FR"/>
        </w:rPr>
        <w:t>Application de la disposition spéciale CW24/CV24</w:t>
      </w:r>
      <w:r>
        <w:tab/>
      </w:r>
      <w:r>
        <w:tab/>
      </w:r>
      <w:r w:rsidR="00E52B4E">
        <w:t>12−14</w:t>
      </w:r>
      <w:r>
        <w:tab/>
      </w:r>
      <w:r w:rsidR="003C1B99">
        <w:t>6</w:t>
      </w:r>
    </w:p>
    <w:p w:rsidR="0018313D" w:rsidRDefault="0018313D" w:rsidP="00D21940">
      <w:pPr>
        <w:tabs>
          <w:tab w:val="right" w:leader="dot" w:pos="7654"/>
          <w:tab w:val="right" w:pos="8929"/>
          <w:tab w:val="right" w:pos="9638"/>
        </w:tabs>
        <w:spacing w:after="120"/>
        <w:ind w:left="1559" w:hanging="425"/>
      </w:pPr>
      <w:r>
        <w:t>B.</w:t>
      </w:r>
      <w:r>
        <w:tab/>
      </w:r>
      <w:r w:rsidR="006A143E" w:rsidRPr="00F001B0">
        <w:rPr>
          <w:lang w:val="fr-FR"/>
        </w:rPr>
        <w:t>Utilisation d</w:t>
      </w:r>
      <w:r w:rsidR="008B6F84">
        <w:rPr>
          <w:lang w:val="fr-FR"/>
        </w:rPr>
        <w:t>’</w:t>
      </w:r>
      <w:r w:rsidR="006A143E" w:rsidRPr="00F001B0">
        <w:rPr>
          <w:lang w:val="fr-FR"/>
        </w:rPr>
        <w:t>emballages usagés pour le transport de marchandises dangereuses</w:t>
      </w:r>
      <w:r>
        <w:tab/>
      </w:r>
      <w:r w:rsidR="00E52B4E">
        <w:t>15</w:t>
      </w:r>
      <w:r>
        <w:tab/>
      </w:r>
      <w:r w:rsidR="003C1B99">
        <w:t>6</w:t>
      </w:r>
    </w:p>
    <w:p w:rsidR="0018313D" w:rsidRDefault="0018313D" w:rsidP="00D21940">
      <w:pPr>
        <w:tabs>
          <w:tab w:val="right" w:leader="dot" w:pos="7654"/>
          <w:tab w:val="right" w:pos="8929"/>
          <w:tab w:val="right" w:pos="9638"/>
        </w:tabs>
        <w:spacing w:after="120"/>
        <w:ind w:left="1559" w:hanging="425"/>
      </w:pPr>
      <w:r>
        <w:t>C.</w:t>
      </w:r>
      <w:r>
        <w:tab/>
      </w:r>
      <w:r w:rsidR="006A143E" w:rsidRPr="00F001B0">
        <w:rPr>
          <w:lang w:val="fr-FR"/>
        </w:rPr>
        <w:t>Divergences et ajouts aux étiquettes de dangers et plaques-étiquettes</w:t>
      </w:r>
      <w:r>
        <w:tab/>
      </w:r>
      <w:r>
        <w:tab/>
      </w:r>
      <w:r w:rsidR="00E52B4E">
        <w:t>16−17</w:t>
      </w:r>
      <w:r>
        <w:tab/>
      </w:r>
      <w:r w:rsidR="003C1B99">
        <w:t>7</w:t>
      </w:r>
    </w:p>
    <w:p w:rsidR="00485C29" w:rsidRDefault="00485C29" w:rsidP="00485C29">
      <w:pPr>
        <w:tabs>
          <w:tab w:val="right" w:pos="850"/>
          <w:tab w:val="right" w:leader="dot" w:pos="7654"/>
          <w:tab w:val="right" w:pos="8929"/>
          <w:tab w:val="right" w:pos="9638"/>
        </w:tabs>
        <w:spacing w:after="120"/>
        <w:ind w:left="1134" w:hanging="1134"/>
      </w:pPr>
      <w:r>
        <w:tab/>
        <w:t>VI.</w:t>
      </w:r>
      <w:r>
        <w:tab/>
      </w:r>
      <w:r w:rsidR="006A143E" w:rsidRPr="00F001B0">
        <w:rPr>
          <w:lang w:val="fr-FR"/>
        </w:rPr>
        <w:t>Propositions d</w:t>
      </w:r>
      <w:r w:rsidR="008B6F84">
        <w:rPr>
          <w:lang w:val="fr-FR"/>
        </w:rPr>
        <w:t>’</w:t>
      </w:r>
      <w:r w:rsidR="006A143E" w:rsidRPr="00F001B0">
        <w:rPr>
          <w:lang w:val="fr-FR"/>
        </w:rPr>
        <w:t>amendements au RID/ADR/ADN (point 5 de l</w:t>
      </w:r>
      <w:r w:rsidR="008B6F84">
        <w:rPr>
          <w:lang w:val="fr-FR"/>
        </w:rPr>
        <w:t>’</w:t>
      </w:r>
      <w:r w:rsidR="006A143E" w:rsidRPr="00F001B0">
        <w:rPr>
          <w:lang w:val="fr-FR"/>
        </w:rPr>
        <w:t>ordre du jour)</w:t>
      </w:r>
      <w:r>
        <w:tab/>
      </w:r>
      <w:r>
        <w:tab/>
      </w:r>
      <w:r w:rsidR="00E52B4E">
        <w:t>18−54</w:t>
      </w:r>
      <w:r>
        <w:tab/>
      </w:r>
      <w:r w:rsidR="003C1B99">
        <w:t>7</w:t>
      </w:r>
    </w:p>
    <w:p w:rsidR="00485C29" w:rsidRDefault="00485C29" w:rsidP="00485C29">
      <w:pPr>
        <w:tabs>
          <w:tab w:val="right" w:leader="dot" w:pos="7654"/>
          <w:tab w:val="right" w:pos="8929"/>
          <w:tab w:val="right" w:pos="9638"/>
        </w:tabs>
        <w:spacing w:after="120"/>
        <w:ind w:left="1559" w:hanging="425"/>
      </w:pPr>
      <w:r>
        <w:t>A.</w:t>
      </w:r>
      <w:r>
        <w:tab/>
      </w:r>
      <w:r w:rsidR="00F7705A" w:rsidRPr="00F001B0">
        <w:rPr>
          <w:lang w:val="fr-FR"/>
        </w:rPr>
        <w:t>Questions en suspens</w:t>
      </w:r>
      <w:r>
        <w:tab/>
      </w:r>
      <w:r>
        <w:tab/>
      </w:r>
      <w:r w:rsidR="00E52B4E">
        <w:t>18−22</w:t>
      </w:r>
      <w:r>
        <w:tab/>
      </w:r>
      <w:r w:rsidR="003C1B99">
        <w:t>7</w:t>
      </w:r>
    </w:p>
    <w:p w:rsidR="00D21940" w:rsidRDefault="00D21940" w:rsidP="00D21940">
      <w:pPr>
        <w:tabs>
          <w:tab w:val="right" w:leader="dot" w:pos="7654"/>
          <w:tab w:val="right" w:pos="8929"/>
          <w:tab w:val="right" w:pos="9638"/>
        </w:tabs>
        <w:spacing w:after="120"/>
        <w:ind w:left="1984" w:hanging="425"/>
      </w:pPr>
      <w:r>
        <w:t>1.</w:t>
      </w:r>
      <w:r>
        <w:tab/>
      </w:r>
      <w:r w:rsidR="00F7705A" w:rsidRPr="00F001B0">
        <w:rPr>
          <w:lang w:val="fr-FR"/>
        </w:rPr>
        <w:t xml:space="preserve">Dispositions supplémentaires pour les marchandises </w:t>
      </w:r>
      <w:r w:rsidR="00F7705A">
        <w:rPr>
          <w:lang w:val="fr-FR"/>
        </w:rPr>
        <w:br/>
      </w:r>
      <w:r w:rsidR="00F7705A" w:rsidRPr="00F001B0">
        <w:rPr>
          <w:lang w:val="fr-FR"/>
        </w:rPr>
        <w:t>de la classe 1 (5.2.1.5) : Langues à utiliser pour les marques</w:t>
      </w:r>
      <w:r>
        <w:tab/>
      </w:r>
      <w:r>
        <w:tab/>
      </w:r>
      <w:r w:rsidR="00DD1314">
        <w:t>18</w:t>
      </w:r>
      <w:r>
        <w:tab/>
      </w:r>
      <w:r w:rsidR="00931B42">
        <w:t>7</w:t>
      </w:r>
    </w:p>
    <w:p w:rsidR="00485C29" w:rsidRDefault="00485C29" w:rsidP="00D21940">
      <w:pPr>
        <w:tabs>
          <w:tab w:val="right" w:leader="dot" w:pos="7654"/>
          <w:tab w:val="right" w:pos="8929"/>
          <w:tab w:val="right" w:pos="9638"/>
        </w:tabs>
        <w:spacing w:after="120"/>
        <w:ind w:left="1984" w:hanging="425"/>
      </w:pPr>
      <w:r>
        <w:t>2.</w:t>
      </w:r>
      <w:r>
        <w:tab/>
      </w:r>
      <w:r w:rsidR="00F7705A" w:rsidRPr="00F001B0">
        <w:rPr>
          <w:lang w:val="fr-FR"/>
        </w:rPr>
        <w:t>Amendement au 1.1.3.6.3</w:t>
      </w:r>
      <w:r>
        <w:tab/>
      </w:r>
      <w:r>
        <w:tab/>
      </w:r>
      <w:r w:rsidR="00F7705A">
        <w:t>19</w:t>
      </w:r>
      <w:r>
        <w:tab/>
      </w:r>
      <w:r w:rsidR="00931B42">
        <w:t>7</w:t>
      </w:r>
    </w:p>
    <w:p w:rsidR="00485C29" w:rsidRDefault="00485C29" w:rsidP="00D21940">
      <w:pPr>
        <w:tabs>
          <w:tab w:val="right" w:leader="dot" w:pos="7654"/>
          <w:tab w:val="right" w:pos="8929"/>
          <w:tab w:val="right" w:pos="9638"/>
        </w:tabs>
        <w:spacing w:after="120"/>
        <w:ind w:left="1984" w:hanging="425"/>
      </w:pPr>
      <w:r>
        <w:t>3.</w:t>
      </w:r>
      <w:r>
        <w:tab/>
      </w:r>
      <w:r w:rsidR="00F7705A" w:rsidRPr="00F001B0">
        <w:rPr>
          <w:lang w:val="fr-FR"/>
        </w:rPr>
        <w:t xml:space="preserve">Amendements au RID/ADR/ADN pour </w:t>
      </w:r>
      <w:proofErr w:type="spellStart"/>
      <w:r w:rsidR="00F7705A" w:rsidRPr="00F001B0">
        <w:rPr>
          <w:lang w:val="fr-FR"/>
        </w:rPr>
        <w:t>entrée</w:t>
      </w:r>
      <w:proofErr w:type="spellEnd"/>
      <w:r w:rsidR="00F7705A" w:rsidRPr="00F001B0">
        <w:rPr>
          <w:lang w:val="fr-FR"/>
        </w:rPr>
        <w:t xml:space="preserve"> en vigueur</w:t>
      </w:r>
      <w:r w:rsidR="00F7705A">
        <w:rPr>
          <w:lang w:val="fr-FR"/>
        </w:rPr>
        <w:br/>
      </w:r>
      <w:r w:rsidR="00F7705A" w:rsidRPr="00F001B0">
        <w:rPr>
          <w:lang w:val="fr-FR"/>
        </w:rPr>
        <w:t>le 1</w:t>
      </w:r>
      <w:r w:rsidR="00F7705A" w:rsidRPr="00F001B0">
        <w:rPr>
          <w:vertAlign w:val="superscript"/>
          <w:lang w:val="fr-FR"/>
        </w:rPr>
        <w:t>er</w:t>
      </w:r>
      <w:r w:rsidR="00F7705A" w:rsidRPr="00F001B0">
        <w:rPr>
          <w:lang w:val="fr-FR"/>
        </w:rPr>
        <w:t xml:space="preserve"> janvier 2019</w:t>
      </w:r>
      <w:r>
        <w:tab/>
      </w:r>
      <w:r>
        <w:tab/>
      </w:r>
      <w:r w:rsidR="00F7705A">
        <w:t>20</w:t>
      </w:r>
      <w:r>
        <w:tab/>
      </w:r>
      <w:r w:rsidR="00931B42">
        <w:t>7</w:t>
      </w:r>
    </w:p>
    <w:p w:rsidR="00485C29" w:rsidRDefault="00485C29" w:rsidP="00D21940">
      <w:pPr>
        <w:tabs>
          <w:tab w:val="right" w:leader="dot" w:pos="7654"/>
          <w:tab w:val="right" w:pos="8929"/>
          <w:tab w:val="right" w:pos="9638"/>
        </w:tabs>
        <w:spacing w:after="120"/>
        <w:ind w:left="1984" w:hanging="425"/>
      </w:pPr>
      <w:r>
        <w:lastRenderedPageBreak/>
        <w:t>4.</w:t>
      </w:r>
      <w:r>
        <w:tab/>
      </w:r>
      <w:r w:rsidR="00F7705A" w:rsidRPr="00F001B0">
        <w:rPr>
          <w:lang w:val="fr-FR"/>
        </w:rPr>
        <w:t xml:space="preserve">Nouvelles dispositions relatives au document de synthèse </w:t>
      </w:r>
      <w:r w:rsidR="00F7705A">
        <w:rPr>
          <w:lang w:val="fr-FR"/>
        </w:rPr>
        <w:br/>
      </w:r>
      <w:r w:rsidR="00F7705A" w:rsidRPr="00F001B0">
        <w:rPr>
          <w:lang w:val="fr-FR"/>
        </w:rPr>
        <w:t>sur les épreuves des batteries au lithium</w:t>
      </w:r>
      <w:r>
        <w:tab/>
      </w:r>
      <w:r>
        <w:tab/>
      </w:r>
      <w:r w:rsidR="00F7705A">
        <w:t>21</w:t>
      </w:r>
      <w:r>
        <w:tab/>
      </w:r>
      <w:r w:rsidR="003C1B99">
        <w:t>7</w:t>
      </w:r>
    </w:p>
    <w:p w:rsidR="00485C29" w:rsidRDefault="00485C29" w:rsidP="00D21940">
      <w:pPr>
        <w:tabs>
          <w:tab w:val="right" w:leader="dot" w:pos="7654"/>
          <w:tab w:val="right" w:pos="8929"/>
          <w:tab w:val="right" w:pos="9638"/>
        </w:tabs>
        <w:spacing w:after="120"/>
        <w:ind w:left="1984" w:hanging="425"/>
      </w:pPr>
      <w:r>
        <w:t>5.</w:t>
      </w:r>
      <w:r>
        <w:tab/>
      </w:r>
      <w:r w:rsidR="007559CC" w:rsidRPr="00F001B0">
        <w:rPr>
          <w:lang w:val="fr-FR"/>
        </w:rPr>
        <w:t xml:space="preserve">Spécification des prescriptions pour la protection des robinets </w:t>
      </w:r>
      <w:r w:rsidR="007559CC">
        <w:rPr>
          <w:lang w:val="fr-FR"/>
        </w:rPr>
        <w:br/>
      </w:r>
      <w:r w:rsidR="007559CC" w:rsidRPr="00F001B0">
        <w:rPr>
          <w:lang w:val="fr-FR"/>
        </w:rPr>
        <w:t>au 4.1.6.8</w:t>
      </w:r>
      <w:r>
        <w:tab/>
      </w:r>
      <w:r>
        <w:tab/>
      </w:r>
      <w:r w:rsidR="00F7705A">
        <w:t>22</w:t>
      </w:r>
      <w:r>
        <w:tab/>
      </w:r>
      <w:r w:rsidR="003C1B99">
        <w:t>7</w:t>
      </w:r>
    </w:p>
    <w:p w:rsidR="00485C29" w:rsidRDefault="00485C29" w:rsidP="00485C29">
      <w:pPr>
        <w:tabs>
          <w:tab w:val="right" w:leader="dot" w:pos="7654"/>
          <w:tab w:val="right" w:pos="8929"/>
          <w:tab w:val="right" w:pos="9638"/>
        </w:tabs>
        <w:spacing w:after="120"/>
        <w:ind w:left="1559" w:hanging="425"/>
      </w:pPr>
      <w:r>
        <w:t>B.</w:t>
      </w:r>
      <w:r>
        <w:tab/>
      </w:r>
      <w:r w:rsidR="007559CC" w:rsidRPr="00F001B0">
        <w:rPr>
          <w:lang w:val="fr-FR"/>
        </w:rPr>
        <w:t>Nouvelles propositions</w:t>
      </w:r>
      <w:r>
        <w:tab/>
      </w:r>
      <w:r>
        <w:tab/>
      </w:r>
      <w:r w:rsidR="00F7705A">
        <w:t>23−54</w:t>
      </w:r>
      <w:r>
        <w:tab/>
      </w:r>
      <w:r w:rsidR="003C1B99">
        <w:t>8</w:t>
      </w:r>
    </w:p>
    <w:p w:rsidR="00485C29" w:rsidRDefault="00485C29" w:rsidP="00485C29">
      <w:pPr>
        <w:tabs>
          <w:tab w:val="right" w:leader="dot" w:pos="7654"/>
          <w:tab w:val="right" w:pos="8929"/>
          <w:tab w:val="right" w:pos="9638"/>
        </w:tabs>
        <w:spacing w:after="120"/>
        <w:ind w:left="1984" w:hanging="425"/>
      </w:pPr>
      <w:r>
        <w:t>1.</w:t>
      </w:r>
      <w:r>
        <w:tab/>
      </w:r>
      <w:r w:rsidR="007559CC" w:rsidRPr="00F001B0">
        <w:rPr>
          <w:lang w:val="fr-FR"/>
        </w:rPr>
        <w:t>Formation en ligne de recyclage des conducteurs de véhicules</w:t>
      </w:r>
      <w:r w:rsidR="007559CC">
        <w:rPr>
          <w:lang w:val="fr-FR"/>
        </w:rPr>
        <w:br/>
      </w:r>
      <w:r w:rsidR="007559CC" w:rsidRPr="00F001B0">
        <w:rPr>
          <w:lang w:val="fr-FR"/>
        </w:rPr>
        <w:t>transportant des marchandises dangereuses</w:t>
      </w:r>
      <w:r>
        <w:tab/>
      </w:r>
      <w:r>
        <w:tab/>
      </w:r>
      <w:r w:rsidR="00F7705A">
        <w:t>23−26</w:t>
      </w:r>
      <w:r>
        <w:tab/>
      </w:r>
      <w:r w:rsidR="003C1B99">
        <w:t>8</w:t>
      </w:r>
    </w:p>
    <w:p w:rsidR="00485C29" w:rsidRDefault="00485C29" w:rsidP="00485C29">
      <w:pPr>
        <w:tabs>
          <w:tab w:val="right" w:leader="dot" w:pos="7654"/>
          <w:tab w:val="right" w:pos="8929"/>
          <w:tab w:val="right" w:pos="9638"/>
        </w:tabs>
        <w:spacing w:after="120"/>
        <w:ind w:left="1984" w:hanging="425"/>
      </w:pPr>
      <w:r>
        <w:t>2.</w:t>
      </w:r>
      <w:r>
        <w:tab/>
      </w:r>
      <w:r w:rsidR="007559CC" w:rsidRPr="00F001B0">
        <w:rPr>
          <w:lang w:val="fr-FR"/>
        </w:rPr>
        <w:t xml:space="preserve">Marquage des wagons et conteneurs chargés avec des quantités </w:t>
      </w:r>
      <w:r w:rsidR="007559CC">
        <w:rPr>
          <w:lang w:val="fr-FR"/>
        </w:rPr>
        <w:br/>
      </w:r>
      <w:r w:rsidR="007559CC" w:rsidRPr="00F001B0">
        <w:rPr>
          <w:lang w:val="fr-FR"/>
        </w:rPr>
        <w:t>limitées</w:t>
      </w:r>
      <w:r>
        <w:tab/>
      </w:r>
      <w:r>
        <w:tab/>
      </w:r>
      <w:r w:rsidR="00F7705A">
        <w:t>27−30</w:t>
      </w:r>
      <w:r>
        <w:tab/>
      </w:r>
      <w:r w:rsidR="003C1B99">
        <w:t>8</w:t>
      </w:r>
    </w:p>
    <w:p w:rsidR="00485C29" w:rsidRDefault="00485C29" w:rsidP="00485C29">
      <w:pPr>
        <w:tabs>
          <w:tab w:val="right" w:leader="dot" w:pos="7654"/>
          <w:tab w:val="right" w:pos="8929"/>
          <w:tab w:val="right" w:pos="9638"/>
        </w:tabs>
        <w:spacing w:after="120"/>
        <w:ind w:left="1984" w:hanging="425"/>
      </w:pPr>
      <w:r>
        <w:t>3.</w:t>
      </w:r>
      <w:r>
        <w:tab/>
      </w:r>
      <w:r w:rsidR="007559CC" w:rsidRPr="00F001B0">
        <w:rPr>
          <w:lang w:val="fr-FR"/>
        </w:rPr>
        <w:t xml:space="preserve">Couleur de la marque pour les matières transportées à chaud </w:t>
      </w:r>
      <w:r w:rsidR="007559CC">
        <w:rPr>
          <w:lang w:val="fr-FR"/>
        </w:rPr>
        <w:br/>
      </w:r>
      <w:r w:rsidR="007559CC" w:rsidRPr="00F001B0">
        <w:rPr>
          <w:lang w:val="fr-FR"/>
        </w:rPr>
        <w:t xml:space="preserve">conformément au </w:t>
      </w:r>
      <w:r w:rsidR="007559CC" w:rsidRPr="00F001B0">
        <w:rPr>
          <w:bCs/>
          <w:lang w:val="fr-FR" w:eastAsia="fr-FR"/>
        </w:rPr>
        <w:t>5.3.3</w:t>
      </w:r>
      <w:r>
        <w:tab/>
      </w:r>
      <w:r>
        <w:tab/>
      </w:r>
      <w:r w:rsidR="00F7705A">
        <w:t>31−32</w:t>
      </w:r>
      <w:r>
        <w:tab/>
      </w:r>
      <w:r w:rsidR="003C1B99">
        <w:t>9</w:t>
      </w:r>
    </w:p>
    <w:p w:rsidR="00485C29" w:rsidRDefault="00485C29" w:rsidP="00485C29">
      <w:pPr>
        <w:tabs>
          <w:tab w:val="right" w:leader="dot" w:pos="7654"/>
          <w:tab w:val="right" w:pos="8929"/>
          <w:tab w:val="right" w:pos="9638"/>
        </w:tabs>
        <w:spacing w:after="120"/>
        <w:ind w:left="1984" w:hanging="425"/>
      </w:pPr>
      <w:r>
        <w:t>4.</w:t>
      </w:r>
      <w:r>
        <w:tab/>
      </w:r>
      <w:r w:rsidR="007559CC" w:rsidRPr="007559CC">
        <w:rPr>
          <w:rFonts w:ascii="Times New Roman Gras" w:hAnsi="Times New Roman Gras"/>
          <w:spacing w:val="-2"/>
          <w:lang w:val="fr-FR"/>
        </w:rPr>
        <w:t xml:space="preserve">Augmentation de la pression interne maximale autorisée </w:t>
      </w:r>
      <w:r w:rsidR="007559CC">
        <w:rPr>
          <w:rFonts w:ascii="Times New Roman Gras" w:hAnsi="Times New Roman Gras"/>
          <w:spacing w:val="-2"/>
          <w:lang w:val="fr-FR"/>
        </w:rPr>
        <w:br/>
      </w:r>
      <w:r w:rsidR="007559CC" w:rsidRPr="007559CC">
        <w:rPr>
          <w:rFonts w:ascii="Times New Roman Gras" w:hAnsi="Times New Roman Gras"/>
          <w:spacing w:val="-2"/>
          <w:lang w:val="fr-FR"/>
        </w:rPr>
        <w:t>pour les générateurs d</w:t>
      </w:r>
      <w:r w:rsidR="008B6F84">
        <w:rPr>
          <w:rFonts w:ascii="Times New Roman Gras" w:hAnsi="Times New Roman Gras"/>
          <w:spacing w:val="-2"/>
          <w:lang w:val="fr-FR"/>
        </w:rPr>
        <w:t>’</w:t>
      </w:r>
      <w:r w:rsidR="007559CC" w:rsidRPr="007559CC">
        <w:rPr>
          <w:rFonts w:ascii="Times New Roman Gras" w:hAnsi="Times New Roman Gras"/>
          <w:spacing w:val="-2"/>
          <w:lang w:val="fr-FR"/>
        </w:rPr>
        <w:t>aérosols</w:t>
      </w:r>
      <w:r>
        <w:tab/>
      </w:r>
      <w:r>
        <w:tab/>
      </w:r>
      <w:r w:rsidR="00F7705A">
        <w:t>33−35</w:t>
      </w:r>
      <w:r>
        <w:tab/>
      </w:r>
      <w:r w:rsidR="003C1B99">
        <w:t>9</w:t>
      </w:r>
    </w:p>
    <w:p w:rsidR="00485C29" w:rsidRDefault="00485C29" w:rsidP="00485C29">
      <w:pPr>
        <w:tabs>
          <w:tab w:val="right" w:leader="dot" w:pos="7654"/>
          <w:tab w:val="right" w:pos="8929"/>
          <w:tab w:val="right" w:pos="9638"/>
        </w:tabs>
        <w:spacing w:after="120"/>
        <w:ind w:left="1984" w:hanging="425"/>
      </w:pPr>
      <w:r>
        <w:t>5.</w:t>
      </w:r>
      <w:r>
        <w:tab/>
      </w:r>
      <w:r w:rsidR="007559CC" w:rsidRPr="00F001B0">
        <w:rPr>
          <w:lang w:val="fr-FR"/>
        </w:rPr>
        <w:t>Renvois</w:t>
      </w:r>
      <w:r w:rsidR="007559CC">
        <w:rPr>
          <w:lang w:val="fr-FR"/>
        </w:rPr>
        <w:t xml:space="preserve"> aux directives dans le 6.2.4.1</w:t>
      </w:r>
      <w:r>
        <w:tab/>
      </w:r>
      <w:r>
        <w:tab/>
      </w:r>
      <w:r w:rsidR="00F7705A">
        <w:t>36−38</w:t>
      </w:r>
      <w:r>
        <w:tab/>
      </w:r>
      <w:r w:rsidR="003C1B99">
        <w:t>9</w:t>
      </w:r>
    </w:p>
    <w:p w:rsidR="00485C29" w:rsidRDefault="00485C29" w:rsidP="00485C29">
      <w:pPr>
        <w:tabs>
          <w:tab w:val="right" w:leader="dot" w:pos="7654"/>
          <w:tab w:val="right" w:pos="8929"/>
          <w:tab w:val="right" w:pos="9638"/>
        </w:tabs>
        <w:spacing w:after="120"/>
        <w:ind w:left="1984" w:hanging="425"/>
      </w:pPr>
      <w:r>
        <w:t>6.</w:t>
      </w:r>
      <w:r>
        <w:tab/>
      </w:r>
      <w:r w:rsidR="007559CC" w:rsidRPr="00F001B0">
        <w:rPr>
          <w:lang w:val="fr-FR"/>
        </w:rPr>
        <w:t>Nouveau numéro d</w:t>
      </w:r>
      <w:r w:rsidR="008B6F84">
        <w:rPr>
          <w:lang w:val="fr-FR"/>
        </w:rPr>
        <w:t>’</w:t>
      </w:r>
      <w:r w:rsidR="007559CC" w:rsidRPr="00F001B0">
        <w:rPr>
          <w:lang w:val="fr-FR"/>
        </w:rPr>
        <w:t>identification du danger (836)</w:t>
      </w:r>
      <w:r>
        <w:tab/>
      </w:r>
      <w:r>
        <w:tab/>
      </w:r>
      <w:r w:rsidR="007559CC">
        <w:t>39−43</w:t>
      </w:r>
      <w:r>
        <w:tab/>
      </w:r>
      <w:r w:rsidR="003C1B99">
        <w:t>10</w:t>
      </w:r>
    </w:p>
    <w:p w:rsidR="00485C29" w:rsidRDefault="00485C29" w:rsidP="00485C29">
      <w:pPr>
        <w:tabs>
          <w:tab w:val="right" w:leader="dot" w:pos="7654"/>
          <w:tab w:val="right" w:pos="8929"/>
          <w:tab w:val="right" w:pos="9638"/>
        </w:tabs>
        <w:spacing w:after="120"/>
        <w:ind w:left="1984" w:hanging="425"/>
      </w:pPr>
      <w:r>
        <w:t>7.</w:t>
      </w:r>
      <w:r>
        <w:tab/>
      </w:r>
      <w:r w:rsidR="007559CC" w:rsidRPr="00F001B0">
        <w:rPr>
          <w:lang w:val="fr-FR"/>
        </w:rPr>
        <w:t>Définition de « point d</w:t>
      </w:r>
      <w:r w:rsidR="008B6F84">
        <w:rPr>
          <w:lang w:val="fr-FR"/>
        </w:rPr>
        <w:t>’</w:t>
      </w:r>
      <w:r w:rsidR="007559CC" w:rsidRPr="00F001B0">
        <w:rPr>
          <w:lang w:val="fr-FR"/>
        </w:rPr>
        <w:t>éclair »</w:t>
      </w:r>
      <w:r>
        <w:tab/>
      </w:r>
      <w:r>
        <w:tab/>
      </w:r>
      <w:r w:rsidR="007559CC">
        <w:t>44−46</w:t>
      </w:r>
      <w:r>
        <w:tab/>
      </w:r>
      <w:r w:rsidR="003C1B99">
        <w:t>10</w:t>
      </w:r>
    </w:p>
    <w:p w:rsidR="00485C29" w:rsidRDefault="00485C29" w:rsidP="00485C29">
      <w:pPr>
        <w:tabs>
          <w:tab w:val="right" w:leader="dot" w:pos="7654"/>
          <w:tab w:val="right" w:pos="8929"/>
          <w:tab w:val="right" w:pos="9638"/>
        </w:tabs>
        <w:spacing w:after="120"/>
        <w:ind w:left="1984" w:hanging="425"/>
      </w:pPr>
      <w:r>
        <w:t>8.</w:t>
      </w:r>
      <w:r>
        <w:tab/>
      </w:r>
      <w:r w:rsidR="007559CC" w:rsidRPr="00F001B0">
        <w:rPr>
          <w:lang w:val="fr-FR"/>
        </w:rPr>
        <w:t>Amendement à la disposition spéciale CW36/CV36 du 7.5.11</w:t>
      </w:r>
      <w:r>
        <w:tab/>
      </w:r>
      <w:r>
        <w:tab/>
      </w:r>
      <w:r w:rsidR="007559CC">
        <w:t>47</w:t>
      </w:r>
      <w:r>
        <w:tab/>
      </w:r>
      <w:r w:rsidR="003C1B99">
        <w:t>10</w:t>
      </w:r>
    </w:p>
    <w:p w:rsidR="00485C29" w:rsidRDefault="00485C29" w:rsidP="00485C29">
      <w:pPr>
        <w:tabs>
          <w:tab w:val="right" w:leader="dot" w:pos="7654"/>
          <w:tab w:val="right" w:pos="8929"/>
          <w:tab w:val="right" w:pos="9638"/>
        </w:tabs>
        <w:spacing w:after="120"/>
        <w:ind w:left="1984" w:hanging="425"/>
      </w:pPr>
      <w:r>
        <w:t>9.</w:t>
      </w:r>
      <w:r>
        <w:tab/>
      </w:r>
      <w:r w:rsidR="007559CC" w:rsidRPr="00F001B0">
        <w:rPr>
          <w:lang w:val="fr-FR"/>
        </w:rPr>
        <w:t xml:space="preserve">Harmonisation des différentes versions linguistiques du RID </w:t>
      </w:r>
      <w:r w:rsidR="007559CC">
        <w:rPr>
          <w:lang w:val="fr-FR"/>
        </w:rPr>
        <w:br/>
      </w:r>
      <w:r w:rsidR="007559CC" w:rsidRPr="00F001B0">
        <w:rPr>
          <w:lang w:val="fr-FR"/>
        </w:rPr>
        <w:t>et de l</w:t>
      </w:r>
      <w:r w:rsidR="008B6F84">
        <w:rPr>
          <w:lang w:val="fr-FR"/>
        </w:rPr>
        <w:t>’</w:t>
      </w:r>
      <w:r w:rsidR="007559CC" w:rsidRPr="00F001B0">
        <w:rPr>
          <w:lang w:val="fr-FR"/>
        </w:rPr>
        <w:t>ADR</w:t>
      </w:r>
      <w:r>
        <w:tab/>
      </w:r>
      <w:r>
        <w:tab/>
      </w:r>
      <w:r w:rsidR="007559CC">
        <w:t>48−50</w:t>
      </w:r>
      <w:r>
        <w:tab/>
      </w:r>
      <w:r w:rsidR="007559CC">
        <w:t>11</w:t>
      </w:r>
    </w:p>
    <w:p w:rsidR="00485C29" w:rsidRDefault="00485C29" w:rsidP="00485C29">
      <w:pPr>
        <w:tabs>
          <w:tab w:val="right" w:leader="dot" w:pos="7654"/>
          <w:tab w:val="right" w:pos="8929"/>
          <w:tab w:val="right" w:pos="9638"/>
        </w:tabs>
        <w:spacing w:after="120"/>
        <w:ind w:left="1984" w:hanging="425"/>
      </w:pPr>
      <w:r>
        <w:t>10.</w:t>
      </w:r>
      <w:r>
        <w:tab/>
      </w:r>
      <w:r w:rsidR="007559CC" w:rsidRPr="00F001B0">
        <w:rPr>
          <w:lang w:val="fr-FR"/>
        </w:rPr>
        <w:t>Renvois aux Règlements de la CEE dans le RID/ADR/ADN</w:t>
      </w:r>
      <w:r>
        <w:tab/>
      </w:r>
      <w:r>
        <w:tab/>
      </w:r>
      <w:r w:rsidR="007559CC">
        <w:t>51</w:t>
      </w:r>
      <w:r>
        <w:tab/>
      </w:r>
      <w:r w:rsidR="007559CC">
        <w:t>11</w:t>
      </w:r>
    </w:p>
    <w:p w:rsidR="00485C29" w:rsidRDefault="00485C29" w:rsidP="00485C29">
      <w:pPr>
        <w:tabs>
          <w:tab w:val="right" w:leader="dot" w:pos="7654"/>
          <w:tab w:val="right" w:pos="8929"/>
          <w:tab w:val="right" w:pos="9638"/>
        </w:tabs>
        <w:spacing w:after="120"/>
        <w:ind w:left="1984" w:hanging="425"/>
      </w:pPr>
      <w:r>
        <w:t>11.</w:t>
      </w:r>
      <w:r>
        <w:tab/>
      </w:r>
      <w:r w:rsidR="007559CC" w:rsidRPr="00F001B0">
        <w:rPr>
          <w:lang w:val="fr-FR"/>
        </w:rPr>
        <w:t>Corrections adoptées par le Sous-Comité d</w:t>
      </w:r>
      <w:r w:rsidR="008B6F84">
        <w:rPr>
          <w:lang w:val="fr-FR"/>
        </w:rPr>
        <w:t>’</w:t>
      </w:r>
      <w:r w:rsidR="007559CC" w:rsidRPr="00F001B0">
        <w:rPr>
          <w:lang w:val="fr-FR"/>
        </w:rPr>
        <w:t>experts du transport</w:t>
      </w:r>
      <w:r w:rsidR="007559CC">
        <w:rPr>
          <w:lang w:val="fr-FR"/>
        </w:rPr>
        <w:t xml:space="preserve"> </w:t>
      </w:r>
      <w:r w:rsidR="007559CC">
        <w:rPr>
          <w:lang w:val="fr-FR"/>
        </w:rPr>
        <w:br/>
      </w:r>
      <w:r w:rsidR="007559CC" w:rsidRPr="00F001B0">
        <w:rPr>
          <w:lang w:val="fr-FR"/>
        </w:rPr>
        <w:t>des marchandises dangereuses</w:t>
      </w:r>
      <w:r>
        <w:tab/>
      </w:r>
      <w:r>
        <w:tab/>
      </w:r>
      <w:r w:rsidR="007559CC">
        <w:t>52</w:t>
      </w:r>
      <w:r>
        <w:tab/>
      </w:r>
      <w:r w:rsidR="007559CC">
        <w:t>11</w:t>
      </w:r>
    </w:p>
    <w:p w:rsidR="00485C29" w:rsidRDefault="00485C29" w:rsidP="00485C29">
      <w:pPr>
        <w:tabs>
          <w:tab w:val="right" w:leader="dot" w:pos="7654"/>
          <w:tab w:val="right" w:pos="8929"/>
          <w:tab w:val="right" w:pos="9638"/>
        </w:tabs>
        <w:spacing w:after="120"/>
        <w:ind w:left="1984" w:hanging="425"/>
      </w:pPr>
      <w:r>
        <w:t>12.</w:t>
      </w:r>
      <w:r>
        <w:tab/>
      </w:r>
      <w:r w:rsidR="007559CC" w:rsidRPr="00F001B0">
        <w:rPr>
          <w:lang w:val="fr-FR"/>
        </w:rPr>
        <w:t>Amendements au 5.4.1.1.1</w:t>
      </w:r>
      <w:r>
        <w:tab/>
      </w:r>
      <w:r>
        <w:tab/>
      </w:r>
      <w:r w:rsidR="007559CC">
        <w:t>53</w:t>
      </w:r>
      <w:r>
        <w:tab/>
      </w:r>
      <w:r w:rsidR="007559CC">
        <w:t>11</w:t>
      </w:r>
    </w:p>
    <w:p w:rsidR="00485C29" w:rsidRDefault="00485C29" w:rsidP="00485C29">
      <w:pPr>
        <w:tabs>
          <w:tab w:val="right" w:leader="dot" w:pos="7654"/>
          <w:tab w:val="right" w:pos="8929"/>
          <w:tab w:val="right" w:pos="9638"/>
        </w:tabs>
        <w:spacing w:after="120"/>
        <w:ind w:left="1984" w:hanging="425"/>
      </w:pPr>
      <w:r>
        <w:t>13.</w:t>
      </w:r>
      <w:r>
        <w:tab/>
      </w:r>
      <w:r w:rsidR="007559CC" w:rsidRPr="00F001B0">
        <w:rPr>
          <w:lang w:val="fr-FR"/>
        </w:rPr>
        <w:t>Emballage de présentation de quantités limitées</w:t>
      </w:r>
      <w:r>
        <w:tab/>
      </w:r>
      <w:r>
        <w:tab/>
      </w:r>
      <w:r w:rsidR="007559CC">
        <w:t>56</w:t>
      </w:r>
      <w:r>
        <w:tab/>
      </w:r>
      <w:r w:rsidR="007559CC">
        <w:t>11</w:t>
      </w:r>
    </w:p>
    <w:p w:rsidR="0056317B" w:rsidRDefault="0056317B" w:rsidP="0056317B">
      <w:pPr>
        <w:tabs>
          <w:tab w:val="right" w:pos="850"/>
          <w:tab w:val="right" w:leader="dot" w:pos="7654"/>
          <w:tab w:val="right" w:pos="8929"/>
          <w:tab w:val="right" w:pos="9638"/>
        </w:tabs>
        <w:spacing w:after="120"/>
        <w:ind w:left="1134" w:hanging="1134"/>
      </w:pPr>
      <w:r>
        <w:tab/>
        <w:t>VII.</w:t>
      </w:r>
      <w:r>
        <w:tab/>
      </w:r>
      <w:r w:rsidR="003C1B99" w:rsidRPr="00F001B0">
        <w:rPr>
          <w:lang w:val="fr-FR"/>
        </w:rPr>
        <w:t>Rapports des groupes de travail informels (point 6 de l</w:t>
      </w:r>
      <w:r w:rsidR="008B6F84">
        <w:rPr>
          <w:lang w:val="fr-FR"/>
        </w:rPr>
        <w:t>’</w:t>
      </w:r>
      <w:r w:rsidR="003C1B99" w:rsidRPr="00F001B0">
        <w:rPr>
          <w:lang w:val="fr-FR"/>
        </w:rPr>
        <w:t>ordre du jour)</w:t>
      </w:r>
      <w:r>
        <w:tab/>
      </w:r>
      <w:r>
        <w:tab/>
      </w:r>
      <w:r w:rsidR="007559CC">
        <w:t>55−68</w:t>
      </w:r>
      <w:r>
        <w:tab/>
      </w:r>
      <w:r w:rsidR="003C1B99">
        <w:t>11</w:t>
      </w:r>
    </w:p>
    <w:p w:rsidR="0056317B" w:rsidRDefault="0056317B" w:rsidP="0056317B">
      <w:pPr>
        <w:tabs>
          <w:tab w:val="right" w:leader="dot" w:pos="7654"/>
          <w:tab w:val="right" w:pos="8929"/>
          <w:tab w:val="right" w:pos="9638"/>
        </w:tabs>
        <w:spacing w:after="120"/>
        <w:ind w:left="1559" w:hanging="425"/>
      </w:pPr>
      <w:r>
        <w:t>A.</w:t>
      </w:r>
      <w:r>
        <w:tab/>
      </w:r>
      <w:r w:rsidR="00217FBC" w:rsidRPr="00F001B0">
        <w:rPr>
          <w:lang w:val="fr-FR"/>
        </w:rPr>
        <w:t xml:space="preserve">Transport de récipients à pression agréés par le Département des transports </w:t>
      </w:r>
      <w:r w:rsidR="00217FBC">
        <w:rPr>
          <w:lang w:val="fr-FR"/>
        </w:rPr>
        <w:br/>
      </w:r>
      <w:r w:rsidR="00217FBC" w:rsidRPr="00F001B0">
        <w:rPr>
          <w:lang w:val="fr-FR"/>
        </w:rPr>
        <w:t>des États-Unis d</w:t>
      </w:r>
      <w:r w:rsidR="008B6F84">
        <w:rPr>
          <w:lang w:val="fr-FR"/>
        </w:rPr>
        <w:t>’</w:t>
      </w:r>
      <w:r w:rsidR="00217FBC" w:rsidRPr="00F001B0">
        <w:rPr>
          <w:lang w:val="fr-FR"/>
        </w:rPr>
        <w:t>Amérique</w:t>
      </w:r>
      <w:r>
        <w:tab/>
      </w:r>
      <w:r>
        <w:tab/>
      </w:r>
      <w:r w:rsidR="007559CC">
        <w:t>55−57</w:t>
      </w:r>
      <w:r>
        <w:tab/>
      </w:r>
      <w:r w:rsidR="003C1B99">
        <w:t>11</w:t>
      </w:r>
    </w:p>
    <w:p w:rsidR="0056317B" w:rsidRDefault="0056317B" w:rsidP="0056317B">
      <w:pPr>
        <w:tabs>
          <w:tab w:val="right" w:leader="dot" w:pos="7654"/>
          <w:tab w:val="right" w:pos="8929"/>
          <w:tab w:val="right" w:pos="9638"/>
        </w:tabs>
        <w:spacing w:after="120"/>
        <w:ind w:left="1559" w:hanging="425"/>
      </w:pPr>
      <w:r>
        <w:t>B.</w:t>
      </w:r>
      <w:r>
        <w:tab/>
      </w:r>
      <w:r w:rsidR="00217FBC" w:rsidRPr="00F001B0">
        <w:rPr>
          <w:lang w:val="fr-FR"/>
        </w:rPr>
        <w:t>Rapport du groupe de travail informel sur les définitions des termes</w:t>
      </w:r>
      <w:r w:rsidR="00217FBC">
        <w:rPr>
          <w:lang w:val="fr-FR"/>
        </w:rPr>
        <w:br/>
      </w:r>
      <w:r w:rsidR="00217FBC" w:rsidRPr="00F001B0">
        <w:rPr>
          <w:lang w:val="fr-FR"/>
        </w:rPr>
        <w:t>« risque » et « danger » dans le cadre du RID, de l</w:t>
      </w:r>
      <w:r w:rsidR="008B6F84">
        <w:rPr>
          <w:lang w:val="fr-FR"/>
        </w:rPr>
        <w:t>’</w:t>
      </w:r>
      <w:r w:rsidR="00217FBC" w:rsidRPr="00F001B0">
        <w:rPr>
          <w:lang w:val="fr-FR"/>
        </w:rPr>
        <w:t>ADR et de l</w:t>
      </w:r>
      <w:r w:rsidR="008B6F84">
        <w:rPr>
          <w:lang w:val="fr-FR"/>
        </w:rPr>
        <w:t>’</w:t>
      </w:r>
      <w:r w:rsidR="00217FBC" w:rsidRPr="00F001B0">
        <w:rPr>
          <w:lang w:val="fr-FR"/>
        </w:rPr>
        <w:t>ADN</w:t>
      </w:r>
      <w:r>
        <w:tab/>
      </w:r>
      <w:r>
        <w:tab/>
      </w:r>
      <w:r w:rsidR="00217FBC">
        <w:t>58−61</w:t>
      </w:r>
      <w:r>
        <w:tab/>
      </w:r>
      <w:r w:rsidR="00217FBC">
        <w:t>12</w:t>
      </w:r>
    </w:p>
    <w:p w:rsidR="0056317B" w:rsidRDefault="0056317B" w:rsidP="0056317B">
      <w:pPr>
        <w:tabs>
          <w:tab w:val="right" w:leader="dot" w:pos="7654"/>
          <w:tab w:val="right" w:pos="8929"/>
          <w:tab w:val="right" w:pos="9638"/>
        </w:tabs>
        <w:spacing w:after="120"/>
        <w:ind w:left="1559" w:hanging="425"/>
      </w:pPr>
      <w:r>
        <w:t>C.</w:t>
      </w:r>
      <w:r>
        <w:tab/>
      </w:r>
      <w:r w:rsidR="00217FBC" w:rsidRPr="00217FBC">
        <w:rPr>
          <w:rFonts w:ascii="Times New Roman Gras" w:hAnsi="Times New Roman Gras"/>
          <w:spacing w:val="-3"/>
          <w:lang w:val="fr-FR"/>
        </w:rPr>
        <w:t>Rapport du groupe de travail informel chargé d</w:t>
      </w:r>
      <w:r w:rsidR="008B6F84">
        <w:rPr>
          <w:rFonts w:ascii="Times New Roman Gras" w:hAnsi="Times New Roman Gras"/>
          <w:spacing w:val="-3"/>
          <w:lang w:val="fr-FR"/>
        </w:rPr>
        <w:t>’</w:t>
      </w:r>
      <w:r w:rsidR="00217FBC" w:rsidRPr="00217FBC">
        <w:rPr>
          <w:rFonts w:ascii="Times New Roman Gras" w:hAnsi="Times New Roman Gras"/>
          <w:spacing w:val="-3"/>
          <w:lang w:val="fr-FR"/>
        </w:rPr>
        <w:t>actualiser l</w:t>
      </w:r>
      <w:r w:rsidR="008B6F84">
        <w:rPr>
          <w:rFonts w:ascii="Times New Roman Gras" w:hAnsi="Times New Roman Gras"/>
          <w:spacing w:val="-3"/>
          <w:lang w:val="fr-FR"/>
        </w:rPr>
        <w:t>’</w:t>
      </w:r>
      <w:r w:rsidR="00217FBC" w:rsidRPr="00217FBC">
        <w:rPr>
          <w:rFonts w:ascii="Times New Roman Gras" w:hAnsi="Times New Roman Gras"/>
          <w:spacing w:val="-3"/>
          <w:lang w:val="fr-FR"/>
        </w:rPr>
        <w:t>architecture</w:t>
      </w:r>
      <w:r w:rsidR="00217FBC" w:rsidRPr="00F001B0">
        <w:rPr>
          <w:lang w:val="fr-FR"/>
        </w:rPr>
        <w:t xml:space="preserve"> </w:t>
      </w:r>
      <w:r w:rsidR="00217FBC">
        <w:rPr>
          <w:lang w:val="fr-FR"/>
        </w:rPr>
        <w:br/>
      </w:r>
      <w:r w:rsidR="00217FBC" w:rsidRPr="00F001B0">
        <w:rPr>
          <w:lang w:val="fr-FR"/>
        </w:rPr>
        <w:t>de la télématique dans les transports de marchandises dangereuses</w:t>
      </w:r>
      <w:r>
        <w:tab/>
      </w:r>
      <w:r>
        <w:tab/>
      </w:r>
      <w:r w:rsidR="00217FBC">
        <w:t>62−66</w:t>
      </w:r>
      <w:r>
        <w:tab/>
      </w:r>
      <w:r w:rsidR="00217FBC">
        <w:t>12</w:t>
      </w:r>
    </w:p>
    <w:p w:rsidR="0056317B" w:rsidRDefault="0056317B" w:rsidP="0056317B">
      <w:pPr>
        <w:tabs>
          <w:tab w:val="right" w:leader="dot" w:pos="7654"/>
          <w:tab w:val="right" w:pos="8929"/>
          <w:tab w:val="right" w:pos="9638"/>
        </w:tabs>
        <w:spacing w:after="120"/>
        <w:ind w:left="1559" w:hanging="425"/>
      </w:pPr>
      <w:r>
        <w:t>D.</w:t>
      </w:r>
      <w:r>
        <w:tab/>
      </w:r>
      <w:r w:rsidR="00217FBC" w:rsidRPr="00217FBC">
        <w:t xml:space="preserve">Rapport du groupe de travail informel sur la réduction du risque de BLEVE </w:t>
      </w:r>
      <w:r w:rsidR="00217FBC">
        <w:br/>
      </w:r>
      <w:r w:rsidR="00217FBC" w:rsidRPr="00217FBC">
        <w:t>(vaporisation explosive d</w:t>
      </w:r>
      <w:r w:rsidR="008B6F84">
        <w:t>’</w:t>
      </w:r>
      <w:r w:rsidR="00217FBC" w:rsidRPr="00217FBC">
        <w:t xml:space="preserve">un liquide porté à ébullition) au cours </w:t>
      </w:r>
      <w:r w:rsidR="00217FBC">
        <w:br/>
      </w:r>
      <w:r w:rsidR="00217FBC" w:rsidRPr="00217FBC">
        <w:t>du transport des marchandises dangereuses</w:t>
      </w:r>
      <w:r>
        <w:tab/>
      </w:r>
      <w:r>
        <w:tab/>
      </w:r>
      <w:r w:rsidR="00217FBC">
        <w:t>67−68</w:t>
      </w:r>
      <w:r>
        <w:tab/>
      </w:r>
      <w:r w:rsidR="00217FBC">
        <w:t>13</w:t>
      </w:r>
    </w:p>
    <w:p w:rsidR="0056317B" w:rsidRDefault="0056317B" w:rsidP="0056317B">
      <w:pPr>
        <w:tabs>
          <w:tab w:val="right" w:pos="850"/>
          <w:tab w:val="right" w:leader="dot" w:pos="7654"/>
          <w:tab w:val="right" w:pos="8929"/>
          <w:tab w:val="right" w:pos="9638"/>
        </w:tabs>
        <w:spacing w:after="120"/>
        <w:ind w:left="1134" w:hanging="1134"/>
      </w:pPr>
      <w:r>
        <w:tab/>
        <w:t>VIII.</w:t>
      </w:r>
      <w:r>
        <w:tab/>
      </w:r>
      <w:r w:rsidR="00217FBC" w:rsidRPr="00F001B0">
        <w:rPr>
          <w:lang w:val="fr-FR"/>
        </w:rPr>
        <w:t>Accidents et gestion des risques (point 7 de l</w:t>
      </w:r>
      <w:r w:rsidR="008B6F84">
        <w:rPr>
          <w:lang w:val="fr-FR"/>
        </w:rPr>
        <w:t>’</w:t>
      </w:r>
      <w:r w:rsidR="00217FBC" w:rsidRPr="00F001B0">
        <w:rPr>
          <w:lang w:val="fr-FR"/>
        </w:rPr>
        <w:t>ordre du jour)</w:t>
      </w:r>
      <w:r>
        <w:tab/>
      </w:r>
      <w:r>
        <w:tab/>
      </w:r>
      <w:r w:rsidR="00217FBC">
        <w:t>69−79</w:t>
      </w:r>
      <w:r>
        <w:tab/>
      </w:r>
      <w:r w:rsidR="00217FBC">
        <w:t>13</w:t>
      </w:r>
    </w:p>
    <w:p w:rsidR="0056317B" w:rsidRDefault="0056317B" w:rsidP="0056317B">
      <w:pPr>
        <w:tabs>
          <w:tab w:val="right" w:leader="dot" w:pos="7654"/>
          <w:tab w:val="right" w:pos="8929"/>
          <w:tab w:val="right" w:pos="9638"/>
        </w:tabs>
        <w:spacing w:after="120"/>
        <w:ind w:left="1559" w:hanging="425"/>
      </w:pPr>
      <w:r>
        <w:t>A.</w:t>
      </w:r>
      <w:r>
        <w:tab/>
      </w:r>
      <w:r w:rsidR="00217FBC" w:rsidRPr="00217FBC">
        <w:rPr>
          <w:rFonts w:ascii="Times New Roman Gras" w:hAnsi="Times New Roman Gras"/>
          <w:spacing w:val="-3"/>
          <w:lang w:val="fr-FR"/>
        </w:rPr>
        <w:t>Activités de la deuxième phase de la feuille de route du Groupe de travail</w:t>
      </w:r>
      <w:r w:rsidR="00217FBC" w:rsidRPr="00F001B0">
        <w:rPr>
          <w:lang w:val="fr-FR"/>
        </w:rPr>
        <w:t xml:space="preserve"> </w:t>
      </w:r>
      <w:r w:rsidR="00217FBC">
        <w:rPr>
          <w:lang w:val="fr-FR"/>
        </w:rPr>
        <w:br/>
      </w:r>
      <w:r w:rsidR="00217FBC" w:rsidRPr="00F001B0">
        <w:rPr>
          <w:lang w:val="fr-FR"/>
        </w:rPr>
        <w:t>des transports de marchandises dangereuses</w:t>
      </w:r>
      <w:r>
        <w:tab/>
      </w:r>
      <w:r>
        <w:tab/>
      </w:r>
      <w:r w:rsidR="00217FBC">
        <w:t>69−73</w:t>
      </w:r>
      <w:r>
        <w:tab/>
      </w:r>
      <w:r w:rsidR="00217FBC">
        <w:t>13</w:t>
      </w:r>
    </w:p>
    <w:p w:rsidR="0056317B" w:rsidRDefault="0056317B" w:rsidP="0056317B">
      <w:pPr>
        <w:tabs>
          <w:tab w:val="right" w:leader="dot" w:pos="7654"/>
          <w:tab w:val="right" w:pos="8929"/>
          <w:tab w:val="right" w:pos="9638"/>
        </w:tabs>
        <w:spacing w:after="120"/>
        <w:ind w:left="1559" w:hanging="425"/>
      </w:pPr>
      <w:r>
        <w:t>B.</w:t>
      </w:r>
      <w:r>
        <w:tab/>
      </w:r>
      <w:r w:rsidR="00217FBC" w:rsidRPr="00F001B0">
        <w:rPr>
          <w:lang w:val="fr-FR"/>
        </w:rPr>
        <w:t>Amélioration des systèmes d</w:t>
      </w:r>
      <w:r w:rsidR="008B6F84">
        <w:rPr>
          <w:lang w:val="fr-FR"/>
        </w:rPr>
        <w:t>’</w:t>
      </w:r>
      <w:r w:rsidR="00217FBC" w:rsidRPr="00F001B0">
        <w:rPr>
          <w:lang w:val="fr-FR"/>
        </w:rPr>
        <w:t xml:space="preserve">information sur les incidents survenant </w:t>
      </w:r>
      <w:r w:rsidR="00217FBC">
        <w:rPr>
          <w:lang w:val="fr-FR"/>
        </w:rPr>
        <w:br/>
      </w:r>
      <w:r w:rsidR="00217FBC" w:rsidRPr="00F001B0">
        <w:rPr>
          <w:lang w:val="fr-FR"/>
        </w:rPr>
        <w:t>dans les transports intérieurs de marchandises dangereuses</w:t>
      </w:r>
      <w:r>
        <w:tab/>
      </w:r>
      <w:r>
        <w:tab/>
      </w:r>
      <w:r w:rsidR="00217FBC">
        <w:t>74−79</w:t>
      </w:r>
      <w:r>
        <w:tab/>
      </w:r>
      <w:r w:rsidR="00217FBC">
        <w:t>14</w:t>
      </w:r>
    </w:p>
    <w:p w:rsidR="0056317B" w:rsidRDefault="0056317B" w:rsidP="0056317B">
      <w:pPr>
        <w:tabs>
          <w:tab w:val="right" w:pos="850"/>
          <w:tab w:val="right" w:leader="dot" w:pos="7654"/>
          <w:tab w:val="right" w:pos="8929"/>
          <w:tab w:val="right" w:pos="9638"/>
        </w:tabs>
        <w:spacing w:after="120"/>
        <w:ind w:left="1134" w:hanging="1134"/>
      </w:pPr>
      <w:r>
        <w:tab/>
        <w:t>IX.</w:t>
      </w:r>
      <w:r>
        <w:tab/>
      </w:r>
      <w:r w:rsidR="00217FBC" w:rsidRPr="00F001B0">
        <w:rPr>
          <w:lang w:val="fr-FR"/>
        </w:rPr>
        <w:t>Travaux futurs (point 8 de l</w:t>
      </w:r>
      <w:r w:rsidR="008B6F84">
        <w:rPr>
          <w:lang w:val="fr-FR"/>
        </w:rPr>
        <w:t>’</w:t>
      </w:r>
      <w:r w:rsidR="00217FBC" w:rsidRPr="00F001B0">
        <w:rPr>
          <w:lang w:val="fr-FR"/>
        </w:rPr>
        <w:t>ordre du jour)</w:t>
      </w:r>
      <w:r>
        <w:tab/>
      </w:r>
      <w:r>
        <w:tab/>
      </w:r>
      <w:r w:rsidR="00217FBC">
        <w:t>80</w:t>
      </w:r>
      <w:r>
        <w:tab/>
      </w:r>
      <w:r w:rsidR="00217FBC">
        <w:t>15</w:t>
      </w:r>
    </w:p>
    <w:p w:rsidR="0056317B" w:rsidRDefault="0056317B" w:rsidP="0056317B">
      <w:pPr>
        <w:tabs>
          <w:tab w:val="right" w:pos="850"/>
          <w:tab w:val="right" w:leader="dot" w:pos="7654"/>
          <w:tab w:val="right" w:pos="8929"/>
          <w:tab w:val="right" w:pos="9638"/>
        </w:tabs>
        <w:spacing w:after="120"/>
        <w:ind w:left="1134" w:hanging="1134"/>
      </w:pPr>
      <w:r>
        <w:tab/>
        <w:t>X.</w:t>
      </w:r>
      <w:r>
        <w:tab/>
      </w:r>
      <w:r w:rsidR="00217FBC" w:rsidRPr="00F001B0">
        <w:rPr>
          <w:lang w:val="fr-FR"/>
        </w:rPr>
        <w:t>Questions diverses (point 9 de l</w:t>
      </w:r>
      <w:r w:rsidR="008B6F84">
        <w:rPr>
          <w:lang w:val="fr-FR"/>
        </w:rPr>
        <w:t>’</w:t>
      </w:r>
      <w:r w:rsidR="00217FBC" w:rsidRPr="00F001B0">
        <w:rPr>
          <w:lang w:val="fr-FR"/>
        </w:rPr>
        <w:t>ordre du jour)</w:t>
      </w:r>
      <w:r>
        <w:tab/>
      </w:r>
      <w:r>
        <w:tab/>
      </w:r>
      <w:r w:rsidR="00217FBC">
        <w:t>81−84</w:t>
      </w:r>
      <w:r>
        <w:tab/>
      </w:r>
      <w:r w:rsidR="00217FBC">
        <w:t>15</w:t>
      </w:r>
    </w:p>
    <w:p w:rsidR="0019709C" w:rsidRDefault="0019709C" w:rsidP="0019709C">
      <w:pPr>
        <w:tabs>
          <w:tab w:val="right" w:leader="dot" w:pos="7654"/>
          <w:tab w:val="right" w:pos="8929"/>
          <w:tab w:val="right" w:pos="9638"/>
        </w:tabs>
        <w:spacing w:after="120"/>
        <w:ind w:left="1559" w:hanging="425"/>
      </w:pPr>
      <w:r>
        <w:t>A.</w:t>
      </w:r>
      <w:r>
        <w:tab/>
      </w:r>
      <w:r w:rsidR="00217FBC" w:rsidRPr="00217FBC">
        <w:rPr>
          <w:rFonts w:ascii="Times New Roman Gras" w:hAnsi="Times New Roman Gras"/>
          <w:spacing w:val="-3"/>
          <w:lang w:val="fr-FR"/>
        </w:rPr>
        <w:t>Remplissage des bouteilles de GPL par des particuliers ou des entreprises</w:t>
      </w:r>
      <w:r w:rsidR="008040E9">
        <w:rPr>
          <w:lang w:val="fr-FR"/>
        </w:rPr>
        <w:br/>
      </w:r>
      <w:r w:rsidR="00217FBC" w:rsidRPr="00F001B0">
        <w:rPr>
          <w:lang w:val="fr-FR"/>
        </w:rPr>
        <w:t>pour leur propre approvisionnement</w:t>
      </w:r>
      <w:r>
        <w:tab/>
      </w:r>
      <w:r>
        <w:tab/>
      </w:r>
      <w:r w:rsidR="00217FBC">
        <w:t>81−83</w:t>
      </w:r>
      <w:r>
        <w:tab/>
      </w:r>
      <w:r w:rsidR="00217FBC">
        <w:t>15</w:t>
      </w:r>
    </w:p>
    <w:p w:rsidR="0019709C" w:rsidRDefault="0019709C" w:rsidP="0019709C">
      <w:pPr>
        <w:tabs>
          <w:tab w:val="right" w:leader="dot" w:pos="7654"/>
          <w:tab w:val="right" w:pos="8929"/>
          <w:tab w:val="right" w:pos="9638"/>
        </w:tabs>
        <w:spacing w:after="120"/>
        <w:ind w:left="1559" w:hanging="425"/>
      </w:pPr>
      <w:r>
        <w:t>B.</w:t>
      </w:r>
      <w:r>
        <w:tab/>
      </w:r>
      <w:r w:rsidR="008040E9" w:rsidRPr="00F001B0">
        <w:rPr>
          <w:lang w:val="fr-FR"/>
        </w:rPr>
        <w:t>Hommages</w:t>
      </w:r>
      <w:r>
        <w:tab/>
      </w:r>
      <w:r>
        <w:tab/>
      </w:r>
      <w:r w:rsidR="005F64B4">
        <w:t>84</w:t>
      </w:r>
      <w:r>
        <w:tab/>
      </w:r>
      <w:r w:rsidR="008040E9">
        <w:t>16</w:t>
      </w:r>
    </w:p>
    <w:p w:rsidR="005F64B4" w:rsidRDefault="005F64B4" w:rsidP="005F64B4">
      <w:pPr>
        <w:tabs>
          <w:tab w:val="right" w:pos="850"/>
          <w:tab w:val="right" w:leader="dot" w:pos="7654"/>
          <w:tab w:val="right" w:pos="8929"/>
          <w:tab w:val="right" w:pos="9638"/>
        </w:tabs>
        <w:spacing w:after="120"/>
        <w:ind w:left="1134" w:hanging="1134"/>
      </w:pPr>
      <w:r>
        <w:tab/>
        <w:t>XI.</w:t>
      </w:r>
      <w:r>
        <w:tab/>
      </w:r>
      <w:r w:rsidRPr="00F001B0">
        <w:rPr>
          <w:lang w:val="fr-FR"/>
        </w:rPr>
        <w:t>Adoption du rapport (point 10 de l</w:t>
      </w:r>
      <w:r w:rsidR="008B6F84">
        <w:rPr>
          <w:lang w:val="fr-FR"/>
        </w:rPr>
        <w:t>’</w:t>
      </w:r>
      <w:r w:rsidRPr="00F001B0">
        <w:rPr>
          <w:lang w:val="fr-FR"/>
        </w:rPr>
        <w:t>ordre du jour)</w:t>
      </w:r>
      <w:r>
        <w:rPr>
          <w:lang w:val="fr-FR"/>
        </w:rPr>
        <w:tab/>
      </w:r>
      <w:r>
        <w:rPr>
          <w:lang w:val="fr-FR"/>
        </w:rPr>
        <w:tab/>
        <w:t>85</w:t>
      </w:r>
      <w:r>
        <w:rPr>
          <w:lang w:val="fr-FR"/>
        </w:rPr>
        <w:tab/>
        <w:t>16</w:t>
      </w:r>
    </w:p>
    <w:p w:rsidR="00D21940" w:rsidRPr="00D21940" w:rsidRDefault="00D21940" w:rsidP="00D21940">
      <w:pPr>
        <w:tabs>
          <w:tab w:val="right" w:pos="850"/>
        </w:tabs>
        <w:spacing w:after="120"/>
      </w:pPr>
      <w:r>
        <w:lastRenderedPageBreak/>
        <w:tab/>
        <w:t>Annexes</w:t>
      </w:r>
    </w:p>
    <w:p w:rsidR="00D21940" w:rsidRDefault="00D21940" w:rsidP="00D21940">
      <w:pPr>
        <w:tabs>
          <w:tab w:val="right" w:pos="850"/>
          <w:tab w:val="right" w:leader="dot" w:pos="8929"/>
          <w:tab w:val="right" w:pos="9638"/>
        </w:tabs>
        <w:spacing w:after="120"/>
        <w:ind w:left="1134" w:hanging="1134"/>
      </w:pPr>
      <w:r>
        <w:tab/>
        <w:t>I.</w:t>
      </w:r>
      <w:r>
        <w:tab/>
      </w:r>
      <w:r w:rsidR="005F64B4" w:rsidRPr="00F001B0">
        <w:rPr>
          <w:lang w:val="fr-FR"/>
        </w:rPr>
        <w:t>Rapport du Groupe de travail des citernes</w:t>
      </w:r>
      <w:r w:rsidR="005F64B4" w:rsidRPr="005F64B4">
        <w:rPr>
          <w:rStyle w:val="FootnoteReference"/>
          <w:sz w:val="20"/>
          <w:vertAlign w:val="baseline"/>
        </w:rPr>
        <w:footnoteReference w:customMarkFollows="1" w:id="3"/>
        <w:t>**</w:t>
      </w:r>
      <w:r>
        <w:tab/>
      </w:r>
      <w:r>
        <w:tab/>
      </w:r>
      <w:r w:rsidR="005F64B4">
        <w:t>17</w:t>
      </w:r>
    </w:p>
    <w:p w:rsidR="0019709C" w:rsidRDefault="0019709C" w:rsidP="00D21940">
      <w:pPr>
        <w:tabs>
          <w:tab w:val="right" w:pos="850"/>
          <w:tab w:val="right" w:leader="dot" w:pos="8929"/>
          <w:tab w:val="right" w:pos="9638"/>
        </w:tabs>
        <w:spacing w:after="120"/>
        <w:ind w:left="1134" w:hanging="1134"/>
      </w:pPr>
      <w:r>
        <w:tab/>
        <w:t>II.</w:t>
      </w:r>
      <w:r>
        <w:tab/>
      </w:r>
      <w:r w:rsidR="002E1524" w:rsidRPr="00F001B0">
        <w:rPr>
          <w:lang w:val="fr-FR"/>
        </w:rPr>
        <w:t>Projet d</w:t>
      </w:r>
      <w:r w:rsidR="008B6F84">
        <w:rPr>
          <w:lang w:val="fr-FR"/>
        </w:rPr>
        <w:t>’</w:t>
      </w:r>
      <w:r w:rsidR="002E1524" w:rsidRPr="00F001B0">
        <w:rPr>
          <w:lang w:val="fr-FR"/>
        </w:rPr>
        <w:t>amendements au RID, à l</w:t>
      </w:r>
      <w:r w:rsidR="008B6F84">
        <w:rPr>
          <w:lang w:val="fr-FR"/>
        </w:rPr>
        <w:t>’</w:t>
      </w:r>
      <w:r w:rsidR="002E1524" w:rsidRPr="00F001B0">
        <w:rPr>
          <w:lang w:val="fr-FR"/>
        </w:rPr>
        <w:t>ADR et à l</w:t>
      </w:r>
      <w:r w:rsidR="008B6F84">
        <w:rPr>
          <w:lang w:val="fr-FR"/>
        </w:rPr>
        <w:t>’</w:t>
      </w:r>
      <w:r w:rsidR="002E1524" w:rsidRPr="00F001B0">
        <w:rPr>
          <w:lang w:val="fr-FR"/>
        </w:rPr>
        <w:t xml:space="preserve">ADN pour </w:t>
      </w:r>
      <w:proofErr w:type="spellStart"/>
      <w:r w:rsidR="002E1524" w:rsidRPr="00F001B0">
        <w:rPr>
          <w:lang w:val="fr-FR"/>
        </w:rPr>
        <w:t>entrée</w:t>
      </w:r>
      <w:proofErr w:type="spellEnd"/>
      <w:r w:rsidR="002E1524" w:rsidRPr="00F001B0">
        <w:rPr>
          <w:lang w:val="fr-FR"/>
        </w:rPr>
        <w:t xml:space="preserve"> en vigueur le 1</w:t>
      </w:r>
      <w:r w:rsidR="002E1524" w:rsidRPr="00F001B0">
        <w:rPr>
          <w:vertAlign w:val="superscript"/>
          <w:lang w:val="fr-FR"/>
        </w:rPr>
        <w:t>er</w:t>
      </w:r>
      <w:r w:rsidR="002E1524" w:rsidRPr="00F001B0">
        <w:rPr>
          <w:lang w:val="fr-FR"/>
        </w:rPr>
        <w:t> janvier 2019</w:t>
      </w:r>
      <w:r>
        <w:tab/>
      </w:r>
      <w:r>
        <w:tab/>
      </w:r>
      <w:r w:rsidR="002E1524">
        <w:t>18</w:t>
      </w:r>
    </w:p>
    <w:p w:rsidR="0019709C" w:rsidRDefault="0019709C" w:rsidP="0019709C">
      <w:pPr>
        <w:tabs>
          <w:tab w:val="right" w:pos="850"/>
          <w:tab w:val="right" w:leader="dot" w:pos="8929"/>
          <w:tab w:val="right" w:pos="9638"/>
        </w:tabs>
        <w:spacing w:after="120"/>
        <w:ind w:left="1134" w:hanging="1134"/>
      </w:pPr>
      <w:r>
        <w:tab/>
        <w:t>III.</w:t>
      </w:r>
      <w:r>
        <w:tab/>
      </w:r>
      <w:r w:rsidR="002E1524" w:rsidRPr="00F001B0">
        <w:rPr>
          <w:lang w:val="fr-FR"/>
        </w:rPr>
        <w:t>Corrections et modifications aux projets d</w:t>
      </w:r>
      <w:r w:rsidR="008B6F84">
        <w:rPr>
          <w:lang w:val="fr-FR"/>
        </w:rPr>
        <w:t>’</w:t>
      </w:r>
      <w:r w:rsidR="002E1524" w:rsidRPr="00F001B0">
        <w:rPr>
          <w:lang w:val="fr-FR"/>
        </w:rPr>
        <w:t xml:space="preserve">amendements dans les documents </w:t>
      </w:r>
      <w:r w:rsidR="002E1524">
        <w:rPr>
          <w:lang w:val="fr-FR"/>
        </w:rPr>
        <w:br/>
      </w:r>
      <w:r w:rsidR="002E1524" w:rsidRPr="00F001B0">
        <w:rPr>
          <w:lang w:val="fr-FR"/>
        </w:rPr>
        <w:t>ECE/TRANS/WP.15/240 et OTIF/RID/CE/GTP/2017/15</w:t>
      </w:r>
      <w:r>
        <w:tab/>
      </w:r>
      <w:r>
        <w:tab/>
      </w:r>
      <w:r w:rsidR="002E1524">
        <w:t>24</w:t>
      </w:r>
    </w:p>
    <w:p w:rsidR="0019709C" w:rsidRDefault="0019709C" w:rsidP="0019709C">
      <w:pPr>
        <w:tabs>
          <w:tab w:val="right" w:pos="850"/>
          <w:tab w:val="right" w:leader="dot" w:pos="8929"/>
          <w:tab w:val="right" w:pos="9638"/>
        </w:tabs>
        <w:spacing w:after="120"/>
        <w:ind w:left="1134" w:hanging="1134"/>
      </w:pPr>
      <w:r>
        <w:tab/>
        <w:t>IV.</w:t>
      </w:r>
      <w:r>
        <w:tab/>
      </w:r>
      <w:r w:rsidR="002E1524" w:rsidRPr="00F001B0">
        <w:rPr>
          <w:lang w:val="fr-FR"/>
        </w:rPr>
        <w:t>Projet d</w:t>
      </w:r>
      <w:r w:rsidR="008B6F84">
        <w:rPr>
          <w:lang w:val="fr-FR"/>
        </w:rPr>
        <w:t>’</w:t>
      </w:r>
      <w:r w:rsidR="002E1524" w:rsidRPr="00F001B0">
        <w:rPr>
          <w:lang w:val="fr-FR"/>
        </w:rPr>
        <w:t xml:space="preserve">amendements au RID, ADR et ADN pour </w:t>
      </w:r>
      <w:proofErr w:type="spellStart"/>
      <w:r w:rsidR="002E1524" w:rsidRPr="00F001B0">
        <w:rPr>
          <w:lang w:val="fr-FR"/>
        </w:rPr>
        <w:t>entrée</w:t>
      </w:r>
      <w:proofErr w:type="spellEnd"/>
      <w:r w:rsidR="002E1524" w:rsidRPr="00F001B0">
        <w:rPr>
          <w:lang w:val="fr-FR"/>
        </w:rPr>
        <w:t xml:space="preserve"> en vigueur le 1</w:t>
      </w:r>
      <w:r w:rsidR="002E1524" w:rsidRPr="00F001B0">
        <w:rPr>
          <w:vertAlign w:val="superscript"/>
          <w:lang w:val="fr-FR"/>
        </w:rPr>
        <w:t>er</w:t>
      </w:r>
      <w:r w:rsidR="002E1524" w:rsidRPr="00F001B0">
        <w:rPr>
          <w:lang w:val="fr-FR"/>
        </w:rPr>
        <w:t> janvier 2021</w:t>
      </w:r>
      <w:r>
        <w:tab/>
      </w:r>
      <w:r>
        <w:tab/>
      </w:r>
      <w:r w:rsidR="002E1524">
        <w:t>27</w:t>
      </w:r>
    </w:p>
    <w:p w:rsidR="0019709C" w:rsidRDefault="0019709C" w:rsidP="0019709C">
      <w:pPr>
        <w:tabs>
          <w:tab w:val="right" w:pos="850"/>
          <w:tab w:val="right" w:leader="dot" w:pos="8929"/>
          <w:tab w:val="right" w:pos="9638"/>
        </w:tabs>
        <w:spacing w:after="120"/>
        <w:ind w:left="1134" w:hanging="1134"/>
      </w:pPr>
      <w:r>
        <w:tab/>
        <w:t>V.</w:t>
      </w:r>
      <w:r>
        <w:tab/>
      </w:r>
      <w:r w:rsidR="002E1524" w:rsidRPr="002E1524">
        <w:rPr>
          <w:rFonts w:ascii="Times New Roman Gras" w:hAnsi="Times New Roman Gras"/>
          <w:spacing w:val="-3"/>
          <w:lang w:val="fr-FR"/>
        </w:rPr>
        <w:t>Ligne directrice pour l</w:t>
      </w:r>
      <w:r w:rsidR="008B6F84">
        <w:rPr>
          <w:rFonts w:ascii="Times New Roman Gras" w:hAnsi="Times New Roman Gras"/>
          <w:spacing w:val="-3"/>
          <w:lang w:val="fr-FR"/>
        </w:rPr>
        <w:t>’</w:t>
      </w:r>
      <w:r w:rsidR="002E1524" w:rsidRPr="002E1524">
        <w:rPr>
          <w:rFonts w:ascii="Times New Roman Gras" w:hAnsi="Times New Roman Gras"/>
          <w:spacing w:val="-3"/>
          <w:lang w:val="fr-FR"/>
        </w:rPr>
        <w:t>application de la norme EN 13094:2015</w:t>
      </w:r>
      <w:r w:rsidR="002E1524" w:rsidRPr="00F001B0">
        <w:rPr>
          <w:lang w:val="fr-FR"/>
        </w:rPr>
        <w:t xml:space="preserve"> afin de respecter les prescriptions </w:t>
      </w:r>
      <w:r w:rsidR="002E1524">
        <w:rPr>
          <w:lang w:val="fr-FR"/>
        </w:rPr>
        <w:br/>
      </w:r>
      <w:r w:rsidR="002E1524" w:rsidRPr="00F001B0">
        <w:rPr>
          <w:lang w:val="fr-FR"/>
        </w:rPr>
        <w:t>de l</w:t>
      </w:r>
      <w:r w:rsidR="008B6F84">
        <w:rPr>
          <w:lang w:val="fr-FR"/>
        </w:rPr>
        <w:t>’</w:t>
      </w:r>
      <w:r w:rsidR="002E1524" w:rsidRPr="00F001B0">
        <w:rPr>
          <w:lang w:val="fr-FR"/>
        </w:rPr>
        <w:t>ADR 2017 et 2019</w:t>
      </w:r>
      <w:r>
        <w:tab/>
      </w:r>
      <w:r>
        <w:tab/>
      </w:r>
      <w:r w:rsidR="002E1524">
        <w:t>28</w:t>
      </w:r>
    </w:p>
    <w:p w:rsidR="00CC315F" w:rsidRPr="00F001B0" w:rsidRDefault="0019709C" w:rsidP="005912D6">
      <w:pPr>
        <w:pStyle w:val="HChG"/>
        <w:rPr>
          <w:lang w:val="fr-FR"/>
        </w:rPr>
      </w:pPr>
      <w:r>
        <w:br w:type="page"/>
      </w:r>
      <w:r w:rsidR="00CC315F" w:rsidRPr="00CC315F">
        <w:lastRenderedPageBreak/>
        <w:tab/>
      </w:r>
      <w:r w:rsidR="00CC315F" w:rsidRPr="00F001B0">
        <w:rPr>
          <w:lang w:val="fr-FR"/>
        </w:rPr>
        <w:t>I.</w:t>
      </w:r>
      <w:r w:rsidR="00CC315F" w:rsidRPr="00F001B0">
        <w:rPr>
          <w:lang w:val="fr-FR"/>
        </w:rPr>
        <w:tab/>
      </w:r>
      <w:r w:rsidR="00CC315F" w:rsidRPr="005912D6">
        <w:t>Participation</w:t>
      </w:r>
    </w:p>
    <w:p w:rsidR="00CC315F" w:rsidRPr="000D6887" w:rsidRDefault="00CC315F" w:rsidP="005912D6">
      <w:pPr>
        <w:pStyle w:val="SingleTxtG"/>
        <w:rPr>
          <w:lang w:val="fr-FR"/>
        </w:rPr>
      </w:pPr>
      <w:r w:rsidRPr="00F001B0">
        <w:rPr>
          <w:lang w:val="fr-FR"/>
        </w:rPr>
        <w:t>1.</w:t>
      </w:r>
      <w:r w:rsidRPr="00F001B0">
        <w:rPr>
          <w:lang w:val="fr-FR"/>
        </w:rPr>
        <w:tab/>
        <w:t>La Réunion commune de la Commission d</w:t>
      </w:r>
      <w:r w:rsidR="008B6F84">
        <w:rPr>
          <w:lang w:val="fr-FR"/>
        </w:rPr>
        <w:t>’</w:t>
      </w:r>
      <w:r w:rsidRPr="00F001B0">
        <w:rPr>
          <w:lang w:val="fr-FR"/>
        </w:rPr>
        <w:t xml:space="preserve">experts du RID et du Groupe de travail des transports de marchandises dangereuses de la </w:t>
      </w:r>
      <w:r w:rsidRPr="00F001B0">
        <w:rPr>
          <w:bCs/>
          <w:lang w:val="fr-FR"/>
        </w:rPr>
        <w:t>Commission économique pour l</w:t>
      </w:r>
      <w:r w:rsidR="008B6F84">
        <w:rPr>
          <w:bCs/>
          <w:lang w:val="fr-FR"/>
        </w:rPr>
        <w:t>’</w:t>
      </w:r>
      <w:r w:rsidRPr="00F001B0">
        <w:rPr>
          <w:bCs/>
          <w:lang w:val="fr-FR"/>
        </w:rPr>
        <w:t xml:space="preserve">Europe (CEE) </w:t>
      </w:r>
      <w:r w:rsidRPr="00F001B0">
        <w:rPr>
          <w:lang w:val="fr-FR"/>
        </w:rPr>
        <w:t>s</w:t>
      </w:r>
      <w:r w:rsidR="008B6F84">
        <w:rPr>
          <w:lang w:val="fr-FR"/>
        </w:rPr>
        <w:t>’</w:t>
      </w:r>
      <w:r w:rsidRPr="00F001B0">
        <w:rPr>
          <w:lang w:val="fr-FR"/>
        </w:rPr>
        <w:t>est tenue à Berne du 12 au 16 mars 2018 sous la présidence de M. C. </w:t>
      </w:r>
      <w:proofErr w:type="spellStart"/>
      <w:r w:rsidRPr="00F001B0">
        <w:rPr>
          <w:lang w:val="fr-FR"/>
        </w:rPr>
        <w:t>Pfauvadel</w:t>
      </w:r>
      <w:proofErr w:type="spellEnd"/>
      <w:r w:rsidRPr="00F001B0">
        <w:rPr>
          <w:lang w:val="fr-FR"/>
        </w:rPr>
        <w:t xml:space="preserve"> (France) et la vice</w:t>
      </w:r>
      <w:r w:rsidRPr="000D6887">
        <w:rPr>
          <w:lang w:val="fr-FR"/>
        </w:rPr>
        <w:t>-présidence de M. H. Rein (Allemagne).</w:t>
      </w:r>
    </w:p>
    <w:p w:rsidR="00CC315F" w:rsidRPr="000D6887" w:rsidRDefault="00CC315F" w:rsidP="00CC315F">
      <w:pPr>
        <w:pStyle w:val="SingleTxtG"/>
        <w:rPr>
          <w:lang w:val="fr-FR"/>
        </w:rPr>
      </w:pPr>
      <w:r w:rsidRPr="000D6887">
        <w:rPr>
          <w:lang w:val="fr-FR"/>
        </w:rPr>
        <w:t>2.</w:t>
      </w:r>
      <w:r w:rsidRPr="000D6887">
        <w:rPr>
          <w:lang w:val="fr-FR"/>
        </w:rPr>
        <w:tab/>
        <w:t>Conformément à l</w:t>
      </w:r>
      <w:r w:rsidR="008B6F84">
        <w:rPr>
          <w:lang w:val="fr-FR"/>
        </w:rPr>
        <w:t>’</w:t>
      </w:r>
      <w:r w:rsidRPr="000D6887">
        <w:rPr>
          <w:lang w:val="fr-FR"/>
        </w:rPr>
        <w:t>article 1 a) du Règlement intérieur de la Réunion commune, (ECE/TRANS/WP.15/AC.1/112/Add.2), les représentants des pays suivants ont participé de plein droit à la session</w:t>
      </w:r>
      <w:r w:rsidR="005912D6" w:rsidRPr="000D6887">
        <w:rPr>
          <w:lang w:val="fr-FR"/>
        </w:rPr>
        <w:t> </w:t>
      </w:r>
      <w:r w:rsidRPr="000D6887">
        <w:rPr>
          <w:lang w:val="fr-FR"/>
        </w:rPr>
        <w:t>: Allemagne, Autriche, Belgique, Croatie, Danemark, Espagne, Fédération de Russie, Finlande, France, Italie, Lettonie, Luxembourg, Pays-Bas, Pologne, Royaume-Uni, Roumanie, Slovaquie, Suède, Suisse, Tchéquie et Turquie.</w:t>
      </w:r>
    </w:p>
    <w:p w:rsidR="00CC315F" w:rsidRPr="00F001B0" w:rsidRDefault="00CC315F" w:rsidP="00CC315F">
      <w:pPr>
        <w:pStyle w:val="SingleTxtG"/>
        <w:rPr>
          <w:lang w:val="fr-FR"/>
        </w:rPr>
      </w:pPr>
      <w:r w:rsidRPr="000D6887">
        <w:rPr>
          <w:lang w:val="fr-FR"/>
        </w:rPr>
        <w:t>3.</w:t>
      </w:r>
      <w:r w:rsidRPr="000D6887">
        <w:rPr>
          <w:lang w:val="fr-FR"/>
        </w:rPr>
        <w:tab/>
        <w:t xml:space="preserve">Conformément </w:t>
      </w:r>
      <w:r w:rsidR="006C431B">
        <w:rPr>
          <w:lang w:val="fr-FR"/>
        </w:rPr>
        <w:t>à l</w:t>
      </w:r>
      <w:r w:rsidR="008B6F84">
        <w:rPr>
          <w:lang w:val="fr-FR"/>
        </w:rPr>
        <w:t>’</w:t>
      </w:r>
      <w:r w:rsidR="006C431B">
        <w:rPr>
          <w:lang w:val="fr-FR"/>
        </w:rPr>
        <w:t>article 1</w:t>
      </w:r>
      <w:r w:rsidRPr="000D6887">
        <w:rPr>
          <w:lang w:val="fr-FR"/>
        </w:rPr>
        <w:t xml:space="preserve"> c) </w:t>
      </w:r>
      <w:r w:rsidR="006C431B">
        <w:rPr>
          <w:lang w:val="fr-FR"/>
        </w:rPr>
        <w:t>d</w:t>
      </w:r>
      <w:r w:rsidRPr="000D6887">
        <w:rPr>
          <w:lang w:val="fr-FR"/>
        </w:rPr>
        <w:t>u Règlement intérieur, étaient représentées à titre consultatif</w:t>
      </w:r>
      <w:r w:rsidR="008E39EA" w:rsidRPr="000D6887">
        <w:rPr>
          <w:lang w:val="fr-FR"/>
        </w:rPr>
        <w:t> </w:t>
      </w:r>
      <w:r w:rsidRPr="000D6887">
        <w:rPr>
          <w:lang w:val="fr-FR"/>
        </w:rPr>
        <w:t>:</w:t>
      </w:r>
    </w:p>
    <w:p w:rsidR="00CC315F" w:rsidRPr="00F001B0" w:rsidRDefault="00CC315F" w:rsidP="005912D6">
      <w:pPr>
        <w:pStyle w:val="SingleTxtG"/>
        <w:ind w:firstLine="567"/>
        <w:rPr>
          <w:lang w:val="fr-FR"/>
        </w:rPr>
      </w:pPr>
      <w:r w:rsidRPr="00F001B0">
        <w:rPr>
          <w:lang w:val="fr-FR"/>
        </w:rPr>
        <w:t>a)</w:t>
      </w:r>
      <w:r w:rsidRPr="00F001B0">
        <w:rPr>
          <w:lang w:val="fr-FR"/>
        </w:rPr>
        <w:tab/>
        <w:t>L</w:t>
      </w:r>
      <w:r w:rsidR="008B6F84">
        <w:rPr>
          <w:lang w:val="fr-FR"/>
        </w:rPr>
        <w:t>’</w:t>
      </w:r>
      <w:r w:rsidRPr="00F001B0">
        <w:rPr>
          <w:lang w:val="fr-FR"/>
        </w:rPr>
        <w:t>Organisation pour la coopération des chemins de fer (OSJD) et l</w:t>
      </w:r>
      <w:r w:rsidR="008B6F84">
        <w:rPr>
          <w:lang w:val="fr-FR"/>
        </w:rPr>
        <w:t>’</w:t>
      </w:r>
      <w:r w:rsidRPr="00F001B0">
        <w:rPr>
          <w:lang w:val="fr-FR"/>
        </w:rPr>
        <w:t>Union européenne (Commission européenne et Agence de l</w:t>
      </w:r>
      <w:r w:rsidR="008B6F84">
        <w:rPr>
          <w:lang w:val="fr-FR"/>
        </w:rPr>
        <w:t>’</w:t>
      </w:r>
      <w:r w:rsidRPr="00F001B0">
        <w:rPr>
          <w:lang w:val="fr-FR"/>
        </w:rPr>
        <w:t>Union européenne pour les chemins de fer (ERA)) ;</w:t>
      </w:r>
    </w:p>
    <w:p w:rsidR="00CC315F" w:rsidRPr="00F001B0" w:rsidRDefault="00CC315F" w:rsidP="005912D6">
      <w:pPr>
        <w:pStyle w:val="SingleTxtG"/>
        <w:ind w:firstLine="567"/>
        <w:rPr>
          <w:lang w:val="fr-FR"/>
        </w:rPr>
      </w:pPr>
      <w:r w:rsidRPr="00F001B0">
        <w:rPr>
          <w:lang w:val="fr-FR"/>
        </w:rPr>
        <w:t>b)</w:t>
      </w:r>
      <w:r w:rsidRPr="00F001B0">
        <w:rPr>
          <w:lang w:val="fr-FR"/>
        </w:rPr>
        <w:tab/>
        <w:t>Les organisations internationales non gouvernementales suivantes : Association européenne des gaz de pétrole liquéfiés (AEGPL), Association européenne des gaz industriels (EIGA), Comité de liaison de la construction de carrosseries et de remorques (CLCCR), Comité européen de normalisation (CEN), Conseil européen de l</w:t>
      </w:r>
      <w:r w:rsidR="008B6F84">
        <w:rPr>
          <w:lang w:val="fr-FR"/>
        </w:rPr>
        <w:t>’</w:t>
      </w:r>
      <w:r w:rsidRPr="00F001B0">
        <w:rPr>
          <w:lang w:val="fr-FR"/>
        </w:rPr>
        <w:t xml:space="preserve">industrie chimique (CEFIC), Conférence européenne des négociants en carburant et combustibles (CENCC), Council on Safe Transportation of </w:t>
      </w:r>
      <w:proofErr w:type="spellStart"/>
      <w:r w:rsidRPr="00F001B0">
        <w:rPr>
          <w:lang w:val="fr-FR"/>
        </w:rPr>
        <w:t>Hazardous</w:t>
      </w:r>
      <w:proofErr w:type="spellEnd"/>
      <w:r w:rsidRPr="00F001B0">
        <w:rPr>
          <w:lang w:val="fr-FR"/>
        </w:rPr>
        <w:t xml:space="preserve"> Articles (COSTHA), </w:t>
      </w:r>
      <w:proofErr w:type="spellStart"/>
      <w:r w:rsidRPr="00F001B0">
        <w:rPr>
          <w:lang w:val="fr-FR"/>
        </w:rPr>
        <w:t>European</w:t>
      </w:r>
      <w:proofErr w:type="spellEnd"/>
      <w:r w:rsidRPr="00F001B0">
        <w:rPr>
          <w:lang w:val="fr-FR"/>
        </w:rPr>
        <w:t xml:space="preserve"> </w:t>
      </w:r>
      <w:proofErr w:type="spellStart"/>
      <w:r w:rsidRPr="00F001B0">
        <w:rPr>
          <w:lang w:val="fr-FR"/>
        </w:rPr>
        <w:t>Cylinder</w:t>
      </w:r>
      <w:proofErr w:type="spellEnd"/>
      <w:r w:rsidRPr="00F001B0">
        <w:rPr>
          <w:lang w:val="fr-FR"/>
        </w:rPr>
        <w:t xml:space="preserve"> </w:t>
      </w:r>
      <w:proofErr w:type="spellStart"/>
      <w:r w:rsidRPr="00F001B0">
        <w:rPr>
          <w:lang w:val="fr-FR"/>
        </w:rPr>
        <w:t>Makers</w:t>
      </w:r>
      <w:proofErr w:type="spellEnd"/>
      <w:r w:rsidRPr="00F001B0">
        <w:rPr>
          <w:lang w:val="fr-FR"/>
        </w:rPr>
        <w:t xml:space="preserve"> Association (ECMA), Organisation internationale des conteneurs-citernes (ITCO), Union internationale des chemins de fer (UIC), Union internationale des propriétaires de wagons particuliers (UIP) et Union internationale des transports routiers (IRU).</w:t>
      </w:r>
    </w:p>
    <w:p w:rsidR="00CC315F" w:rsidRPr="00F001B0" w:rsidRDefault="00CC315F" w:rsidP="00CC315F">
      <w:pPr>
        <w:pStyle w:val="HChG"/>
        <w:rPr>
          <w:lang w:val="fr-FR"/>
        </w:rPr>
      </w:pPr>
      <w:r w:rsidRPr="00F001B0">
        <w:rPr>
          <w:lang w:val="fr-FR"/>
        </w:rPr>
        <w:tab/>
        <w:t>II.</w:t>
      </w:r>
      <w:r w:rsidRPr="00F001B0">
        <w:rPr>
          <w:lang w:val="fr-FR"/>
        </w:rPr>
        <w:tab/>
        <w:t>Adoption de l</w:t>
      </w:r>
      <w:r w:rsidR="008B6F84">
        <w:rPr>
          <w:lang w:val="fr-FR"/>
        </w:rPr>
        <w:t>’</w:t>
      </w:r>
      <w:r w:rsidRPr="00F001B0">
        <w:rPr>
          <w:lang w:val="fr-FR"/>
        </w:rPr>
        <w:t>ordre du jour (point 1 de l</w:t>
      </w:r>
      <w:r w:rsidR="008B6F84">
        <w:rPr>
          <w:lang w:val="fr-FR"/>
        </w:rPr>
        <w:t>’</w:t>
      </w:r>
      <w:r w:rsidRPr="00F001B0">
        <w:rPr>
          <w:lang w:val="fr-FR"/>
        </w:rPr>
        <w:t>ordre du jour)</w:t>
      </w:r>
    </w:p>
    <w:p w:rsidR="00CC315F" w:rsidRPr="00F001B0" w:rsidRDefault="00CC315F" w:rsidP="00E44270">
      <w:pPr>
        <w:pStyle w:val="SingleTxtG"/>
        <w:tabs>
          <w:tab w:val="left" w:pos="3402"/>
        </w:tabs>
        <w:ind w:left="3402" w:hanging="2268"/>
        <w:jc w:val="left"/>
        <w:rPr>
          <w:lang w:val="fr-FR"/>
        </w:rPr>
      </w:pPr>
      <w:r w:rsidRPr="00F001B0">
        <w:rPr>
          <w:i/>
          <w:iCs/>
          <w:lang w:val="fr-FR"/>
        </w:rPr>
        <w:t>Documents</w:t>
      </w:r>
      <w:r w:rsidR="005912D6">
        <w:rPr>
          <w:iCs/>
          <w:lang w:val="fr-FR"/>
        </w:rPr>
        <w:t> :</w:t>
      </w:r>
      <w:r w:rsidRPr="00F001B0">
        <w:rPr>
          <w:lang w:val="fr-FR"/>
        </w:rPr>
        <w:tab/>
        <w:t>ECE/TRANS/WP.15/AC.1/149 et Add.1</w:t>
      </w:r>
    </w:p>
    <w:p w:rsidR="00CC315F" w:rsidRPr="00F001B0" w:rsidRDefault="00CC315F" w:rsidP="00E44270">
      <w:pPr>
        <w:pStyle w:val="SingleTxtG"/>
        <w:tabs>
          <w:tab w:val="left" w:pos="3402"/>
        </w:tabs>
        <w:ind w:left="3402" w:hanging="2268"/>
        <w:jc w:val="left"/>
        <w:rPr>
          <w:lang w:val="fr-FR"/>
        </w:rPr>
      </w:pPr>
      <w:r w:rsidRPr="00F001B0">
        <w:rPr>
          <w:i/>
          <w:iCs/>
          <w:lang w:val="fr-FR"/>
        </w:rPr>
        <w:t>Document informel</w:t>
      </w:r>
      <w:r w:rsidR="005912D6">
        <w:rPr>
          <w:i/>
          <w:iCs/>
          <w:lang w:val="fr-FR"/>
        </w:rPr>
        <w:t> </w:t>
      </w:r>
      <w:r w:rsidRPr="005912D6">
        <w:rPr>
          <w:iCs/>
          <w:lang w:val="fr-FR"/>
        </w:rPr>
        <w:t>:</w:t>
      </w:r>
      <w:r w:rsidRPr="00F001B0">
        <w:rPr>
          <w:lang w:val="fr-FR"/>
        </w:rPr>
        <w:tab/>
        <w:t>INF.2 (secrétariat)</w:t>
      </w:r>
    </w:p>
    <w:p w:rsidR="00CC315F" w:rsidRPr="00F001B0" w:rsidRDefault="00CC315F" w:rsidP="00CC315F">
      <w:pPr>
        <w:pStyle w:val="SingleTxtG"/>
        <w:rPr>
          <w:lang w:val="fr-FR"/>
        </w:rPr>
      </w:pPr>
      <w:r w:rsidRPr="00F001B0">
        <w:rPr>
          <w:lang w:val="fr-FR"/>
        </w:rPr>
        <w:t>4.</w:t>
      </w:r>
      <w:r w:rsidRPr="00F001B0">
        <w:rPr>
          <w:lang w:val="fr-FR"/>
        </w:rPr>
        <w:tab/>
        <w:t>La Réunion commune a adopté l</w:t>
      </w:r>
      <w:r w:rsidR="008B6F84">
        <w:rPr>
          <w:lang w:val="fr-FR"/>
        </w:rPr>
        <w:t>’</w:t>
      </w:r>
      <w:r w:rsidRPr="00F001B0">
        <w:rPr>
          <w:lang w:val="fr-FR"/>
        </w:rPr>
        <w:t>ordre du jour proposé par le secrétariat dans les documents ECE/TRANS/WP.15/AC.1/149 et Add.1 (document RID-18001-RC de l</w:t>
      </w:r>
      <w:r w:rsidR="008B6F84">
        <w:rPr>
          <w:lang w:val="fr-FR"/>
        </w:rPr>
        <w:t>’</w:t>
      </w:r>
      <w:r w:rsidRPr="00F001B0">
        <w:rPr>
          <w:lang w:val="fr-FR"/>
        </w:rPr>
        <w:t>OTIF) tels qu</w:t>
      </w:r>
      <w:r w:rsidR="008B6F84">
        <w:rPr>
          <w:lang w:val="fr-FR"/>
        </w:rPr>
        <w:t>’</w:t>
      </w:r>
      <w:r w:rsidRPr="00F001B0">
        <w:rPr>
          <w:lang w:val="fr-FR"/>
        </w:rPr>
        <w:t>actualisés par le document informel INF.2, après l</w:t>
      </w:r>
      <w:r w:rsidR="008B6F84">
        <w:rPr>
          <w:lang w:val="fr-FR"/>
        </w:rPr>
        <w:t>’</w:t>
      </w:r>
      <w:r w:rsidRPr="00F001B0">
        <w:rPr>
          <w:lang w:val="fr-FR"/>
        </w:rPr>
        <w:t>avoir modifié afin de prendre en compte les documents informels INF.41 à INF.47. L</w:t>
      </w:r>
      <w:r w:rsidR="008B6F84">
        <w:rPr>
          <w:lang w:val="fr-FR"/>
        </w:rPr>
        <w:t>’</w:t>
      </w:r>
      <w:r w:rsidRPr="00F001B0">
        <w:rPr>
          <w:lang w:val="fr-FR"/>
        </w:rPr>
        <w:t>examen du document informel INF.28 a été confié au Groupe de travail sur les normes.</w:t>
      </w:r>
    </w:p>
    <w:p w:rsidR="00CC315F" w:rsidRPr="00F001B0" w:rsidRDefault="00CC315F" w:rsidP="00CC315F">
      <w:pPr>
        <w:pStyle w:val="HChG"/>
        <w:rPr>
          <w:lang w:val="fr-FR"/>
        </w:rPr>
      </w:pPr>
      <w:r w:rsidRPr="00F001B0">
        <w:rPr>
          <w:lang w:val="fr-FR"/>
        </w:rPr>
        <w:tab/>
        <w:t>III.</w:t>
      </w:r>
      <w:r w:rsidRPr="00F001B0">
        <w:rPr>
          <w:lang w:val="fr-FR"/>
        </w:rPr>
        <w:tab/>
        <w:t>Citernes (point 2 de l</w:t>
      </w:r>
      <w:r w:rsidR="008B6F84">
        <w:rPr>
          <w:lang w:val="fr-FR"/>
        </w:rPr>
        <w:t>’</w:t>
      </w:r>
      <w:r w:rsidRPr="00F001B0">
        <w:rPr>
          <w:lang w:val="fr-FR"/>
        </w:rPr>
        <w:t>ordre du jour)</w:t>
      </w:r>
    </w:p>
    <w:p w:rsidR="00CC315F" w:rsidRPr="00F001B0" w:rsidRDefault="00CC315F" w:rsidP="00994235">
      <w:pPr>
        <w:pStyle w:val="SingleTxtG"/>
        <w:tabs>
          <w:tab w:val="left" w:pos="3402"/>
        </w:tabs>
        <w:ind w:left="3402" w:hanging="2268"/>
        <w:jc w:val="left"/>
        <w:rPr>
          <w:lang w:val="fr-FR"/>
        </w:rPr>
      </w:pPr>
      <w:r w:rsidRPr="00F001B0">
        <w:rPr>
          <w:i/>
          <w:iCs/>
          <w:lang w:val="fr-FR"/>
        </w:rPr>
        <w:t>Documents</w:t>
      </w:r>
      <w:r w:rsidR="00890C94">
        <w:rPr>
          <w:i/>
          <w:iCs/>
          <w:lang w:val="fr-FR"/>
        </w:rPr>
        <w:t> </w:t>
      </w:r>
      <w:r w:rsidR="00890C94">
        <w:rPr>
          <w:iCs/>
          <w:lang w:val="fr-FR"/>
        </w:rPr>
        <w:t>:</w:t>
      </w:r>
      <w:r w:rsidRPr="00F001B0">
        <w:rPr>
          <w:lang w:val="fr-FR"/>
        </w:rPr>
        <w:tab/>
      </w:r>
      <w:r w:rsidRPr="00F001B0">
        <w:rPr>
          <w:lang w:val="fr-FR"/>
        </w:rPr>
        <w:tab/>
        <w:t>ECE/TRANS/WP.15/AC.1/148/Add.2 (secrétariat)</w:t>
      </w:r>
      <w:r w:rsidR="00994235">
        <w:rPr>
          <w:lang w:val="fr-FR"/>
        </w:rPr>
        <w:br/>
      </w:r>
      <w:r w:rsidRPr="00F001B0">
        <w:rPr>
          <w:lang w:val="fr-FR"/>
        </w:rPr>
        <w:tab/>
        <w:t>ECE/TR</w:t>
      </w:r>
      <w:r w:rsidR="00890C94">
        <w:rPr>
          <w:lang w:val="fr-FR"/>
        </w:rPr>
        <w:t>ANS/WP.15/AC.1/2018/6 (Pologne)</w:t>
      </w:r>
      <w:r w:rsidR="00994235">
        <w:rPr>
          <w:lang w:val="fr-FR"/>
        </w:rPr>
        <w:br/>
      </w:r>
      <w:r w:rsidRPr="00F001B0">
        <w:rPr>
          <w:lang w:val="fr-FR"/>
        </w:rPr>
        <w:tab/>
        <w:t>ECE/TRANS/</w:t>
      </w:r>
      <w:r w:rsidR="00890C94">
        <w:rPr>
          <w:lang w:val="fr-FR"/>
        </w:rPr>
        <w:t>WP.15/AC.1/2018/8 (Royaume-Uni)</w:t>
      </w:r>
      <w:r w:rsidR="00994235">
        <w:rPr>
          <w:lang w:val="fr-FR"/>
        </w:rPr>
        <w:br/>
      </w:r>
      <w:r w:rsidRPr="00F001B0">
        <w:rPr>
          <w:lang w:val="fr-FR"/>
        </w:rPr>
        <w:tab/>
      </w:r>
      <w:r w:rsidRPr="00291329">
        <w:rPr>
          <w:lang w:val="fr-FR"/>
        </w:rPr>
        <w:t>ECE/TRANS/WP.15/AC.1/2018/9 (UIP)</w:t>
      </w:r>
      <w:r w:rsidR="00994235" w:rsidRPr="00291329">
        <w:rPr>
          <w:lang w:val="fr-FR"/>
        </w:rPr>
        <w:br/>
      </w:r>
      <w:r w:rsidRPr="00291329">
        <w:rPr>
          <w:lang w:val="fr-FR"/>
        </w:rPr>
        <w:tab/>
      </w:r>
      <w:r w:rsidRPr="00F001B0">
        <w:rPr>
          <w:lang w:val="fr-FR"/>
        </w:rPr>
        <w:t>ECE/TR</w:t>
      </w:r>
      <w:r w:rsidR="00890C94">
        <w:rPr>
          <w:lang w:val="fr-FR"/>
        </w:rPr>
        <w:t>ANS/WP.15/AC.1/2018/11 (France)</w:t>
      </w:r>
      <w:r w:rsidR="00994235">
        <w:rPr>
          <w:lang w:val="fr-FR"/>
        </w:rPr>
        <w:br/>
      </w:r>
      <w:r w:rsidRPr="00F001B0">
        <w:rPr>
          <w:lang w:val="fr-FR"/>
        </w:rPr>
        <w:tab/>
        <w:t>ECE/TR</w:t>
      </w:r>
      <w:r w:rsidR="00890C94">
        <w:rPr>
          <w:lang w:val="fr-FR"/>
        </w:rPr>
        <w:t>ANS/WP.15/AC.1/2018/12 (France)</w:t>
      </w:r>
      <w:r w:rsidR="00994235">
        <w:rPr>
          <w:lang w:val="fr-FR"/>
        </w:rPr>
        <w:br/>
      </w:r>
      <w:r w:rsidRPr="00F001B0">
        <w:rPr>
          <w:lang w:val="fr-FR"/>
        </w:rPr>
        <w:tab/>
        <w:t>ECE/TRANS/WP.15/AC.1/2018/13 (France)</w:t>
      </w:r>
    </w:p>
    <w:p w:rsidR="00CC315F" w:rsidRPr="00F001B0" w:rsidRDefault="00CC315F" w:rsidP="00994235">
      <w:pPr>
        <w:pStyle w:val="SingleTxtG"/>
        <w:tabs>
          <w:tab w:val="left" w:pos="3402"/>
        </w:tabs>
        <w:ind w:left="3402" w:hanging="2268"/>
        <w:jc w:val="left"/>
        <w:rPr>
          <w:lang w:val="fr-FR"/>
        </w:rPr>
      </w:pPr>
      <w:r w:rsidRPr="00F001B0">
        <w:rPr>
          <w:i/>
          <w:iCs/>
          <w:lang w:val="fr-FR"/>
        </w:rPr>
        <w:t>Documents informels</w:t>
      </w:r>
      <w:r w:rsidR="00890C94">
        <w:rPr>
          <w:i/>
          <w:iCs/>
          <w:lang w:val="fr-FR"/>
        </w:rPr>
        <w:t> </w:t>
      </w:r>
      <w:r w:rsidR="00890C94">
        <w:rPr>
          <w:iCs/>
          <w:lang w:val="fr-FR"/>
        </w:rPr>
        <w:t>:</w:t>
      </w:r>
      <w:r w:rsidR="00890C94">
        <w:rPr>
          <w:lang w:val="fr-FR"/>
        </w:rPr>
        <w:tab/>
        <w:t>INF.6 (France)</w:t>
      </w:r>
      <w:r w:rsidR="00E44270">
        <w:rPr>
          <w:lang w:val="fr-FR"/>
        </w:rPr>
        <w:br/>
      </w:r>
      <w:r w:rsidR="00890C94">
        <w:rPr>
          <w:lang w:val="fr-FR"/>
        </w:rPr>
        <w:t>INF.9 (France)</w:t>
      </w:r>
      <w:r w:rsidR="00E44270">
        <w:rPr>
          <w:lang w:val="fr-FR"/>
        </w:rPr>
        <w:br/>
      </w:r>
      <w:r w:rsidR="00890C94">
        <w:rPr>
          <w:lang w:val="fr-FR"/>
        </w:rPr>
        <w:t>INF.10 (Pays-Bas)</w:t>
      </w:r>
      <w:r w:rsidR="00E44270">
        <w:rPr>
          <w:lang w:val="fr-FR"/>
        </w:rPr>
        <w:br/>
      </w:r>
      <w:r w:rsidR="00890C94">
        <w:rPr>
          <w:lang w:val="fr-FR"/>
        </w:rPr>
        <w:t>INF.11 (Royaume-Uni)</w:t>
      </w:r>
      <w:r w:rsidR="00E44270">
        <w:rPr>
          <w:lang w:val="fr-FR"/>
        </w:rPr>
        <w:br/>
        <w:t>INF.17 (UIC)</w:t>
      </w:r>
      <w:r w:rsidR="00E44270">
        <w:rPr>
          <w:lang w:val="fr-FR"/>
        </w:rPr>
        <w:br/>
      </w:r>
      <w:r w:rsidRPr="00F001B0">
        <w:rPr>
          <w:lang w:val="fr-FR"/>
        </w:rPr>
        <w:t>INF.19 (secrétariat de l</w:t>
      </w:r>
      <w:r w:rsidR="008B6F84">
        <w:rPr>
          <w:lang w:val="fr-FR"/>
        </w:rPr>
        <w:t>’</w:t>
      </w:r>
      <w:r w:rsidRPr="00F001B0">
        <w:rPr>
          <w:lang w:val="fr-FR"/>
        </w:rPr>
        <w:t>OTIF)</w:t>
      </w:r>
      <w:r w:rsidR="00E44270">
        <w:rPr>
          <w:lang w:val="fr-FR"/>
        </w:rPr>
        <w:br/>
      </w:r>
      <w:r w:rsidRPr="00F001B0">
        <w:rPr>
          <w:lang w:val="fr-FR"/>
        </w:rPr>
        <w:t xml:space="preserve">INF.24 </w:t>
      </w:r>
      <w:r w:rsidR="00E44270">
        <w:rPr>
          <w:lang w:val="fr-FR"/>
        </w:rPr>
        <w:t>(UIC)</w:t>
      </w:r>
      <w:r w:rsidR="00E44270">
        <w:rPr>
          <w:lang w:val="fr-FR"/>
        </w:rPr>
        <w:br/>
      </w:r>
      <w:r w:rsidR="00890C94">
        <w:rPr>
          <w:lang w:val="fr-FR"/>
        </w:rPr>
        <w:lastRenderedPageBreak/>
        <w:t>INF.32/Rev.1 (France)</w:t>
      </w:r>
      <w:r w:rsidR="00E44270">
        <w:rPr>
          <w:lang w:val="fr-FR"/>
        </w:rPr>
        <w:br/>
      </w:r>
      <w:r w:rsidR="00890C94">
        <w:rPr>
          <w:lang w:val="fr-FR"/>
        </w:rPr>
        <w:t>INF.36 (Allemagne)</w:t>
      </w:r>
      <w:r w:rsidR="00E44270">
        <w:rPr>
          <w:lang w:val="fr-FR"/>
        </w:rPr>
        <w:br/>
      </w:r>
      <w:r w:rsidRPr="00F001B0">
        <w:rPr>
          <w:lang w:val="fr-FR"/>
        </w:rPr>
        <w:tab/>
        <w:t>INF.40 (France)</w:t>
      </w:r>
      <w:r w:rsidR="00E44270">
        <w:rPr>
          <w:lang w:val="fr-FR"/>
        </w:rPr>
        <w:br/>
      </w:r>
      <w:r w:rsidRPr="00F001B0">
        <w:rPr>
          <w:lang w:val="fr-FR"/>
        </w:rPr>
        <w:t>INF.41 (Royaume-Uni)</w:t>
      </w:r>
    </w:p>
    <w:p w:rsidR="00CC315F" w:rsidRPr="00F001B0" w:rsidRDefault="00CC315F" w:rsidP="00CC315F">
      <w:pPr>
        <w:pStyle w:val="SingleTxtG"/>
        <w:rPr>
          <w:lang w:val="fr-FR"/>
        </w:rPr>
      </w:pPr>
      <w:r w:rsidRPr="00F001B0">
        <w:rPr>
          <w:lang w:val="fr-FR"/>
        </w:rPr>
        <w:t>5.</w:t>
      </w:r>
      <w:r w:rsidRPr="00F001B0">
        <w:rPr>
          <w:lang w:val="fr-FR"/>
        </w:rPr>
        <w:tab/>
        <w:t>L</w:t>
      </w:r>
      <w:r w:rsidR="008B6F84">
        <w:rPr>
          <w:lang w:val="fr-FR"/>
        </w:rPr>
        <w:t>’</w:t>
      </w:r>
      <w:r w:rsidRPr="00F001B0">
        <w:rPr>
          <w:lang w:val="fr-FR"/>
        </w:rPr>
        <w:t>examen de ces documents a été confié au Groupe de travail des citernes, qui s</w:t>
      </w:r>
      <w:r w:rsidR="008B6F84">
        <w:rPr>
          <w:lang w:val="fr-FR"/>
        </w:rPr>
        <w:t>’</w:t>
      </w:r>
      <w:r w:rsidRPr="00F001B0">
        <w:rPr>
          <w:lang w:val="fr-FR"/>
        </w:rPr>
        <w:t>est réuni du 12 au 14 mars sous la présidence de M. A. Bale (Royaume-Uni).</w:t>
      </w:r>
    </w:p>
    <w:p w:rsidR="00CC315F" w:rsidRPr="00F001B0" w:rsidRDefault="00CC315F" w:rsidP="00CC315F">
      <w:pPr>
        <w:pStyle w:val="SingleTxtG"/>
        <w:tabs>
          <w:tab w:val="left" w:pos="3402"/>
        </w:tabs>
        <w:rPr>
          <w:lang w:val="fr-FR"/>
        </w:rPr>
      </w:pPr>
      <w:r w:rsidRPr="00F001B0">
        <w:rPr>
          <w:i/>
          <w:lang w:val="fr-FR"/>
        </w:rPr>
        <w:t>Document informel</w:t>
      </w:r>
      <w:r w:rsidR="002F3252">
        <w:rPr>
          <w:i/>
          <w:lang w:val="fr-FR"/>
        </w:rPr>
        <w:t> </w:t>
      </w:r>
      <w:r w:rsidR="002F3252">
        <w:rPr>
          <w:lang w:val="fr-FR"/>
        </w:rPr>
        <w:t>:</w:t>
      </w:r>
      <w:r w:rsidRPr="00F001B0">
        <w:rPr>
          <w:lang w:val="fr-FR"/>
        </w:rPr>
        <w:tab/>
        <w:t>INF.47</w:t>
      </w:r>
      <w:r w:rsidR="002F3252">
        <w:rPr>
          <w:lang w:val="fr-FR"/>
        </w:rPr>
        <w:t xml:space="preserve"> (rapport du Groupe de travail)</w:t>
      </w:r>
    </w:p>
    <w:p w:rsidR="00CC315F" w:rsidRPr="00F001B0" w:rsidRDefault="00CC315F" w:rsidP="00CC315F">
      <w:pPr>
        <w:pStyle w:val="SingleTxtG"/>
        <w:rPr>
          <w:lang w:val="fr-FR"/>
        </w:rPr>
      </w:pPr>
      <w:r w:rsidRPr="00F001B0">
        <w:rPr>
          <w:lang w:val="fr-FR"/>
        </w:rPr>
        <w:t>6.</w:t>
      </w:r>
      <w:r w:rsidRPr="00F001B0">
        <w:rPr>
          <w:lang w:val="fr-FR"/>
        </w:rPr>
        <w:tab/>
      </w:r>
      <w:r w:rsidRPr="00F001B0">
        <w:rPr>
          <w:rFonts w:eastAsia="SimSun"/>
          <w:lang w:val="fr-FR" w:eastAsia="zh-CN"/>
        </w:rPr>
        <w:t>La Réunion commune a repris à son compte les conclusions et recommandations du Groupe de travail, dont le rapport figure en tant qu</w:t>
      </w:r>
      <w:r w:rsidR="008B6F84">
        <w:rPr>
          <w:rFonts w:eastAsia="SimSun"/>
          <w:lang w:val="fr-FR" w:eastAsia="zh-CN"/>
        </w:rPr>
        <w:t>’</w:t>
      </w:r>
      <w:r w:rsidRPr="00F001B0">
        <w:rPr>
          <w:rFonts w:eastAsia="SimSun"/>
          <w:lang w:val="fr-FR" w:eastAsia="zh-CN"/>
        </w:rPr>
        <w:t>additif 1 à l</w:t>
      </w:r>
      <w:r w:rsidR="008B6F84">
        <w:rPr>
          <w:rFonts w:eastAsia="SimSun"/>
          <w:lang w:val="fr-FR" w:eastAsia="zh-CN"/>
        </w:rPr>
        <w:t>’</w:t>
      </w:r>
      <w:r w:rsidRPr="00F001B0">
        <w:rPr>
          <w:rFonts w:eastAsia="SimSun"/>
          <w:lang w:val="fr-FR" w:eastAsia="zh-CN"/>
        </w:rPr>
        <w:t>annexe I du présent rapport. Les propositions 1, 2, 3, 5, 6, 7 (telle que modifiée), 8 et 10 ont été adoptées</w:t>
      </w:r>
      <w:r w:rsidRPr="00F001B0">
        <w:rPr>
          <w:lang w:val="fr-FR"/>
        </w:rPr>
        <w:t xml:space="preserve"> </w:t>
      </w:r>
      <w:r w:rsidRPr="00F001B0">
        <w:rPr>
          <w:rFonts w:eastAsia="SimSun"/>
          <w:lang w:val="fr-FR" w:eastAsia="zh-CN"/>
        </w:rPr>
        <w:t xml:space="preserve">pour </w:t>
      </w:r>
      <w:proofErr w:type="spellStart"/>
      <w:r w:rsidRPr="00F001B0">
        <w:rPr>
          <w:rFonts w:eastAsia="SimSun"/>
          <w:lang w:val="fr-FR" w:eastAsia="zh-CN"/>
        </w:rPr>
        <w:t>entrée</w:t>
      </w:r>
      <w:proofErr w:type="spellEnd"/>
      <w:r w:rsidRPr="00F001B0">
        <w:rPr>
          <w:rFonts w:eastAsia="SimSun"/>
          <w:lang w:val="fr-FR" w:eastAsia="zh-CN"/>
        </w:rPr>
        <w:t xml:space="preserve"> en vigueur le 1</w:t>
      </w:r>
      <w:r w:rsidRPr="00F001B0">
        <w:rPr>
          <w:rFonts w:eastAsia="SimSun"/>
          <w:vertAlign w:val="superscript"/>
          <w:lang w:val="fr-FR" w:eastAsia="zh-CN"/>
        </w:rPr>
        <w:t>er</w:t>
      </w:r>
      <w:r w:rsidRPr="00F001B0">
        <w:rPr>
          <w:rFonts w:eastAsia="SimSun"/>
          <w:lang w:val="fr-FR" w:eastAsia="zh-CN"/>
        </w:rPr>
        <w:t xml:space="preserve"> janvier 2019 (voir annexes II et III). La proposition 9 a été adoptée pour </w:t>
      </w:r>
      <w:proofErr w:type="spellStart"/>
      <w:r w:rsidRPr="00F001B0">
        <w:rPr>
          <w:rFonts w:eastAsia="SimSun"/>
          <w:lang w:val="fr-FR" w:eastAsia="zh-CN"/>
        </w:rPr>
        <w:t>entrée</w:t>
      </w:r>
      <w:proofErr w:type="spellEnd"/>
      <w:r w:rsidRPr="00F001B0">
        <w:rPr>
          <w:rFonts w:eastAsia="SimSun"/>
          <w:lang w:val="fr-FR" w:eastAsia="zh-CN"/>
        </w:rPr>
        <w:t xml:space="preserve"> en vigueur en 2021 (voir annexe IV). La proposition 4 concernant la publication en ligne de la directive sur l</w:t>
      </w:r>
      <w:r w:rsidR="008B6F84">
        <w:rPr>
          <w:rFonts w:eastAsia="SimSun"/>
          <w:lang w:val="fr-FR" w:eastAsia="zh-CN"/>
        </w:rPr>
        <w:t>’</w:t>
      </w:r>
      <w:r w:rsidRPr="00F001B0">
        <w:rPr>
          <w:rFonts w:eastAsia="SimSun"/>
          <w:lang w:val="fr-FR" w:eastAsia="zh-CN"/>
        </w:rPr>
        <w:t>application de la norme EN 13094:2015 pour la conformité avec les éditions 2017 et 2019 du RID et de l</w:t>
      </w:r>
      <w:r w:rsidR="008B6F84">
        <w:rPr>
          <w:rFonts w:eastAsia="SimSun"/>
          <w:lang w:val="fr-FR" w:eastAsia="zh-CN"/>
        </w:rPr>
        <w:t>’</w:t>
      </w:r>
      <w:r w:rsidRPr="00F001B0">
        <w:rPr>
          <w:rFonts w:eastAsia="SimSun"/>
          <w:lang w:val="fr-FR" w:eastAsia="zh-CN"/>
        </w:rPr>
        <w:t>ADR a également été adoptée (voir annexe V).</w:t>
      </w:r>
    </w:p>
    <w:p w:rsidR="00CC315F" w:rsidRPr="00F001B0" w:rsidRDefault="00CC315F" w:rsidP="00CC315F">
      <w:pPr>
        <w:pStyle w:val="SingleTxtG"/>
        <w:rPr>
          <w:lang w:val="fr-FR"/>
        </w:rPr>
      </w:pPr>
      <w:r w:rsidRPr="00F001B0">
        <w:rPr>
          <w:lang w:val="fr-FR"/>
        </w:rPr>
        <w:t>7.</w:t>
      </w:r>
      <w:r w:rsidRPr="00F001B0">
        <w:rPr>
          <w:lang w:val="fr-FR"/>
        </w:rPr>
        <w:tab/>
      </w:r>
      <w:r w:rsidRPr="00F001B0">
        <w:rPr>
          <w:rFonts w:eastAsia="SimSun"/>
          <w:lang w:val="fr-FR" w:eastAsia="zh-CN"/>
        </w:rPr>
        <w:t>En réponse à une question du représentant de l</w:t>
      </w:r>
      <w:r w:rsidR="008B6F84">
        <w:rPr>
          <w:rFonts w:eastAsia="SimSun"/>
          <w:lang w:val="fr-FR" w:eastAsia="zh-CN"/>
        </w:rPr>
        <w:t>’</w:t>
      </w:r>
      <w:r w:rsidRPr="00F001B0">
        <w:rPr>
          <w:rFonts w:eastAsia="SimSun"/>
          <w:lang w:val="fr-FR" w:eastAsia="zh-CN"/>
        </w:rPr>
        <w:t>ERA concernant la proposition 1, la Réunion commune a précisé que la mention « opérations de soudage » faisait référence aux opérations de soudage effectuées sur la citerne elle-même</w:t>
      </w:r>
      <w:r w:rsidRPr="00F001B0">
        <w:rPr>
          <w:lang w:val="fr-FR"/>
        </w:rPr>
        <w:t>.</w:t>
      </w:r>
    </w:p>
    <w:p w:rsidR="00CC315F" w:rsidRPr="00F001B0" w:rsidRDefault="00CC315F" w:rsidP="00CC315F">
      <w:pPr>
        <w:pStyle w:val="HChG"/>
        <w:rPr>
          <w:lang w:val="fr-FR"/>
        </w:rPr>
      </w:pPr>
      <w:r w:rsidRPr="00F001B0">
        <w:rPr>
          <w:lang w:val="fr-FR"/>
        </w:rPr>
        <w:tab/>
        <w:t>IV.</w:t>
      </w:r>
      <w:r w:rsidRPr="00F001B0">
        <w:rPr>
          <w:lang w:val="fr-FR"/>
        </w:rPr>
        <w:tab/>
        <w:t>Normes (point 3 de l</w:t>
      </w:r>
      <w:r w:rsidR="008B6F84">
        <w:rPr>
          <w:lang w:val="fr-FR"/>
        </w:rPr>
        <w:t>’</w:t>
      </w:r>
      <w:r w:rsidRPr="00F001B0">
        <w:rPr>
          <w:lang w:val="fr-FR"/>
        </w:rPr>
        <w:t>ordre du jour)</w:t>
      </w:r>
    </w:p>
    <w:p w:rsidR="00CC315F" w:rsidRPr="00F001B0" w:rsidRDefault="00CC315F" w:rsidP="00994235">
      <w:pPr>
        <w:pStyle w:val="SingleTxtG"/>
        <w:tabs>
          <w:tab w:val="left" w:pos="3402"/>
        </w:tabs>
        <w:ind w:left="3402" w:hanging="2268"/>
        <w:jc w:val="left"/>
        <w:rPr>
          <w:lang w:val="fr-FR"/>
        </w:rPr>
      </w:pPr>
      <w:r w:rsidRPr="00F001B0">
        <w:rPr>
          <w:i/>
          <w:iCs/>
          <w:lang w:val="fr-FR"/>
        </w:rPr>
        <w:t>Document</w:t>
      </w:r>
      <w:r w:rsidR="002F3252">
        <w:rPr>
          <w:i/>
          <w:iCs/>
          <w:lang w:val="fr-FR"/>
        </w:rPr>
        <w:t> </w:t>
      </w:r>
      <w:r w:rsidR="002F3252">
        <w:rPr>
          <w:iCs/>
          <w:lang w:val="fr-FR"/>
        </w:rPr>
        <w:t>:</w:t>
      </w:r>
      <w:r w:rsidRPr="00F001B0">
        <w:rPr>
          <w:lang w:val="fr-FR"/>
        </w:rPr>
        <w:tab/>
      </w:r>
      <w:r w:rsidRPr="00F001B0">
        <w:rPr>
          <w:lang w:val="fr-FR"/>
        </w:rPr>
        <w:tab/>
        <w:t>EC</w:t>
      </w:r>
      <w:r w:rsidR="00E64841">
        <w:rPr>
          <w:lang w:val="fr-FR"/>
        </w:rPr>
        <w:t>E/TRANS/WP.15/AC.1/2018/7 (CEN)</w:t>
      </w:r>
    </w:p>
    <w:p w:rsidR="00CC315F" w:rsidRPr="00F001B0" w:rsidRDefault="00CC315F" w:rsidP="00994235">
      <w:pPr>
        <w:pStyle w:val="SingleTxtG"/>
        <w:tabs>
          <w:tab w:val="left" w:pos="3402"/>
        </w:tabs>
        <w:ind w:left="3402" w:hanging="2268"/>
        <w:jc w:val="left"/>
        <w:rPr>
          <w:lang w:val="fr-FR"/>
        </w:rPr>
      </w:pPr>
      <w:r w:rsidRPr="00F001B0">
        <w:rPr>
          <w:i/>
          <w:iCs/>
          <w:lang w:val="fr-FR"/>
        </w:rPr>
        <w:t>Documents informels</w:t>
      </w:r>
      <w:r w:rsidR="002F3252">
        <w:rPr>
          <w:i/>
          <w:iCs/>
          <w:lang w:val="fr-FR"/>
        </w:rPr>
        <w:t> </w:t>
      </w:r>
      <w:r w:rsidR="002F3252">
        <w:rPr>
          <w:iCs/>
          <w:lang w:val="fr-FR"/>
        </w:rPr>
        <w:t>:</w:t>
      </w:r>
      <w:r w:rsidRPr="00F001B0">
        <w:rPr>
          <w:lang w:val="fr-FR"/>
        </w:rPr>
        <w:tab/>
      </w:r>
      <w:r w:rsidRPr="00F001B0">
        <w:rPr>
          <w:i/>
          <w:iCs/>
          <w:lang w:val="fr-FR"/>
        </w:rPr>
        <w:tab/>
      </w:r>
      <w:r w:rsidRPr="00F001B0">
        <w:rPr>
          <w:iCs/>
          <w:lang w:val="fr-FR"/>
        </w:rPr>
        <w:t>INF.28 (AEGPL)</w:t>
      </w:r>
      <w:r w:rsidR="00994235">
        <w:rPr>
          <w:iCs/>
          <w:lang w:val="fr-FR"/>
        </w:rPr>
        <w:br/>
      </w:r>
      <w:r w:rsidRPr="00F001B0">
        <w:rPr>
          <w:lang w:val="fr-FR"/>
        </w:rPr>
        <w:t>INF.29 (CEN)</w:t>
      </w:r>
    </w:p>
    <w:p w:rsidR="00CC315F" w:rsidRPr="00F001B0" w:rsidRDefault="00CC315F" w:rsidP="00994235">
      <w:pPr>
        <w:pStyle w:val="SingleTxtG"/>
        <w:rPr>
          <w:lang w:val="fr-FR"/>
        </w:rPr>
      </w:pPr>
      <w:r w:rsidRPr="00F001B0">
        <w:rPr>
          <w:lang w:val="fr-FR"/>
        </w:rPr>
        <w:t>8.</w:t>
      </w:r>
      <w:r w:rsidRPr="00F001B0">
        <w:rPr>
          <w:lang w:val="fr-FR"/>
        </w:rPr>
        <w:tab/>
        <w:t>L</w:t>
      </w:r>
      <w:r w:rsidR="008B6F84">
        <w:rPr>
          <w:lang w:val="fr-FR"/>
        </w:rPr>
        <w:t>’</w:t>
      </w:r>
      <w:r w:rsidRPr="00F001B0">
        <w:rPr>
          <w:lang w:val="fr-FR"/>
        </w:rPr>
        <w:t>examen de ces documents a été confié au Groupe de travail sur les normes, qui s</w:t>
      </w:r>
      <w:r w:rsidR="008B6F84">
        <w:rPr>
          <w:lang w:val="fr-FR"/>
        </w:rPr>
        <w:t>’</w:t>
      </w:r>
      <w:r w:rsidRPr="00F001B0">
        <w:rPr>
          <w:lang w:val="fr-FR"/>
        </w:rPr>
        <w:t>est réuni pendant les pauses-déjeuner.</w:t>
      </w:r>
    </w:p>
    <w:p w:rsidR="00CC315F" w:rsidRPr="00F001B0" w:rsidRDefault="00CC315F" w:rsidP="00E64841">
      <w:pPr>
        <w:pStyle w:val="SingleTxtG"/>
        <w:tabs>
          <w:tab w:val="left" w:pos="3402"/>
        </w:tabs>
        <w:ind w:left="2552" w:hanging="1418"/>
        <w:jc w:val="left"/>
        <w:rPr>
          <w:lang w:val="fr-FR"/>
        </w:rPr>
      </w:pPr>
      <w:r w:rsidRPr="00F001B0">
        <w:rPr>
          <w:i/>
          <w:lang w:val="fr-FR"/>
        </w:rPr>
        <w:t>Document informel</w:t>
      </w:r>
      <w:r w:rsidR="00E64841">
        <w:rPr>
          <w:i/>
          <w:lang w:val="fr-FR"/>
        </w:rPr>
        <w:t> </w:t>
      </w:r>
      <w:r w:rsidR="00E64841">
        <w:rPr>
          <w:lang w:val="fr-FR"/>
        </w:rPr>
        <w:t>:</w:t>
      </w:r>
      <w:r w:rsidRPr="00F001B0">
        <w:rPr>
          <w:i/>
          <w:lang w:val="fr-FR"/>
        </w:rPr>
        <w:tab/>
      </w:r>
      <w:r w:rsidRPr="00F001B0">
        <w:rPr>
          <w:lang w:val="fr-FR"/>
        </w:rPr>
        <w:t>INF.45 (rapport du Groupe de travail)</w:t>
      </w:r>
    </w:p>
    <w:p w:rsidR="00CC315F" w:rsidRPr="00F001B0" w:rsidRDefault="00CC315F" w:rsidP="00E64841">
      <w:pPr>
        <w:pStyle w:val="SingleTxtG"/>
        <w:rPr>
          <w:lang w:val="fr-FR"/>
        </w:rPr>
      </w:pPr>
      <w:r w:rsidRPr="00F001B0">
        <w:rPr>
          <w:lang w:val="fr-FR"/>
        </w:rPr>
        <w:t>9.</w:t>
      </w:r>
      <w:r w:rsidRPr="00F001B0">
        <w:rPr>
          <w:lang w:val="fr-FR"/>
        </w:rPr>
        <w:tab/>
      </w:r>
      <w:r w:rsidRPr="00F001B0">
        <w:rPr>
          <w:lang w:val="fr-FR" w:eastAsia="zh-CN"/>
        </w:rPr>
        <w:t>La Réunion commune a adopté les propositions du Groupe de travail moyennant les modifications et réserves suivantes </w:t>
      </w:r>
      <w:r w:rsidRPr="00F001B0">
        <w:rPr>
          <w:lang w:val="fr-FR"/>
        </w:rPr>
        <w:t>:</w:t>
      </w:r>
    </w:p>
    <w:p w:rsidR="00CC315F" w:rsidRPr="00F001B0" w:rsidRDefault="00CC315F" w:rsidP="00CC315F">
      <w:pPr>
        <w:pStyle w:val="SingleTxtG"/>
        <w:ind w:firstLine="567"/>
        <w:rPr>
          <w:lang w:val="fr-FR"/>
        </w:rPr>
      </w:pPr>
      <w:r w:rsidRPr="00F001B0">
        <w:rPr>
          <w:lang w:val="fr-FR"/>
        </w:rPr>
        <w:t>a)</w:t>
      </w:r>
      <w:r w:rsidRPr="00F001B0">
        <w:rPr>
          <w:lang w:val="fr-FR"/>
        </w:rPr>
        <w:tab/>
      </w:r>
      <w:r w:rsidRPr="00F001B0">
        <w:rPr>
          <w:lang w:val="fr-FR" w:eastAsia="zh-CN"/>
        </w:rPr>
        <w:t>Les propositions 1, 3, 4 et 6 ont été adoptées pour l</w:t>
      </w:r>
      <w:r w:rsidR="008B6F84">
        <w:rPr>
          <w:lang w:val="fr-FR" w:eastAsia="zh-CN"/>
        </w:rPr>
        <w:t>’</w:t>
      </w:r>
      <w:r w:rsidRPr="00F001B0">
        <w:rPr>
          <w:lang w:val="fr-FR" w:eastAsia="zh-CN"/>
        </w:rPr>
        <w:t>édition 2019 du RID et de l</w:t>
      </w:r>
      <w:r w:rsidR="008B6F84">
        <w:rPr>
          <w:lang w:val="fr-FR" w:eastAsia="zh-CN"/>
        </w:rPr>
        <w:t>’</w:t>
      </w:r>
      <w:r w:rsidRPr="00F001B0">
        <w:rPr>
          <w:lang w:val="fr-FR" w:eastAsia="zh-CN"/>
        </w:rPr>
        <w:t>ADR (voir annexe II) à condition que l</w:t>
      </w:r>
      <w:r w:rsidR="008B6F84">
        <w:rPr>
          <w:lang w:val="fr-FR" w:eastAsia="zh-CN"/>
        </w:rPr>
        <w:t>’</w:t>
      </w:r>
      <w:r w:rsidRPr="00F001B0">
        <w:rPr>
          <w:lang w:val="fr-FR" w:eastAsia="zh-CN"/>
        </w:rPr>
        <w:t>édition 2018 des normes dont il y est fait mention soit disponible avant le 1</w:t>
      </w:r>
      <w:r w:rsidRPr="00F001B0">
        <w:rPr>
          <w:vertAlign w:val="superscript"/>
          <w:lang w:val="fr-FR" w:eastAsia="zh-CN"/>
        </w:rPr>
        <w:t>er</w:t>
      </w:r>
      <w:r w:rsidRPr="00F001B0">
        <w:rPr>
          <w:lang w:val="fr-FR" w:eastAsia="zh-CN"/>
        </w:rPr>
        <w:t> juin 2018. La proposition 6 a été adoptée avec une correction des dates à la colonne 4 (c</w:t>
      </w:r>
      <w:r w:rsidR="008B6F84">
        <w:rPr>
          <w:lang w:val="fr-FR" w:eastAsia="zh-CN"/>
        </w:rPr>
        <w:t>’</w:t>
      </w:r>
      <w:r w:rsidRPr="00F001B0">
        <w:rPr>
          <w:lang w:val="fr-FR" w:eastAsia="zh-CN"/>
        </w:rPr>
        <w:t>est-à-dire en remplaçant « 30 décembre » par « 31 décembre »). Un amendement corollaire à la TT11 consécutif à une mise à jour de la référence à la norme dans la proposition 6 a également été adopté ;</w:t>
      </w:r>
    </w:p>
    <w:p w:rsidR="00CC315F" w:rsidRPr="00F001B0" w:rsidRDefault="00CC315F" w:rsidP="00CC315F">
      <w:pPr>
        <w:pStyle w:val="SingleTxtG"/>
        <w:ind w:firstLine="567"/>
        <w:rPr>
          <w:lang w:val="fr-FR"/>
        </w:rPr>
      </w:pPr>
      <w:r w:rsidRPr="00F001B0">
        <w:rPr>
          <w:lang w:val="fr-FR"/>
        </w:rPr>
        <w:t>b)</w:t>
      </w:r>
      <w:r w:rsidRPr="00F001B0">
        <w:rPr>
          <w:lang w:val="fr-FR"/>
        </w:rPr>
        <w:tab/>
      </w:r>
      <w:r w:rsidRPr="00F001B0">
        <w:rPr>
          <w:lang w:val="fr-FR" w:eastAsia="zh-CN"/>
        </w:rPr>
        <w:t>Les propositions 2 et 5</w:t>
      </w:r>
      <w:r w:rsidRPr="00F001B0">
        <w:rPr>
          <w:lang w:val="fr-FR"/>
        </w:rPr>
        <w:t xml:space="preserve"> </w:t>
      </w:r>
      <w:r w:rsidRPr="00F001B0">
        <w:rPr>
          <w:lang w:val="fr-FR" w:eastAsia="zh-CN"/>
        </w:rPr>
        <w:t>ont été adoptées pour l</w:t>
      </w:r>
      <w:r w:rsidR="008B6F84">
        <w:rPr>
          <w:lang w:val="fr-FR" w:eastAsia="zh-CN"/>
        </w:rPr>
        <w:t>’</w:t>
      </w:r>
      <w:r w:rsidRPr="00F001B0">
        <w:rPr>
          <w:lang w:val="fr-FR" w:eastAsia="zh-CN"/>
        </w:rPr>
        <w:t>édition 2019 du RID et de l</w:t>
      </w:r>
      <w:r w:rsidR="008B6F84">
        <w:rPr>
          <w:lang w:val="fr-FR" w:eastAsia="zh-CN"/>
        </w:rPr>
        <w:t>’</w:t>
      </w:r>
      <w:r w:rsidRPr="00F001B0">
        <w:rPr>
          <w:lang w:val="fr-FR" w:eastAsia="zh-CN"/>
        </w:rPr>
        <w:t>ADR (voir annexe II). La proposition 5 a été adoptée avec une correction des dates à la colonne 4 (c</w:t>
      </w:r>
      <w:r w:rsidR="008B6F84">
        <w:rPr>
          <w:lang w:val="fr-FR" w:eastAsia="zh-CN"/>
        </w:rPr>
        <w:t>’</w:t>
      </w:r>
      <w:r w:rsidRPr="00F001B0">
        <w:rPr>
          <w:lang w:val="fr-FR" w:eastAsia="zh-CN"/>
        </w:rPr>
        <w:t>est-à-dire en remplaçant « 30 décembre » par « 31 décembre ») ;</w:t>
      </w:r>
    </w:p>
    <w:p w:rsidR="00CC315F" w:rsidRPr="00F001B0" w:rsidRDefault="00CC315F" w:rsidP="00CC315F">
      <w:pPr>
        <w:pStyle w:val="SingleTxtG"/>
        <w:ind w:firstLine="567"/>
        <w:rPr>
          <w:lang w:val="fr-FR"/>
        </w:rPr>
      </w:pPr>
      <w:r w:rsidRPr="00F001B0">
        <w:rPr>
          <w:lang w:val="fr-FR"/>
        </w:rPr>
        <w:t>c)</w:t>
      </w:r>
      <w:r w:rsidRPr="00F001B0">
        <w:rPr>
          <w:lang w:val="fr-FR"/>
        </w:rPr>
        <w:tab/>
      </w:r>
      <w:r w:rsidRPr="00F001B0">
        <w:rPr>
          <w:lang w:val="fr-FR" w:eastAsia="zh-CN"/>
        </w:rPr>
        <w:t>La proposition 7 a été adoptée (voir annexe II). La Réunion commune a noté que la note explicative concernant la norme EN 12245:2009+A1:2011 apporterait une réponse à la question soulevée dans le document informel INF.28 en interdisant désormais la fabrication de bouteilles à gaz de pétrole liquéfié (GPL) composites à deux parties. Le représentant de l</w:t>
      </w:r>
      <w:r w:rsidR="008B6F84">
        <w:rPr>
          <w:lang w:val="fr-FR" w:eastAsia="zh-CN"/>
        </w:rPr>
        <w:t>’</w:t>
      </w:r>
      <w:r w:rsidRPr="00F001B0">
        <w:rPr>
          <w:lang w:val="fr-FR" w:eastAsia="zh-CN"/>
        </w:rPr>
        <w:t>AEGPL a expliqué qu</w:t>
      </w:r>
      <w:r w:rsidR="008B6F84">
        <w:rPr>
          <w:lang w:val="fr-FR" w:eastAsia="zh-CN"/>
        </w:rPr>
        <w:t>’</w:t>
      </w:r>
      <w:r w:rsidRPr="00F001B0">
        <w:rPr>
          <w:lang w:val="fr-FR" w:eastAsia="zh-CN"/>
        </w:rPr>
        <w:t>un programme de retrait de ces bouteilles était en cours et la Réunion commune l</w:t>
      </w:r>
      <w:r w:rsidR="008B6F84">
        <w:rPr>
          <w:lang w:val="fr-FR" w:eastAsia="zh-CN"/>
        </w:rPr>
        <w:t>’</w:t>
      </w:r>
      <w:r w:rsidRPr="00F001B0">
        <w:rPr>
          <w:lang w:val="fr-FR" w:eastAsia="zh-CN"/>
        </w:rPr>
        <w:t>a invité à faire le point sur les progrès réalisés à la session suivante</w:t>
      </w:r>
      <w:r w:rsidRPr="00F001B0">
        <w:rPr>
          <w:lang w:val="fr-FR"/>
        </w:rPr>
        <w:t>.</w:t>
      </w:r>
    </w:p>
    <w:p w:rsidR="00CC315F" w:rsidRPr="00F001B0" w:rsidRDefault="00CC315F" w:rsidP="00CC315F">
      <w:pPr>
        <w:pStyle w:val="SingleTxtG"/>
        <w:rPr>
          <w:lang w:val="fr-FR"/>
        </w:rPr>
      </w:pPr>
      <w:r w:rsidRPr="00F001B0">
        <w:rPr>
          <w:lang w:val="fr-FR"/>
        </w:rPr>
        <w:t>10.</w:t>
      </w:r>
      <w:r w:rsidRPr="00F001B0">
        <w:rPr>
          <w:lang w:val="fr-FR"/>
        </w:rPr>
        <w:tab/>
      </w:r>
      <w:r w:rsidRPr="00F001B0">
        <w:rPr>
          <w:lang w:val="fr-FR" w:eastAsia="zh-CN"/>
        </w:rPr>
        <w:t>La Réunion commune a également pris note des conclusions et recommandations formulées par le Groupe de travail dans les sections 5.1 et 5.2 du document informel INF.45. Le représentant de l</w:t>
      </w:r>
      <w:r w:rsidR="008B6F84">
        <w:rPr>
          <w:lang w:val="fr-FR" w:eastAsia="zh-CN"/>
        </w:rPr>
        <w:t>’</w:t>
      </w:r>
      <w:r w:rsidRPr="00F001B0">
        <w:rPr>
          <w:lang w:val="fr-FR" w:eastAsia="zh-CN"/>
        </w:rPr>
        <w:t>Allemagne s</w:t>
      </w:r>
      <w:r w:rsidR="008B6F84">
        <w:rPr>
          <w:lang w:val="fr-FR" w:eastAsia="zh-CN"/>
        </w:rPr>
        <w:t>’</w:t>
      </w:r>
      <w:r w:rsidRPr="00F001B0">
        <w:rPr>
          <w:lang w:val="fr-FR" w:eastAsia="zh-CN"/>
        </w:rPr>
        <w:t>est déclaré disposé à examiner la question relative à la norme EN 590:2013+A1:2017 soulevée à la section 5.2</w:t>
      </w:r>
      <w:r w:rsidRPr="00F001B0">
        <w:rPr>
          <w:lang w:val="fr-FR"/>
        </w:rPr>
        <w:t>.</w:t>
      </w:r>
    </w:p>
    <w:p w:rsidR="00CC315F" w:rsidRPr="00F001B0" w:rsidRDefault="00CC315F" w:rsidP="00CC315F">
      <w:pPr>
        <w:pStyle w:val="SingleTxtG"/>
        <w:rPr>
          <w:lang w:val="fr-FR"/>
        </w:rPr>
      </w:pPr>
      <w:r w:rsidRPr="00F001B0">
        <w:rPr>
          <w:lang w:val="fr-FR"/>
        </w:rPr>
        <w:t>11.</w:t>
      </w:r>
      <w:r w:rsidRPr="00F001B0">
        <w:rPr>
          <w:lang w:val="fr-FR"/>
        </w:rPr>
        <w:tab/>
      </w:r>
      <w:r w:rsidRPr="00F001B0">
        <w:rPr>
          <w:lang w:val="fr-FR" w:eastAsia="zh-CN"/>
        </w:rPr>
        <w:t>La Réunion commune a noté et fait siennes les préoccupations exprimées par le Groupe de travail à la section 5.4 de son rapport. Il a été souligné que les modalités actuelles de vérification de la compatibilité des projets de normes avec les prescriptions du RID, de l</w:t>
      </w:r>
      <w:r w:rsidR="008B6F84">
        <w:rPr>
          <w:lang w:val="fr-FR" w:eastAsia="zh-CN"/>
        </w:rPr>
        <w:t>’</w:t>
      </w:r>
      <w:r w:rsidRPr="00F001B0">
        <w:rPr>
          <w:lang w:val="fr-FR" w:eastAsia="zh-CN"/>
        </w:rPr>
        <w:t>ADR et de l</w:t>
      </w:r>
      <w:r w:rsidR="008B6F84">
        <w:rPr>
          <w:lang w:val="fr-FR" w:eastAsia="zh-CN"/>
        </w:rPr>
        <w:t>’</w:t>
      </w:r>
      <w:r w:rsidRPr="00F001B0">
        <w:rPr>
          <w:lang w:val="fr-FR" w:eastAsia="zh-CN"/>
        </w:rPr>
        <w:t>ADN s</w:t>
      </w:r>
      <w:r w:rsidR="008B6F84">
        <w:rPr>
          <w:lang w:val="fr-FR" w:eastAsia="zh-CN"/>
        </w:rPr>
        <w:t>’</w:t>
      </w:r>
      <w:r w:rsidRPr="00F001B0">
        <w:rPr>
          <w:lang w:val="fr-FR" w:eastAsia="zh-CN"/>
        </w:rPr>
        <w:t xml:space="preserve">étaient révélées très satisfaisantes, et il a été noté que cela </w:t>
      </w:r>
      <w:r w:rsidRPr="00F001B0">
        <w:rPr>
          <w:lang w:val="fr-FR" w:eastAsia="zh-CN"/>
        </w:rPr>
        <w:lastRenderedPageBreak/>
        <w:t>était dû dans une large mesure au niveau de compétence élevé dont avait fait montre le consultant du CEN. Le représentant du CEN a confirmé que son organisation continuerait à fournir des services de secrétariat et un appui administratif au Groupe de travail sur les normes, mais qu</w:t>
      </w:r>
      <w:r w:rsidR="008B6F84">
        <w:rPr>
          <w:lang w:val="fr-FR" w:eastAsia="zh-CN"/>
        </w:rPr>
        <w:t>’</w:t>
      </w:r>
      <w:r w:rsidRPr="00F001B0">
        <w:rPr>
          <w:lang w:val="fr-FR" w:eastAsia="zh-CN"/>
        </w:rPr>
        <w:t>elle n</w:t>
      </w:r>
      <w:r w:rsidR="008B6F84">
        <w:rPr>
          <w:lang w:val="fr-FR" w:eastAsia="zh-CN"/>
        </w:rPr>
        <w:t>’</w:t>
      </w:r>
      <w:r w:rsidRPr="00F001B0">
        <w:rPr>
          <w:lang w:val="fr-FR" w:eastAsia="zh-CN"/>
        </w:rPr>
        <w:t>aurait désormais plus la maîtrise du consultant. Compte tenu de ces informations, la Réunion commune a invité les délégations à se demander si la procédure actuelle (voir le document ECE/TRANS/WP.15/AC.1/122/Add.2, tel que modifié par l</w:t>
      </w:r>
      <w:r w:rsidR="008B6F84">
        <w:rPr>
          <w:lang w:val="fr-FR" w:eastAsia="zh-CN"/>
        </w:rPr>
        <w:t>’</w:t>
      </w:r>
      <w:r w:rsidRPr="00F001B0">
        <w:rPr>
          <w:lang w:val="fr-FR" w:eastAsia="zh-CN"/>
        </w:rPr>
        <w:t>annexe III du document ECE/TRANS/WP.15/AC.1/130) devait être révisée et à soumettre des propositions pour examen à la session d</w:t>
      </w:r>
      <w:r w:rsidR="008B6F84">
        <w:rPr>
          <w:lang w:val="fr-FR" w:eastAsia="zh-CN"/>
        </w:rPr>
        <w:t>’</w:t>
      </w:r>
      <w:r w:rsidRPr="00F001B0">
        <w:rPr>
          <w:lang w:val="fr-FR" w:eastAsia="zh-CN"/>
        </w:rPr>
        <w:t>automne</w:t>
      </w:r>
      <w:r w:rsidRPr="00F001B0">
        <w:rPr>
          <w:lang w:val="fr-FR"/>
        </w:rPr>
        <w:t>.</w:t>
      </w:r>
    </w:p>
    <w:p w:rsidR="00CC315F" w:rsidRPr="00F001B0" w:rsidRDefault="00CC315F" w:rsidP="00CC315F">
      <w:pPr>
        <w:pStyle w:val="HChG"/>
        <w:rPr>
          <w:lang w:val="fr-FR"/>
        </w:rPr>
      </w:pPr>
      <w:r w:rsidRPr="00F001B0">
        <w:rPr>
          <w:lang w:val="fr-FR"/>
        </w:rPr>
        <w:tab/>
        <w:t>V.</w:t>
      </w:r>
      <w:r w:rsidRPr="00F001B0">
        <w:rPr>
          <w:lang w:val="fr-FR"/>
        </w:rPr>
        <w:tab/>
        <w:t>Interprétation du RID/ADR/ADN (point 4 de l</w:t>
      </w:r>
      <w:r w:rsidR="008B6F84">
        <w:rPr>
          <w:lang w:val="fr-FR"/>
        </w:rPr>
        <w:t>’</w:t>
      </w:r>
      <w:r w:rsidRPr="00F001B0">
        <w:rPr>
          <w:lang w:val="fr-FR"/>
        </w:rPr>
        <w:t>ordre du jour)</w:t>
      </w:r>
    </w:p>
    <w:p w:rsidR="00CC315F" w:rsidRPr="00F001B0" w:rsidRDefault="00CC315F" w:rsidP="00CC315F">
      <w:pPr>
        <w:pStyle w:val="H1G"/>
        <w:rPr>
          <w:lang w:val="fr-FR"/>
        </w:rPr>
      </w:pPr>
      <w:r w:rsidRPr="00F001B0">
        <w:rPr>
          <w:lang w:val="fr-FR"/>
        </w:rPr>
        <w:tab/>
        <w:t>A.</w:t>
      </w:r>
      <w:r w:rsidRPr="00F001B0">
        <w:rPr>
          <w:lang w:val="fr-FR"/>
        </w:rPr>
        <w:tab/>
        <w:t>Application de la disposition spéciale CW24/CV24</w:t>
      </w:r>
    </w:p>
    <w:p w:rsidR="00CC315F" w:rsidRPr="00F001B0" w:rsidRDefault="00CC315F" w:rsidP="00994235">
      <w:pPr>
        <w:pStyle w:val="SingleTxtG"/>
        <w:tabs>
          <w:tab w:val="left" w:pos="3402"/>
        </w:tabs>
        <w:ind w:left="3402" w:hanging="2268"/>
        <w:jc w:val="left"/>
        <w:rPr>
          <w:lang w:val="fr-FR"/>
        </w:rPr>
      </w:pPr>
      <w:r w:rsidRPr="00F001B0">
        <w:rPr>
          <w:i/>
          <w:iCs/>
          <w:lang w:val="fr-FR"/>
        </w:rPr>
        <w:t>Document</w:t>
      </w:r>
      <w:r w:rsidR="006D46C8">
        <w:rPr>
          <w:i/>
          <w:iCs/>
          <w:lang w:val="fr-FR"/>
        </w:rPr>
        <w:t> </w:t>
      </w:r>
      <w:r w:rsidR="006D46C8">
        <w:rPr>
          <w:iCs/>
          <w:lang w:val="fr-FR"/>
        </w:rPr>
        <w:t>:</w:t>
      </w:r>
      <w:r w:rsidRPr="00F001B0">
        <w:rPr>
          <w:lang w:val="fr-FR"/>
        </w:rPr>
        <w:tab/>
        <w:t>ECE/TR</w:t>
      </w:r>
      <w:r w:rsidR="006D46C8">
        <w:rPr>
          <w:lang w:val="fr-FR"/>
        </w:rPr>
        <w:t>ANS/WP.15/AC.1/2018/5 (Pologne)</w:t>
      </w:r>
    </w:p>
    <w:p w:rsidR="00CC315F" w:rsidRPr="00F001B0" w:rsidRDefault="00CC315F" w:rsidP="00994235">
      <w:pPr>
        <w:pStyle w:val="SingleTxtG"/>
        <w:tabs>
          <w:tab w:val="left" w:pos="3402"/>
        </w:tabs>
        <w:ind w:left="3402" w:hanging="2268"/>
        <w:jc w:val="left"/>
        <w:rPr>
          <w:lang w:val="fr-FR"/>
        </w:rPr>
      </w:pPr>
      <w:r w:rsidRPr="00F001B0">
        <w:rPr>
          <w:i/>
          <w:iCs/>
          <w:lang w:val="fr-FR"/>
        </w:rPr>
        <w:t>Documents informels</w:t>
      </w:r>
      <w:r w:rsidR="006D46C8">
        <w:rPr>
          <w:i/>
          <w:iCs/>
          <w:lang w:val="fr-FR"/>
        </w:rPr>
        <w:t> </w:t>
      </w:r>
      <w:r w:rsidR="006D46C8">
        <w:rPr>
          <w:iCs/>
          <w:lang w:val="fr-FR"/>
        </w:rPr>
        <w:t>:</w:t>
      </w:r>
      <w:r w:rsidR="006D46C8">
        <w:rPr>
          <w:lang w:val="fr-FR"/>
        </w:rPr>
        <w:tab/>
        <w:t>INF.3 (Pologne)</w:t>
      </w:r>
      <w:r w:rsidR="00994235">
        <w:rPr>
          <w:lang w:val="fr-FR"/>
        </w:rPr>
        <w:br/>
      </w:r>
      <w:r w:rsidR="00A94013">
        <w:rPr>
          <w:lang w:val="fr-FR"/>
        </w:rPr>
        <w:tab/>
      </w:r>
      <w:r w:rsidR="006D46C8">
        <w:rPr>
          <w:lang w:val="fr-FR"/>
        </w:rPr>
        <w:t>INF.14 (CEFIC)</w:t>
      </w:r>
    </w:p>
    <w:p w:rsidR="00CC315F" w:rsidRPr="00F001B0" w:rsidRDefault="00CC315F" w:rsidP="00CC315F">
      <w:pPr>
        <w:pStyle w:val="SingleTxtG"/>
        <w:rPr>
          <w:lang w:val="fr-FR"/>
        </w:rPr>
      </w:pPr>
      <w:r w:rsidRPr="00F001B0">
        <w:rPr>
          <w:lang w:val="fr-FR"/>
        </w:rPr>
        <w:t>12.</w:t>
      </w:r>
      <w:r w:rsidRPr="00F001B0">
        <w:rPr>
          <w:lang w:val="fr-FR"/>
        </w:rPr>
        <w:tab/>
        <w:t>La Réunion commune a confirmé qu</w:t>
      </w:r>
      <w:r w:rsidR="008B6F84">
        <w:rPr>
          <w:lang w:val="fr-FR"/>
        </w:rPr>
        <w:t>’</w:t>
      </w:r>
      <w:r w:rsidRPr="00F001B0">
        <w:rPr>
          <w:lang w:val="fr-FR"/>
        </w:rPr>
        <w:t>il était permis d</w:t>
      </w:r>
      <w:r w:rsidR="008B6F84">
        <w:rPr>
          <w:lang w:val="fr-FR"/>
        </w:rPr>
        <w:t>’</w:t>
      </w:r>
      <w:r w:rsidRPr="00F001B0">
        <w:rPr>
          <w:lang w:val="fr-FR"/>
        </w:rPr>
        <w:t>utiliser des palettes en bois pour le chargement des peroxydes organiques emballés conformément aux dispositions applicables du RID ou de l</w:t>
      </w:r>
      <w:r w:rsidR="008B6F84">
        <w:rPr>
          <w:lang w:val="fr-FR"/>
        </w:rPr>
        <w:t>’</w:t>
      </w:r>
      <w:r w:rsidRPr="00F001B0">
        <w:rPr>
          <w:lang w:val="fr-FR"/>
        </w:rPr>
        <w:t>ADR. Il a été dit que l</w:t>
      </w:r>
      <w:r w:rsidR="008B6F84">
        <w:rPr>
          <w:lang w:val="fr-FR"/>
        </w:rPr>
        <w:t>’</w:t>
      </w:r>
      <w:r w:rsidRPr="00F001B0">
        <w:rPr>
          <w:lang w:val="fr-FR"/>
        </w:rPr>
        <w:t xml:space="preserve">expression « matériaux facilement inflammables » visait les matériaux de remplissage ou de rembourrage (tels que la paille, le papier, les fibres végétales, etc.). </w:t>
      </w:r>
    </w:p>
    <w:p w:rsidR="00CC315F" w:rsidRPr="00F001B0" w:rsidRDefault="00CC315F" w:rsidP="00CC315F">
      <w:pPr>
        <w:pStyle w:val="SingleTxtG"/>
        <w:rPr>
          <w:lang w:val="fr-FR"/>
        </w:rPr>
      </w:pPr>
      <w:r w:rsidRPr="00F001B0">
        <w:rPr>
          <w:lang w:val="fr-FR"/>
        </w:rPr>
        <w:t>13.</w:t>
      </w:r>
      <w:r w:rsidRPr="00F001B0">
        <w:rPr>
          <w:lang w:val="fr-FR"/>
        </w:rPr>
        <w:tab/>
        <w:t>En ce qui concernait la nécessité de préciser le texte actuel des dispositions spéciales CW24 et CV24, un accord de principe a été donné à la proposition du CEFIC, mais la Réunion commune a estimé qu</w:t>
      </w:r>
      <w:r w:rsidR="008B6F84">
        <w:rPr>
          <w:lang w:val="fr-FR"/>
        </w:rPr>
        <w:t>’</w:t>
      </w:r>
      <w:r w:rsidRPr="00F001B0">
        <w:rPr>
          <w:lang w:val="fr-FR"/>
        </w:rPr>
        <w:t>elle n</w:t>
      </w:r>
      <w:r w:rsidR="008B6F84">
        <w:rPr>
          <w:lang w:val="fr-FR"/>
        </w:rPr>
        <w:t>’</w:t>
      </w:r>
      <w:r w:rsidRPr="00F001B0">
        <w:rPr>
          <w:lang w:val="fr-FR"/>
        </w:rPr>
        <w:t>était pas encore assez détaillée et invité les représentants de la Pologne et du CEFIC à soumettre dans un document officiel, à la session suivante, une proposition révisée tenant compte des observations formulées.</w:t>
      </w:r>
    </w:p>
    <w:p w:rsidR="00CC315F" w:rsidRPr="00F001B0" w:rsidRDefault="00CC315F" w:rsidP="00CC315F">
      <w:pPr>
        <w:pStyle w:val="SingleTxtG"/>
        <w:rPr>
          <w:lang w:val="fr-FR"/>
        </w:rPr>
      </w:pPr>
      <w:r w:rsidRPr="00F001B0">
        <w:rPr>
          <w:lang w:val="fr-FR"/>
        </w:rPr>
        <w:t>14.</w:t>
      </w:r>
      <w:r w:rsidRPr="00F001B0">
        <w:rPr>
          <w:lang w:val="fr-FR"/>
        </w:rPr>
        <w:tab/>
        <w:t>En ce qui concerne les anomalies décelées dans le RID et l</w:t>
      </w:r>
      <w:r w:rsidR="008B6F84">
        <w:rPr>
          <w:lang w:val="fr-FR"/>
        </w:rPr>
        <w:t>’</w:t>
      </w:r>
      <w:r w:rsidRPr="00F001B0">
        <w:rPr>
          <w:lang w:val="fr-FR"/>
        </w:rPr>
        <w:t>ADR au sujet de l</w:t>
      </w:r>
      <w:r w:rsidR="008B6F84">
        <w:rPr>
          <w:lang w:val="fr-FR"/>
        </w:rPr>
        <w:t>’</w:t>
      </w:r>
      <w:r w:rsidRPr="00F001B0">
        <w:rPr>
          <w:lang w:val="fr-FR"/>
        </w:rPr>
        <w:t xml:space="preserve">application des dispositions spéciales CW24 et CV24 aux </w:t>
      </w:r>
      <w:r w:rsidR="00C27ABF">
        <w:rPr>
          <w:lang w:val="fr-FR"/>
        </w:rPr>
        <w:t>Nos</w:t>
      </w:r>
      <w:r w:rsidRPr="00F001B0">
        <w:rPr>
          <w:lang w:val="fr-FR"/>
        </w:rPr>
        <w:t> ONU 1796, 1826 et</w:t>
      </w:r>
      <w:r w:rsidR="00C27ABF">
        <w:rPr>
          <w:lang w:val="fr-FR"/>
        </w:rPr>
        <w:t xml:space="preserve"> </w:t>
      </w:r>
      <w:r w:rsidRPr="00F001B0">
        <w:rPr>
          <w:lang w:val="fr-FR"/>
        </w:rPr>
        <w:t>2031, et sachant que la question avait déjà été soulevée dans le passé et qu</w:t>
      </w:r>
      <w:r w:rsidR="008B6F84">
        <w:rPr>
          <w:lang w:val="fr-FR"/>
        </w:rPr>
        <w:t>’</w:t>
      </w:r>
      <w:r w:rsidRPr="00F001B0">
        <w:rPr>
          <w:lang w:val="fr-FR"/>
        </w:rPr>
        <w:t>aucune justification ne leur avait été trouvée, la Réunion conjointe a recommandé que les trois rubriques soient harmonisées dans les éditions 2019 du RID et de l</w:t>
      </w:r>
      <w:r w:rsidR="008B6F84">
        <w:rPr>
          <w:lang w:val="fr-FR"/>
        </w:rPr>
        <w:t>’</w:t>
      </w:r>
      <w:r w:rsidRPr="00F001B0">
        <w:rPr>
          <w:lang w:val="fr-FR"/>
        </w:rPr>
        <w:t xml:space="preserve">ADR, comme suit : </w:t>
      </w:r>
    </w:p>
    <w:p w:rsidR="00CC315F" w:rsidRPr="00F001B0" w:rsidRDefault="00CC315F" w:rsidP="00CC315F">
      <w:pPr>
        <w:pStyle w:val="SingleTxtG"/>
        <w:ind w:firstLine="567"/>
        <w:rPr>
          <w:lang w:val="fr-FR"/>
        </w:rPr>
      </w:pPr>
      <w:r w:rsidRPr="00F001B0">
        <w:rPr>
          <w:lang w:val="fr-FR"/>
        </w:rPr>
        <w:t>a)</w:t>
      </w:r>
      <w:r w:rsidRPr="00F001B0">
        <w:rPr>
          <w:lang w:val="fr-FR"/>
        </w:rPr>
        <w:tab/>
        <w:t xml:space="preserve">Dans le RID, il convenait de supprimer la disposition spéciale CW24 pour les </w:t>
      </w:r>
      <w:r w:rsidR="00C27ABF">
        <w:rPr>
          <w:lang w:val="fr-FR"/>
        </w:rPr>
        <w:t>Nos</w:t>
      </w:r>
      <w:r w:rsidR="00C27ABF" w:rsidRPr="00F001B0">
        <w:rPr>
          <w:lang w:val="fr-FR"/>
        </w:rPr>
        <w:t> </w:t>
      </w:r>
      <w:r w:rsidRPr="00F001B0">
        <w:rPr>
          <w:lang w:val="fr-FR"/>
        </w:rPr>
        <w:t>ONU 1796 et 1826 du groupe d</w:t>
      </w:r>
      <w:r w:rsidR="008B6F84">
        <w:rPr>
          <w:lang w:val="fr-FR"/>
        </w:rPr>
        <w:t>’</w:t>
      </w:r>
      <w:r w:rsidRPr="00F001B0">
        <w:rPr>
          <w:lang w:val="fr-FR"/>
        </w:rPr>
        <w:t>emballage II (voir annexe II). La Réunion commune a recommandé que cette décision soit confirmée par le Comité d</w:t>
      </w:r>
      <w:r w:rsidR="008B6F84">
        <w:rPr>
          <w:lang w:val="fr-FR"/>
        </w:rPr>
        <w:t>’</w:t>
      </w:r>
      <w:r w:rsidRPr="00F001B0">
        <w:rPr>
          <w:lang w:val="fr-FR"/>
        </w:rPr>
        <w:t>experts du RID à sa session suivante ;</w:t>
      </w:r>
    </w:p>
    <w:p w:rsidR="00CC315F" w:rsidRPr="00F001B0" w:rsidRDefault="00CC315F" w:rsidP="00CC315F">
      <w:pPr>
        <w:pStyle w:val="SingleTxtG"/>
        <w:ind w:firstLine="567"/>
        <w:rPr>
          <w:lang w:val="fr-FR"/>
        </w:rPr>
      </w:pPr>
      <w:r w:rsidRPr="00F001B0">
        <w:rPr>
          <w:lang w:val="fr-FR"/>
        </w:rPr>
        <w:t>b)</w:t>
      </w:r>
      <w:r w:rsidRPr="00F001B0">
        <w:rPr>
          <w:lang w:val="fr-FR"/>
        </w:rPr>
        <w:tab/>
        <w:t>Dans le RID et l</w:t>
      </w:r>
      <w:r w:rsidR="008B6F84">
        <w:rPr>
          <w:lang w:val="fr-FR"/>
        </w:rPr>
        <w:t>’</w:t>
      </w:r>
      <w:r w:rsidRPr="00F001B0">
        <w:rPr>
          <w:lang w:val="fr-FR"/>
        </w:rPr>
        <w:t>ADR, il convenait d</w:t>
      </w:r>
      <w:r w:rsidR="008B6F84">
        <w:rPr>
          <w:lang w:val="fr-FR"/>
        </w:rPr>
        <w:t>’</w:t>
      </w:r>
      <w:r w:rsidRPr="00F001B0">
        <w:rPr>
          <w:lang w:val="fr-FR"/>
        </w:rPr>
        <w:t xml:space="preserve">affecter les dispositions spéciales CW24 et CV24 à la deuxième rubrique du </w:t>
      </w:r>
      <w:r w:rsidR="00C27ABF">
        <w:rPr>
          <w:lang w:val="fr-FR"/>
        </w:rPr>
        <w:t>No</w:t>
      </w:r>
      <w:r w:rsidRPr="00F001B0">
        <w:rPr>
          <w:lang w:val="fr-FR"/>
        </w:rPr>
        <w:t> ONU 2031 (voir annexe II). La Réunion commune a recommandé que cette décision soit confirmée par le Comité d</w:t>
      </w:r>
      <w:r w:rsidR="008B6F84">
        <w:rPr>
          <w:lang w:val="fr-FR"/>
        </w:rPr>
        <w:t>’</w:t>
      </w:r>
      <w:r w:rsidRPr="00F001B0">
        <w:rPr>
          <w:lang w:val="fr-FR"/>
        </w:rPr>
        <w:t>experts du RID et le Groupe de travail des transports de marchandises dangereuses à leur session suivante.</w:t>
      </w:r>
    </w:p>
    <w:p w:rsidR="00CC315F" w:rsidRPr="00F001B0" w:rsidRDefault="00CC315F" w:rsidP="00CC315F">
      <w:pPr>
        <w:pStyle w:val="H1G"/>
        <w:rPr>
          <w:lang w:val="fr-FR"/>
        </w:rPr>
      </w:pPr>
      <w:r w:rsidRPr="00F001B0">
        <w:rPr>
          <w:lang w:val="fr-FR"/>
        </w:rPr>
        <w:tab/>
        <w:t>B.</w:t>
      </w:r>
      <w:r w:rsidRPr="00F001B0">
        <w:rPr>
          <w:lang w:val="fr-FR"/>
        </w:rPr>
        <w:tab/>
        <w:t>Utilisation d</w:t>
      </w:r>
      <w:r w:rsidR="008B6F84">
        <w:rPr>
          <w:lang w:val="fr-FR"/>
        </w:rPr>
        <w:t>’</w:t>
      </w:r>
      <w:r w:rsidRPr="00F001B0">
        <w:rPr>
          <w:lang w:val="fr-FR"/>
        </w:rPr>
        <w:t>emballages usagés pour le transport de marchandises dangereuses</w:t>
      </w:r>
    </w:p>
    <w:p w:rsidR="00CC315F" w:rsidRPr="00F001B0" w:rsidRDefault="00CC315F" w:rsidP="00994235">
      <w:pPr>
        <w:pStyle w:val="SingleTxtG"/>
        <w:tabs>
          <w:tab w:val="left" w:pos="3402"/>
        </w:tabs>
        <w:ind w:left="3402" w:hanging="2268"/>
        <w:jc w:val="left"/>
        <w:rPr>
          <w:lang w:val="fr-FR"/>
        </w:rPr>
      </w:pPr>
      <w:r w:rsidRPr="00F001B0">
        <w:rPr>
          <w:i/>
          <w:iCs/>
          <w:lang w:val="fr-FR"/>
        </w:rPr>
        <w:t>Document informel</w:t>
      </w:r>
      <w:r w:rsidR="00A94013">
        <w:rPr>
          <w:i/>
          <w:iCs/>
          <w:lang w:val="fr-FR"/>
        </w:rPr>
        <w:t> </w:t>
      </w:r>
      <w:r w:rsidR="00A94013">
        <w:rPr>
          <w:iCs/>
          <w:lang w:val="fr-FR"/>
        </w:rPr>
        <w:t>:</w:t>
      </w:r>
      <w:r w:rsidRPr="00F001B0">
        <w:rPr>
          <w:lang w:val="fr-FR"/>
        </w:rPr>
        <w:tab/>
        <w:t>INF.39 (France)</w:t>
      </w:r>
    </w:p>
    <w:p w:rsidR="00CC315F" w:rsidRPr="00F001B0" w:rsidRDefault="00CC315F" w:rsidP="00CC315F">
      <w:pPr>
        <w:pStyle w:val="SingleTxtG"/>
        <w:rPr>
          <w:lang w:val="fr-FR"/>
        </w:rPr>
      </w:pPr>
      <w:r w:rsidRPr="00F001B0">
        <w:rPr>
          <w:lang w:val="fr-FR"/>
        </w:rPr>
        <w:t>15.</w:t>
      </w:r>
      <w:r w:rsidRPr="00F001B0">
        <w:rPr>
          <w:lang w:val="fr-FR"/>
        </w:rPr>
        <w:tab/>
        <w:t>La Réunion commune a noté que cette question était traitée de diverses façons par les Parties contractantes (par exemple, par des dérogations définies dans des accords multilatéraux ou au moyen de l</w:t>
      </w:r>
      <w:r w:rsidR="008B6F84">
        <w:rPr>
          <w:lang w:val="fr-FR"/>
        </w:rPr>
        <w:t>’</w:t>
      </w:r>
      <w:r w:rsidRPr="00F001B0">
        <w:rPr>
          <w:lang w:val="fr-FR"/>
        </w:rPr>
        <w:t>article 6 de la directive 2008/68/CE du Parlement européen et du Conseil relative au transport intérieur des marchandises dangereuses). Après un échange de vues, la Réunion commune a accueilli favorablement la proposition faite par le représentant de la France d</w:t>
      </w:r>
      <w:r w:rsidR="008B6F84">
        <w:rPr>
          <w:lang w:val="fr-FR"/>
        </w:rPr>
        <w:t>’</w:t>
      </w:r>
      <w:r w:rsidRPr="00F001B0">
        <w:rPr>
          <w:lang w:val="fr-FR"/>
        </w:rPr>
        <w:t>établir un questionnaire à envoyer à toutes les Parties contractantes afin de recueillir des informations sur les pratiques actuelles et d</w:t>
      </w:r>
      <w:r w:rsidR="008B6F84">
        <w:rPr>
          <w:lang w:val="fr-FR"/>
        </w:rPr>
        <w:t>’</w:t>
      </w:r>
      <w:r w:rsidRPr="00F001B0">
        <w:rPr>
          <w:lang w:val="fr-FR"/>
        </w:rPr>
        <w:t>étudier les moyens d</w:t>
      </w:r>
      <w:r w:rsidR="008B6F84">
        <w:rPr>
          <w:lang w:val="fr-FR"/>
        </w:rPr>
        <w:t>’</w:t>
      </w:r>
      <w:r w:rsidRPr="00F001B0">
        <w:rPr>
          <w:lang w:val="fr-FR"/>
        </w:rPr>
        <w:t>harmoniser celles-ci au niveau international</w:t>
      </w:r>
    </w:p>
    <w:p w:rsidR="00CC315F" w:rsidRPr="00F001B0" w:rsidRDefault="00CC315F" w:rsidP="00CC315F">
      <w:pPr>
        <w:pStyle w:val="H1G"/>
        <w:keepNext w:val="0"/>
        <w:keepLines w:val="0"/>
        <w:rPr>
          <w:lang w:val="fr-FR"/>
        </w:rPr>
      </w:pPr>
      <w:r w:rsidRPr="00F001B0">
        <w:rPr>
          <w:lang w:val="fr-FR"/>
        </w:rPr>
        <w:tab/>
        <w:t>C.</w:t>
      </w:r>
      <w:r w:rsidRPr="00F001B0">
        <w:rPr>
          <w:lang w:val="fr-FR"/>
        </w:rPr>
        <w:tab/>
        <w:t>Divergences et ajouts aux étiquettes de dangers et plaques-étiquettes</w:t>
      </w:r>
    </w:p>
    <w:p w:rsidR="00CC315F" w:rsidRPr="00F001B0" w:rsidRDefault="00CC315F" w:rsidP="00994235">
      <w:pPr>
        <w:pStyle w:val="SingleTxtG"/>
        <w:tabs>
          <w:tab w:val="left" w:pos="3402"/>
        </w:tabs>
        <w:ind w:left="3402" w:hanging="2268"/>
        <w:jc w:val="left"/>
        <w:rPr>
          <w:lang w:val="fr-FR"/>
        </w:rPr>
      </w:pPr>
      <w:r w:rsidRPr="00F001B0">
        <w:rPr>
          <w:i/>
          <w:iCs/>
          <w:lang w:val="fr-FR"/>
        </w:rPr>
        <w:t>Document informels</w:t>
      </w:r>
      <w:r w:rsidR="00ED304F">
        <w:rPr>
          <w:i/>
          <w:iCs/>
          <w:lang w:val="fr-FR"/>
        </w:rPr>
        <w:t> </w:t>
      </w:r>
      <w:r w:rsidR="00ED304F">
        <w:rPr>
          <w:iCs/>
          <w:lang w:val="fr-FR"/>
        </w:rPr>
        <w:t>:</w:t>
      </w:r>
      <w:r w:rsidRPr="00F001B0">
        <w:rPr>
          <w:lang w:val="fr-FR"/>
        </w:rPr>
        <w:tab/>
        <w:t>INF.16 et INF.43 (UIC)</w:t>
      </w:r>
    </w:p>
    <w:p w:rsidR="00CC315F" w:rsidRPr="00F001B0" w:rsidRDefault="00CC315F" w:rsidP="00CC315F">
      <w:pPr>
        <w:pStyle w:val="SingleTxtG"/>
        <w:rPr>
          <w:lang w:val="fr-FR"/>
        </w:rPr>
      </w:pPr>
      <w:r w:rsidRPr="00F001B0">
        <w:rPr>
          <w:lang w:val="fr-FR"/>
        </w:rPr>
        <w:t>16.</w:t>
      </w:r>
      <w:r w:rsidRPr="00F001B0">
        <w:rPr>
          <w:lang w:val="fr-FR"/>
        </w:rPr>
        <w:tab/>
        <w:t>La Réunion commune a adopté la proposition reproduite dans le document informel INF.43, avec une modification au texte anglais visant à l</w:t>
      </w:r>
      <w:r w:rsidR="008B6F84">
        <w:rPr>
          <w:lang w:val="fr-FR"/>
        </w:rPr>
        <w:t>’</w:t>
      </w:r>
      <w:r w:rsidRPr="00F001B0">
        <w:rPr>
          <w:lang w:val="fr-FR"/>
        </w:rPr>
        <w:t xml:space="preserve">harmoniser avec les autres versions linguistiques (voir annexe II), pour </w:t>
      </w:r>
      <w:proofErr w:type="spellStart"/>
      <w:r w:rsidRPr="00F001B0">
        <w:rPr>
          <w:lang w:val="fr-FR"/>
        </w:rPr>
        <w:t>entrée</w:t>
      </w:r>
      <w:proofErr w:type="spellEnd"/>
      <w:r w:rsidRPr="00F001B0">
        <w:rPr>
          <w:lang w:val="fr-FR"/>
        </w:rPr>
        <w:t xml:space="preserve"> en vigueur le 1</w:t>
      </w:r>
      <w:r w:rsidRPr="00F001B0">
        <w:rPr>
          <w:vertAlign w:val="superscript"/>
          <w:lang w:val="fr-FR"/>
        </w:rPr>
        <w:t>er</w:t>
      </w:r>
      <w:r w:rsidRPr="00F001B0">
        <w:rPr>
          <w:lang w:val="fr-FR"/>
        </w:rPr>
        <w:t> janvier 2019.</w:t>
      </w:r>
    </w:p>
    <w:p w:rsidR="00CC315F" w:rsidRPr="00F001B0" w:rsidRDefault="00CC315F" w:rsidP="00CC315F">
      <w:pPr>
        <w:pStyle w:val="SingleTxtG"/>
        <w:rPr>
          <w:lang w:val="fr-FR"/>
        </w:rPr>
      </w:pPr>
      <w:r w:rsidRPr="00F001B0">
        <w:rPr>
          <w:lang w:val="fr-FR"/>
        </w:rPr>
        <w:t>17.</w:t>
      </w:r>
      <w:r w:rsidRPr="00F001B0">
        <w:rPr>
          <w:lang w:val="fr-FR"/>
        </w:rPr>
        <w:tab/>
      </w:r>
      <w:r w:rsidRPr="00F001B0">
        <w:rPr>
          <w:lang w:val="fr-FR" w:eastAsia="zh-CN"/>
        </w:rPr>
        <w:t>Le représentant de la Fédération de Russie a fait savoir à la Réunion commune que la traduction en russe du mot « plaques-étiquettes » dans le RID, l</w:t>
      </w:r>
      <w:r w:rsidR="008B6F84">
        <w:rPr>
          <w:lang w:val="fr-FR" w:eastAsia="zh-CN"/>
        </w:rPr>
        <w:t>’</w:t>
      </w:r>
      <w:r w:rsidRPr="00F001B0">
        <w:rPr>
          <w:lang w:val="fr-FR" w:eastAsia="zh-CN"/>
        </w:rPr>
        <w:t>ADR et l</w:t>
      </w:r>
      <w:r w:rsidR="008B6F84">
        <w:rPr>
          <w:lang w:val="fr-FR" w:eastAsia="zh-CN"/>
        </w:rPr>
        <w:t>’</w:t>
      </w:r>
      <w:r w:rsidRPr="00F001B0">
        <w:rPr>
          <w:lang w:val="fr-FR" w:eastAsia="zh-CN"/>
        </w:rPr>
        <w:t>ADN n</w:t>
      </w:r>
      <w:r w:rsidR="008B6F84">
        <w:rPr>
          <w:lang w:val="fr-FR" w:eastAsia="zh-CN"/>
        </w:rPr>
        <w:t>’</w:t>
      </w:r>
      <w:r w:rsidRPr="00F001B0">
        <w:rPr>
          <w:lang w:val="fr-FR" w:eastAsia="zh-CN"/>
        </w:rPr>
        <w:t>était pas correcte. Notant que le texte du Règlement type devrait être corrigé également, la Réunion commune a invité le délégué à soumettre une proposition officielle pour examen par le Sous-Comité</w:t>
      </w:r>
      <w:r w:rsidRPr="00F001B0">
        <w:rPr>
          <w:lang w:val="fr-FR"/>
        </w:rPr>
        <w:t xml:space="preserve"> </w:t>
      </w:r>
      <w:r w:rsidRPr="00F001B0">
        <w:rPr>
          <w:lang w:val="fr-FR" w:eastAsia="zh-CN"/>
        </w:rPr>
        <w:t>d</w:t>
      </w:r>
      <w:r w:rsidR="008B6F84">
        <w:rPr>
          <w:lang w:val="fr-FR" w:eastAsia="zh-CN"/>
        </w:rPr>
        <w:t>’</w:t>
      </w:r>
      <w:r w:rsidRPr="00F001B0">
        <w:rPr>
          <w:lang w:val="fr-FR" w:eastAsia="zh-CN"/>
        </w:rPr>
        <w:t>experts du transport des marchandises dangereuses</w:t>
      </w:r>
      <w:r w:rsidRPr="00F001B0">
        <w:rPr>
          <w:lang w:val="fr-FR"/>
        </w:rPr>
        <w:t>.</w:t>
      </w:r>
    </w:p>
    <w:p w:rsidR="00CC315F" w:rsidRPr="00F001B0" w:rsidRDefault="00CC315F" w:rsidP="00CC315F">
      <w:pPr>
        <w:pStyle w:val="HChG"/>
        <w:ind w:hanging="567"/>
        <w:rPr>
          <w:lang w:val="fr-FR"/>
        </w:rPr>
      </w:pPr>
      <w:r w:rsidRPr="00F001B0">
        <w:rPr>
          <w:lang w:val="fr-FR"/>
        </w:rPr>
        <w:t>VI.</w:t>
      </w:r>
      <w:r w:rsidRPr="00F001B0">
        <w:rPr>
          <w:lang w:val="fr-FR"/>
        </w:rPr>
        <w:tab/>
        <w:t>Propositions d</w:t>
      </w:r>
      <w:r w:rsidR="008B6F84">
        <w:rPr>
          <w:lang w:val="fr-FR"/>
        </w:rPr>
        <w:t>’</w:t>
      </w:r>
      <w:r w:rsidRPr="00F001B0">
        <w:rPr>
          <w:lang w:val="fr-FR"/>
        </w:rPr>
        <w:t xml:space="preserve">amendements au RID/ADR/ADN </w:t>
      </w:r>
      <w:r w:rsidRPr="00F001B0">
        <w:rPr>
          <w:lang w:val="fr-FR"/>
        </w:rPr>
        <w:br/>
        <w:t>(point 5 de l</w:t>
      </w:r>
      <w:r w:rsidR="008B6F84">
        <w:rPr>
          <w:lang w:val="fr-FR"/>
        </w:rPr>
        <w:t>’</w:t>
      </w:r>
      <w:r w:rsidRPr="00F001B0">
        <w:rPr>
          <w:lang w:val="fr-FR"/>
        </w:rPr>
        <w:t>ordre du jour)</w:t>
      </w:r>
    </w:p>
    <w:p w:rsidR="00CC315F" w:rsidRPr="00F001B0" w:rsidRDefault="00CC315F" w:rsidP="00CC315F">
      <w:pPr>
        <w:pStyle w:val="H1G"/>
        <w:rPr>
          <w:lang w:val="fr-FR"/>
        </w:rPr>
      </w:pPr>
      <w:r w:rsidRPr="00F001B0">
        <w:rPr>
          <w:lang w:val="fr-FR"/>
        </w:rPr>
        <w:tab/>
        <w:t>A.</w:t>
      </w:r>
      <w:r w:rsidRPr="00F001B0">
        <w:rPr>
          <w:lang w:val="fr-FR"/>
        </w:rPr>
        <w:tab/>
        <w:t>Questions en suspens</w:t>
      </w:r>
    </w:p>
    <w:p w:rsidR="00CC315F" w:rsidRPr="00F001B0" w:rsidRDefault="00CC315F" w:rsidP="00CC315F">
      <w:pPr>
        <w:pStyle w:val="H23G"/>
        <w:rPr>
          <w:lang w:val="fr-FR"/>
        </w:rPr>
      </w:pPr>
      <w:r w:rsidRPr="00F001B0">
        <w:rPr>
          <w:lang w:val="fr-FR"/>
        </w:rPr>
        <w:tab/>
        <w:t>1.</w:t>
      </w:r>
      <w:r w:rsidRPr="00F001B0">
        <w:rPr>
          <w:lang w:val="fr-FR"/>
        </w:rPr>
        <w:tab/>
        <w:t xml:space="preserve">Dispositions supplémentaires pour les marchandises de la classe 1 (5.2.1.5) : </w:t>
      </w:r>
      <w:r w:rsidRPr="00F001B0">
        <w:rPr>
          <w:lang w:val="fr-FR"/>
        </w:rPr>
        <w:br/>
        <w:t>Langues à utiliser pour les marques</w:t>
      </w:r>
    </w:p>
    <w:p w:rsidR="00CC315F" w:rsidRPr="00F001B0" w:rsidRDefault="00CC315F" w:rsidP="00994235">
      <w:pPr>
        <w:pStyle w:val="SingleTxtG"/>
        <w:tabs>
          <w:tab w:val="left" w:pos="3402"/>
        </w:tabs>
        <w:ind w:left="3402" w:hanging="2268"/>
        <w:jc w:val="left"/>
        <w:rPr>
          <w:lang w:val="fr-FR"/>
        </w:rPr>
      </w:pPr>
      <w:r w:rsidRPr="00F001B0">
        <w:rPr>
          <w:i/>
          <w:iCs/>
          <w:lang w:val="fr-FR"/>
        </w:rPr>
        <w:t>Document</w:t>
      </w:r>
      <w:r w:rsidR="00ED304F">
        <w:rPr>
          <w:i/>
          <w:iCs/>
          <w:lang w:val="fr-FR"/>
        </w:rPr>
        <w:t> </w:t>
      </w:r>
      <w:r w:rsidRPr="00F001B0">
        <w:rPr>
          <w:lang w:val="fr-FR"/>
        </w:rPr>
        <w:t>:</w:t>
      </w:r>
      <w:r w:rsidRPr="00F001B0">
        <w:rPr>
          <w:lang w:val="fr-FR"/>
        </w:rPr>
        <w:tab/>
        <w:t>ECE/TRAN</w:t>
      </w:r>
      <w:r w:rsidR="00ED304F">
        <w:rPr>
          <w:lang w:val="fr-FR"/>
        </w:rPr>
        <w:t>S/WP.15/AC.1/2018/1 (Allemagne)</w:t>
      </w:r>
    </w:p>
    <w:p w:rsidR="00CC315F" w:rsidRPr="00F001B0" w:rsidRDefault="00CC315F" w:rsidP="00CC315F">
      <w:pPr>
        <w:pStyle w:val="SingleTxtG"/>
        <w:rPr>
          <w:lang w:val="fr-FR"/>
        </w:rPr>
      </w:pPr>
      <w:r w:rsidRPr="00F001B0">
        <w:rPr>
          <w:lang w:val="fr-FR"/>
        </w:rPr>
        <w:t>18.</w:t>
      </w:r>
      <w:r w:rsidRPr="00F001B0">
        <w:rPr>
          <w:lang w:val="fr-FR"/>
        </w:rPr>
        <w:tab/>
      </w:r>
      <w:r w:rsidRPr="00F7705A">
        <w:rPr>
          <w:spacing w:val="-3"/>
          <w:lang w:val="fr-FR"/>
        </w:rPr>
        <w:t>La Réunion commune a adopté l</w:t>
      </w:r>
      <w:r w:rsidR="008B6F84">
        <w:rPr>
          <w:spacing w:val="-3"/>
          <w:lang w:val="fr-FR"/>
        </w:rPr>
        <w:t>’</w:t>
      </w:r>
      <w:r w:rsidRPr="00F7705A">
        <w:rPr>
          <w:spacing w:val="-3"/>
          <w:lang w:val="fr-FR"/>
        </w:rPr>
        <w:t>option 1 telle que présentée dans le document de l</w:t>
      </w:r>
      <w:r w:rsidR="008B6F84">
        <w:rPr>
          <w:spacing w:val="-3"/>
          <w:lang w:val="fr-FR"/>
        </w:rPr>
        <w:t>’</w:t>
      </w:r>
      <w:r w:rsidRPr="00F7705A">
        <w:rPr>
          <w:spacing w:val="-3"/>
          <w:lang w:val="fr-FR"/>
        </w:rPr>
        <w:t xml:space="preserve">Allemagne pour </w:t>
      </w:r>
      <w:proofErr w:type="spellStart"/>
      <w:r w:rsidRPr="00F7705A">
        <w:rPr>
          <w:spacing w:val="-3"/>
          <w:lang w:val="fr-FR"/>
        </w:rPr>
        <w:t>entrée</w:t>
      </w:r>
      <w:proofErr w:type="spellEnd"/>
      <w:r w:rsidRPr="00F7705A">
        <w:rPr>
          <w:spacing w:val="-3"/>
          <w:lang w:val="fr-FR"/>
        </w:rPr>
        <w:t xml:space="preserve"> en vigueur le 1</w:t>
      </w:r>
      <w:r w:rsidRPr="00F7705A">
        <w:rPr>
          <w:spacing w:val="-3"/>
          <w:vertAlign w:val="superscript"/>
          <w:lang w:val="fr-FR"/>
        </w:rPr>
        <w:t>er</w:t>
      </w:r>
      <w:r w:rsidRPr="00F7705A">
        <w:rPr>
          <w:spacing w:val="-3"/>
          <w:lang w:val="fr-FR"/>
        </w:rPr>
        <w:t> janvier 2019 (voir annexe II). Il a été noté que cette option n</w:t>
      </w:r>
      <w:r w:rsidR="008B6F84">
        <w:rPr>
          <w:spacing w:val="-3"/>
          <w:lang w:val="fr-FR"/>
        </w:rPr>
        <w:t>’</w:t>
      </w:r>
      <w:r w:rsidRPr="00F7705A">
        <w:rPr>
          <w:spacing w:val="-3"/>
          <w:lang w:val="fr-FR"/>
        </w:rPr>
        <w:t>interdisait pas l</w:t>
      </w:r>
      <w:r w:rsidR="008B6F84">
        <w:rPr>
          <w:spacing w:val="-3"/>
          <w:lang w:val="fr-FR"/>
        </w:rPr>
        <w:t>’</w:t>
      </w:r>
      <w:r w:rsidRPr="00F7705A">
        <w:rPr>
          <w:spacing w:val="-3"/>
          <w:lang w:val="fr-FR"/>
        </w:rPr>
        <w:t>utilisation de langues supplémentaires autres que le français, l</w:t>
      </w:r>
      <w:r w:rsidR="008B6F84">
        <w:rPr>
          <w:spacing w:val="-3"/>
          <w:lang w:val="fr-FR"/>
        </w:rPr>
        <w:t>’</w:t>
      </w:r>
      <w:r w:rsidRPr="00F7705A">
        <w:rPr>
          <w:spacing w:val="-3"/>
          <w:lang w:val="fr-FR"/>
        </w:rPr>
        <w:t>allemand ou l</w:t>
      </w:r>
      <w:r w:rsidR="008B6F84">
        <w:rPr>
          <w:spacing w:val="-3"/>
          <w:lang w:val="fr-FR"/>
        </w:rPr>
        <w:t>’</w:t>
      </w:r>
      <w:r w:rsidRPr="00F7705A">
        <w:rPr>
          <w:spacing w:val="-3"/>
          <w:lang w:val="fr-FR"/>
        </w:rPr>
        <w:t>anglais, à condition que le texte figure également dans une de ces trois langues.</w:t>
      </w:r>
    </w:p>
    <w:p w:rsidR="00CC315F" w:rsidRPr="00F001B0" w:rsidRDefault="00CC315F" w:rsidP="00CC315F">
      <w:pPr>
        <w:pStyle w:val="H23G"/>
        <w:rPr>
          <w:lang w:val="fr-FR"/>
        </w:rPr>
      </w:pPr>
      <w:r w:rsidRPr="00F001B0">
        <w:rPr>
          <w:lang w:val="fr-FR"/>
        </w:rPr>
        <w:tab/>
        <w:t>2.</w:t>
      </w:r>
      <w:r w:rsidRPr="00F001B0">
        <w:rPr>
          <w:lang w:val="fr-FR"/>
        </w:rPr>
        <w:tab/>
        <w:t>Amendement au 1.1.3.6.3</w:t>
      </w:r>
    </w:p>
    <w:p w:rsidR="00CC315F" w:rsidRPr="00F001B0" w:rsidRDefault="00CC315F" w:rsidP="00E44270">
      <w:pPr>
        <w:pStyle w:val="SingleTxtG"/>
        <w:tabs>
          <w:tab w:val="left" w:pos="3402"/>
        </w:tabs>
        <w:ind w:left="3402" w:hanging="2268"/>
        <w:jc w:val="left"/>
        <w:rPr>
          <w:lang w:val="fr-FR"/>
        </w:rPr>
      </w:pPr>
      <w:r w:rsidRPr="00F001B0">
        <w:rPr>
          <w:i/>
          <w:iCs/>
          <w:lang w:val="fr-FR"/>
        </w:rPr>
        <w:t>Document informel</w:t>
      </w:r>
      <w:r w:rsidR="00ED304F">
        <w:rPr>
          <w:i/>
          <w:iCs/>
          <w:lang w:val="fr-FR"/>
        </w:rPr>
        <w:t> </w:t>
      </w:r>
      <w:r w:rsidR="00ED304F">
        <w:rPr>
          <w:iCs/>
          <w:lang w:val="fr-FR"/>
        </w:rPr>
        <w:t>:</w:t>
      </w:r>
      <w:r w:rsidR="00ED304F">
        <w:rPr>
          <w:lang w:val="fr-FR"/>
        </w:rPr>
        <w:tab/>
        <w:t>INF.8 (Allemagne)</w:t>
      </w:r>
    </w:p>
    <w:p w:rsidR="00CC315F" w:rsidRPr="00F001B0" w:rsidRDefault="00CC315F" w:rsidP="00CC315F">
      <w:pPr>
        <w:pStyle w:val="SingleTxtG"/>
        <w:tabs>
          <w:tab w:val="left" w:pos="1701"/>
          <w:tab w:val="left" w:pos="3402"/>
        </w:tabs>
        <w:rPr>
          <w:lang w:val="fr-FR"/>
        </w:rPr>
      </w:pPr>
      <w:r w:rsidRPr="00F001B0">
        <w:rPr>
          <w:lang w:val="fr-FR"/>
        </w:rPr>
        <w:t>19.</w:t>
      </w:r>
      <w:r w:rsidRPr="00F001B0">
        <w:rPr>
          <w:lang w:val="fr-FR"/>
        </w:rPr>
        <w:tab/>
        <w:t>La Réunion commune a adopté sans modification l</w:t>
      </w:r>
      <w:r w:rsidR="008B6F84">
        <w:rPr>
          <w:lang w:val="fr-FR"/>
        </w:rPr>
        <w:t>’</w:t>
      </w:r>
      <w:r w:rsidRPr="00F001B0">
        <w:rPr>
          <w:lang w:val="fr-FR"/>
        </w:rPr>
        <w:t xml:space="preserve">amendement au 1.1.3.6.3 proposé dans le document informel INF.8, pour </w:t>
      </w:r>
      <w:proofErr w:type="spellStart"/>
      <w:r w:rsidRPr="00F001B0">
        <w:rPr>
          <w:lang w:val="fr-FR"/>
        </w:rPr>
        <w:t>entrée</w:t>
      </w:r>
      <w:proofErr w:type="spellEnd"/>
      <w:r w:rsidRPr="00F001B0">
        <w:rPr>
          <w:lang w:val="fr-FR"/>
        </w:rPr>
        <w:t xml:space="preserve"> en vigueur le 1</w:t>
      </w:r>
      <w:r w:rsidRPr="00F001B0">
        <w:rPr>
          <w:vertAlign w:val="superscript"/>
          <w:lang w:val="fr-FR"/>
        </w:rPr>
        <w:t>er</w:t>
      </w:r>
      <w:r w:rsidRPr="00F001B0">
        <w:rPr>
          <w:lang w:val="fr-FR"/>
        </w:rPr>
        <w:t> janvier 2019 (voir annexe II).</w:t>
      </w:r>
    </w:p>
    <w:p w:rsidR="00CC315F" w:rsidRPr="00F001B0" w:rsidRDefault="00CC315F" w:rsidP="00CC315F">
      <w:pPr>
        <w:pStyle w:val="H23G"/>
        <w:rPr>
          <w:lang w:val="fr-FR"/>
        </w:rPr>
      </w:pPr>
      <w:r w:rsidRPr="00F001B0">
        <w:rPr>
          <w:lang w:val="fr-FR"/>
        </w:rPr>
        <w:tab/>
        <w:t>3.</w:t>
      </w:r>
      <w:r w:rsidRPr="00F001B0">
        <w:rPr>
          <w:lang w:val="fr-FR"/>
        </w:rPr>
        <w:tab/>
        <w:t xml:space="preserve">Amendements au RID/ADR/ADN pour </w:t>
      </w:r>
      <w:proofErr w:type="spellStart"/>
      <w:r w:rsidRPr="00F001B0">
        <w:rPr>
          <w:lang w:val="fr-FR"/>
        </w:rPr>
        <w:t>entrée</w:t>
      </w:r>
      <w:proofErr w:type="spellEnd"/>
      <w:r w:rsidRPr="00F001B0">
        <w:rPr>
          <w:lang w:val="fr-FR"/>
        </w:rPr>
        <w:t xml:space="preserve"> en vigueur le 1</w:t>
      </w:r>
      <w:r w:rsidRPr="00F001B0">
        <w:rPr>
          <w:vertAlign w:val="superscript"/>
          <w:lang w:val="fr-FR"/>
        </w:rPr>
        <w:t>er</w:t>
      </w:r>
      <w:r w:rsidRPr="00F001B0">
        <w:rPr>
          <w:lang w:val="fr-FR"/>
        </w:rPr>
        <w:t xml:space="preserve"> janvier 2019</w:t>
      </w:r>
    </w:p>
    <w:p w:rsidR="00CC315F" w:rsidRPr="00F001B0" w:rsidRDefault="00CC315F" w:rsidP="00E44270">
      <w:pPr>
        <w:pStyle w:val="SingleTxtG"/>
        <w:tabs>
          <w:tab w:val="left" w:pos="3402"/>
        </w:tabs>
        <w:ind w:left="3402" w:hanging="2268"/>
        <w:jc w:val="left"/>
        <w:rPr>
          <w:lang w:val="fr-FR"/>
        </w:rPr>
      </w:pPr>
      <w:r w:rsidRPr="00F001B0">
        <w:rPr>
          <w:i/>
          <w:iCs/>
          <w:lang w:val="fr-FR"/>
        </w:rPr>
        <w:t>Document informel</w:t>
      </w:r>
      <w:r w:rsidR="00ED304F">
        <w:rPr>
          <w:i/>
          <w:iCs/>
          <w:lang w:val="fr-FR"/>
        </w:rPr>
        <w:t> </w:t>
      </w:r>
      <w:r w:rsidR="00ED304F">
        <w:rPr>
          <w:iCs/>
          <w:lang w:val="fr-FR"/>
        </w:rPr>
        <w:t>:</w:t>
      </w:r>
      <w:r w:rsidR="002643AB">
        <w:rPr>
          <w:lang w:val="fr-FR"/>
        </w:rPr>
        <w:tab/>
        <w:t>INF.</w:t>
      </w:r>
      <w:r w:rsidRPr="00F001B0">
        <w:rPr>
          <w:lang w:val="fr-FR"/>
        </w:rPr>
        <w:t>20 (secrétariats de la CEE et de l</w:t>
      </w:r>
      <w:r w:rsidR="008B6F84">
        <w:rPr>
          <w:lang w:val="fr-FR"/>
        </w:rPr>
        <w:t>’</w:t>
      </w:r>
      <w:r w:rsidRPr="00F001B0">
        <w:rPr>
          <w:lang w:val="fr-FR"/>
        </w:rPr>
        <w:t xml:space="preserve">OTIF) </w:t>
      </w:r>
    </w:p>
    <w:p w:rsidR="00CC315F" w:rsidRPr="00F001B0" w:rsidRDefault="00CC315F" w:rsidP="00CC315F">
      <w:pPr>
        <w:pStyle w:val="SingleTxtG"/>
        <w:rPr>
          <w:lang w:val="fr-FR"/>
        </w:rPr>
      </w:pPr>
      <w:r w:rsidRPr="00F001B0">
        <w:rPr>
          <w:lang w:val="fr-FR"/>
        </w:rPr>
        <w:t>20.</w:t>
      </w:r>
      <w:r w:rsidRPr="00F001B0">
        <w:rPr>
          <w:lang w:val="fr-FR"/>
        </w:rPr>
        <w:tab/>
        <w:t>La Réunion commune a adopté sans modification les amendements au RID, à l</w:t>
      </w:r>
      <w:r w:rsidR="008B6F84">
        <w:rPr>
          <w:lang w:val="fr-FR"/>
        </w:rPr>
        <w:t>’</w:t>
      </w:r>
      <w:r w:rsidRPr="00F001B0">
        <w:rPr>
          <w:lang w:val="fr-FR"/>
        </w:rPr>
        <w:t>ADR et à l</w:t>
      </w:r>
      <w:r w:rsidR="008B6F84">
        <w:rPr>
          <w:lang w:val="fr-FR"/>
        </w:rPr>
        <w:t>’</w:t>
      </w:r>
      <w:r w:rsidRPr="00F001B0">
        <w:rPr>
          <w:lang w:val="fr-FR"/>
        </w:rPr>
        <w:t xml:space="preserve">ADN proposés dans le document informel INF.20, </w:t>
      </w:r>
      <w:bookmarkStart w:id="1" w:name="_Hlk515993678"/>
      <w:r w:rsidRPr="00F001B0">
        <w:rPr>
          <w:lang w:val="fr-FR"/>
        </w:rPr>
        <w:t xml:space="preserve">pour </w:t>
      </w:r>
      <w:proofErr w:type="spellStart"/>
      <w:r w:rsidRPr="00F001B0">
        <w:rPr>
          <w:lang w:val="fr-FR"/>
        </w:rPr>
        <w:t>entrée</w:t>
      </w:r>
      <w:proofErr w:type="spellEnd"/>
      <w:r w:rsidRPr="00F001B0">
        <w:rPr>
          <w:lang w:val="fr-FR"/>
        </w:rPr>
        <w:t xml:space="preserve"> en vigueur le 1</w:t>
      </w:r>
      <w:r w:rsidRPr="00F001B0">
        <w:rPr>
          <w:vertAlign w:val="superscript"/>
          <w:lang w:val="fr-FR"/>
        </w:rPr>
        <w:t>er</w:t>
      </w:r>
      <w:r w:rsidRPr="00F001B0">
        <w:rPr>
          <w:lang w:val="fr-FR"/>
        </w:rPr>
        <w:t xml:space="preserve"> janvier 2019 </w:t>
      </w:r>
      <w:bookmarkEnd w:id="1"/>
      <w:r w:rsidRPr="00F001B0">
        <w:rPr>
          <w:lang w:val="fr-FR"/>
        </w:rPr>
        <w:t>(voir annexe II).</w:t>
      </w:r>
    </w:p>
    <w:p w:rsidR="00CC315F" w:rsidRPr="00F001B0" w:rsidRDefault="00CC315F" w:rsidP="00CC315F">
      <w:pPr>
        <w:pStyle w:val="H23G"/>
        <w:rPr>
          <w:lang w:val="fr-FR"/>
        </w:rPr>
      </w:pPr>
      <w:r w:rsidRPr="00F001B0">
        <w:rPr>
          <w:lang w:val="fr-FR"/>
        </w:rPr>
        <w:tab/>
        <w:t>4.</w:t>
      </w:r>
      <w:r w:rsidRPr="00F001B0">
        <w:rPr>
          <w:lang w:val="fr-FR"/>
        </w:rPr>
        <w:tab/>
        <w:t>Nouvelles dispositions relatives au document de synthèse sur les épreuves des batteries au lithium</w:t>
      </w:r>
    </w:p>
    <w:p w:rsidR="00CC315F" w:rsidRPr="00F001B0" w:rsidRDefault="00CC315F" w:rsidP="00E44270">
      <w:pPr>
        <w:pStyle w:val="SingleTxtG"/>
        <w:tabs>
          <w:tab w:val="left" w:pos="3402"/>
        </w:tabs>
        <w:ind w:left="3402" w:hanging="2268"/>
        <w:jc w:val="left"/>
        <w:rPr>
          <w:lang w:val="fr-FR"/>
        </w:rPr>
      </w:pPr>
      <w:r w:rsidRPr="00F001B0">
        <w:rPr>
          <w:i/>
          <w:iCs/>
          <w:lang w:val="fr-FR"/>
        </w:rPr>
        <w:t>Document informel</w:t>
      </w:r>
      <w:r w:rsidR="002106BC">
        <w:rPr>
          <w:i/>
          <w:iCs/>
          <w:lang w:val="fr-FR"/>
        </w:rPr>
        <w:t> </w:t>
      </w:r>
      <w:r w:rsidR="002106BC">
        <w:rPr>
          <w:iCs/>
          <w:lang w:val="fr-FR"/>
        </w:rPr>
        <w:t>:</w:t>
      </w:r>
      <w:r w:rsidR="002643AB">
        <w:rPr>
          <w:lang w:val="fr-FR"/>
        </w:rPr>
        <w:tab/>
        <w:t>INF.</w:t>
      </w:r>
      <w:r w:rsidRPr="00F001B0">
        <w:rPr>
          <w:lang w:val="fr-FR"/>
        </w:rPr>
        <w:t xml:space="preserve">37 (Allemagne) </w:t>
      </w:r>
    </w:p>
    <w:p w:rsidR="00CC315F" w:rsidRPr="00F001B0" w:rsidRDefault="00CC315F" w:rsidP="00CC315F">
      <w:pPr>
        <w:pStyle w:val="SingleTxtG"/>
        <w:rPr>
          <w:lang w:val="fr-FR"/>
        </w:rPr>
      </w:pPr>
      <w:r w:rsidRPr="00F001B0">
        <w:rPr>
          <w:lang w:val="fr-FR"/>
        </w:rPr>
        <w:t>21.</w:t>
      </w:r>
      <w:r w:rsidRPr="00F001B0">
        <w:rPr>
          <w:lang w:val="fr-FR"/>
        </w:rPr>
        <w:tab/>
        <w:t>La Réunion commune a adopté la disposition transitoire proposée par l</w:t>
      </w:r>
      <w:r w:rsidR="008B6F84">
        <w:rPr>
          <w:lang w:val="fr-FR"/>
        </w:rPr>
        <w:t>’</w:t>
      </w:r>
      <w:r w:rsidRPr="00F001B0">
        <w:rPr>
          <w:lang w:val="fr-FR"/>
        </w:rPr>
        <w:t>Allemagne, qui autorise jusqu</w:t>
      </w:r>
      <w:r w:rsidR="008B6F84">
        <w:rPr>
          <w:lang w:val="fr-FR"/>
        </w:rPr>
        <w:t>’</w:t>
      </w:r>
      <w:r w:rsidRPr="00F001B0">
        <w:rPr>
          <w:lang w:val="fr-FR"/>
        </w:rPr>
        <w:t xml:space="preserve">au 31 décembre 2019 le transport de piles et batteries au lithium qui ne satisfont pas aux prescriptions du 2.2.9.1.7 g), pour </w:t>
      </w:r>
      <w:proofErr w:type="spellStart"/>
      <w:r w:rsidRPr="00F001B0">
        <w:rPr>
          <w:lang w:val="fr-FR"/>
        </w:rPr>
        <w:t>entrée</w:t>
      </w:r>
      <w:proofErr w:type="spellEnd"/>
      <w:r w:rsidRPr="00F001B0">
        <w:rPr>
          <w:lang w:val="fr-FR"/>
        </w:rPr>
        <w:t xml:space="preserve"> en vigueur le 1</w:t>
      </w:r>
      <w:r w:rsidRPr="00F001B0">
        <w:rPr>
          <w:vertAlign w:val="superscript"/>
          <w:lang w:val="fr-FR"/>
        </w:rPr>
        <w:t>er</w:t>
      </w:r>
      <w:r w:rsidR="00F7705A">
        <w:rPr>
          <w:lang w:val="fr-FR"/>
        </w:rPr>
        <w:t> janvier 2019 (voir annexe II).</w:t>
      </w:r>
    </w:p>
    <w:p w:rsidR="00CC315F" w:rsidRPr="00F001B0" w:rsidRDefault="00CC315F" w:rsidP="00CC315F">
      <w:pPr>
        <w:pStyle w:val="H23G"/>
        <w:keepNext w:val="0"/>
        <w:keepLines w:val="0"/>
        <w:rPr>
          <w:lang w:val="fr-FR"/>
        </w:rPr>
      </w:pPr>
      <w:r w:rsidRPr="00F001B0">
        <w:rPr>
          <w:lang w:val="fr-FR"/>
        </w:rPr>
        <w:tab/>
        <w:t>5.</w:t>
      </w:r>
      <w:r w:rsidRPr="00F001B0">
        <w:rPr>
          <w:lang w:val="fr-FR"/>
        </w:rPr>
        <w:tab/>
        <w:t>Spécification des prescriptions pour la protection des robinets au 4.1.6.8</w:t>
      </w:r>
    </w:p>
    <w:p w:rsidR="00CC315F" w:rsidRPr="00F001B0" w:rsidRDefault="00CC315F" w:rsidP="00E44270">
      <w:pPr>
        <w:pStyle w:val="SingleTxtG"/>
        <w:tabs>
          <w:tab w:val="left" w:pos="3402"/>
        </w:tabs>
        <w:ind w:left="3402" w:hanging="2268"/>
        <w:jc w:val="left"/>
        <w:rPr>
          <w:lang w:val="fr-FR"/>
        </w:rPr>
      </w:pPr>
      <w:r w:rsidRPr="00F001B0">
        <w:rPr>
          <w:i/>
          <w:iCs/>
          <w:lang w:val="fr-FR"/>
        </w:rPr>
        <w:t>Document</w:t>
      </w:r>
      <w:r w:rsidR="002106BC">
        <w:rPr>
          <w:i/>
          <w:iCs/>
          <w:lang w:val="fr-FR"/>
        </w:rPr>
        <w:t> </w:t>
      </w:r>
      <w:r w:rsidR="002106BC">
        <w:rPr>
          <w:iCs/>
          <w:lang w:val="fr-FR"/>
        </w:rPr>
        <w:t>:</w:t>
      </w:r>
      <w:r w:rsidRPr="00F001B0">
        <w:rPr>
          <w:lang w:val="fr-FR"/>
        </w:rPr>
        <w:tab/>
        <w:t>ECE/TRAN</w:t>
      </w:r>
      <w:r w:rsidR="002106BC">
        <w:rPr>
          <w:lang w:val="fr-FR"/>
        </w:rPr>
        <w:t>S/WP.15/AC.1/2018/2 (Allemagne)</w:t>
      </w:r>
    </w:p>
    <w:p w:rsidR="00CC315F" w:rsidRPr="00F001B0" w:rsidRDefault="00CC315F" w:rsidP="00E44270">
      <w:pPr>
        <w:pStyle w:val="SingleTxtG"/>
        <w:tabs>
          <w:tab w:val="left" w:pos="3402"/>
        </w:tabs>
        <w:ind w:left="3402" w:hanging="2268"/>
        <w:jc w:val="left"/>
        <w:rPr>
          <w:lang w:val="fr-FR"/>
        </w:rPr>
      </w:pPr>
      <w:r w:rsidRPr="00F001B0">
        <w:rPr>
          <w:i/>
          <w:iCs/>
          <w:lang w:val="fr-FR"/>
        </w:rPr>
        <w:t>Document informel</w:t>
      </w:r>
      <w:r w:rsidR="002106BC">
        <w:rPr>
          <w:i/>
          <w:iCs/>
          <w:lang w:val="fr-FR"/>
        </w:rPr>
        <w:t> </w:t>
      </w:r>
      <w:r w:rsidRPr="002106BC">
        <w:rPr>
          <w:iCs/>
          <w:lang w:val="fr-FR"/>
        </w:rPr>
        <w:t>:</w:t>
      </w:r>
      <w:r w:rsidRPr="00F001B0">
        <w:rPr>
          <w:lang w:val="fr-FR"/>
        </w:rPr>
        <w:tab/>
        <w:t>INF.44 (EIGA)</w:t>
      </w:r>
    </w:p>
    <w:p w:rsidR="00CC315F" w:rsidRPr="00F001B0" w:rsidRDefault="00CC315F" w:rsidP="00CC315F">
      <w:pPr>
        <w:pStyle w:val="SingleTxtG"/>
        <w:rPr>
          <w:lang w:val="fr-FR"/>
        </w:rPr>
      </w:pPr>
      <w:r w:rsidRPr="00F001B0">
        <w:rPr>
          <w:lang w:val="fr-FR"/>
        </w:rPr>
        <w:t>22.</w:t>
      </w:r>
      <w:r w:rsidRPr="00F001B0">
        <w:rPr>
          <w:lang w:val="fr-FR"/>
        </w:rPr>
        <w:tab/>
        <w:t>La Réunion commune a adopté la proposition d</w:t>
      </w:r>
      <w:r w:rsidR="008B6F84">
        <w:rPr>
          <w:lang w:val="fr-FR"/>
        </w:rPr>
        <w:t>’</w:t>
      </w:r>
      <w:r w:rsidRPr="00F001B0">
        <w:rPr>
          <w:lang w:val="fr-FR"/>
        </w:rPr>
        <w:t xml:space="preserve">amendement au 4.1.6.8 figurant dans le document informel INF.44 pour </w:t>
      </w:r>
      <w:proofErr w:type="spellStart"/>
      <w:r w:rsidRPr="00F001B0">
        <w:rPr>
          <w:lang w:val="fr-FR"/>
        </w:rPr>
        <w:t>entrée</w:t>
      </w:r>
      <w:proofErr w:type="spellEnd"/>
      <w:r w:rsidRPr="00F001B0">
        <w:rPr>
          <w:lang w:val="fr-FR"/>
        </w:rPr>
        <w:t xml:space="preserve"> en vigueur le 1</w:t>
      </w:r>
      <w:r w:rsidRPr="00F001B0">
        <w:rPr>
          <w:vertAlign w:val="superscript"/>
          <w:lang w:val="fr-FR"/>
        </w:rPr>
        <w:t>er</w:t>
      </w:r>
      <w:r w:rsidRPr="00F001B0">
        <w:rPr>
          <w:lang w:val="fr-FR"/>
        </w:rPr>
        <w:t> janvier 2019 (voir annexe II).</w:t>
      </w:r>
    </w:p>
    <w:p w:rsidR="00CC315F" w:rsidRPr="00F001B0" w:rsidRDefault="00CC315F" w:rsidP="00CC315F">
      <w:pPr>
        <w:pStyle w:val="H1G"/>
        <w:keepNext w:val="0"/>
        <w:keepLines w:val="0"/>
        <w:rPr>
          <w:lang w:val="fr-FR"/>
        </w:rPr>
      </w:pPr>
      <w:r w:rsidRPr="00F001B0">
        <w:rPr>
          <w:lang w:val="fr-FR"/>
        </w:rPr>
        <w:tab/>
        <w:t>B.</w:t>
      </w:r>
      <w:r w:rsidRPr="00F001B0">
        <w:rPr>
          <w:lang w:val="fr-FR"/>
        </w:rPr>
        <w:tab/>
        <w:t>Nouvelles propositions</w:t>
      </w:r>
    </w:p>
    <w:p w:rsidR="00CC315F" w:rsidRPr="00F001B0" w:rsidRDefault="00CC315F" w:rsidP="00CC315F">
      <w:pPr>
        <w:pStyle w:val="H23G"/>
        <w:keepNext w:val="0"/>
        <w:keepLines w:val="0"/>
        <w:rPr>
          <w:lang w:val="fr-FR"/>
        </w:rPr>
      </w:pPr>
      <w:r w:rsidRPr="00F001B0">
        <w:rPr>
          <w:lang w:val="fr-FR"/>
        </w:rPr>
        <w:tab/>
        <w:t>1.</w:t>
      </w:r>
      <w:r w:rsidRPr="00F001B0">
        <w:rPr>
          <w:lang w:val="fr-FR"/>
        </w:rPr>
        <w:tab/>
        <w:t>Formation en ligne de recyclage des conducteurs de véhicules transportant des marchandises dangereuses</w:t>
      </w:r>
    </w:p>
    <w:p w:rsidR="00CC315F" w:rsidRPr="00F001B0" w:rsidRDefault="00CC315F" w:rsidP="00E44270">
      <w:pPr>
        <w:pStyle w:val="SingleTxtG"/>
        <w:tabs>
          <w:tab w:val="left" w:pos="3402"/>
        </w:tabs>
        <w:ind w:left="3402" w:hanging="2268"/>
        <w:jc w:val="left"/>
        <w:rPr>
          <w:lang w:val="fr-FR"/>
        </w:rPr>
      </w:pPr>
      <w:r w:rsidRPr="00F001B0">
        <w:rPr>
          <w:i/>
          <w:iCs/>
          <w:lang w:val="fr-FR"/>
        </w:rPr>
        <w:t>Document</w:t>
      </w:r>
      <w:r w:rsidR="002106BC">
        <w:rPr>
          <w:i/>
          <w:iCs/>
          <w:lang w:val="fr-FR"/>
        </w:rPr>
        <w:t> </w:t>
      </w:r>
      <w:r w:rsidR="002106BC">
        <w:rPr>
          <w:iCs/>
          <w:lang w:val="fr-FR"/>
        </w:rPr>
        <w:t>:</w:t>
      </w:r>
      <w:r w:rsidRPr="00F001B0">
        <w:rPr>
          <w:lang w:val="fr-FR"/>
        </w:rPr>
        <w:tab/>
        <w:t>ECE</w:t>
      </w:r>
      <w:r w:rsidR="002106BC">
        <w:rPr>
          <w:lang w:val="fr-FR"/>
        </w:rPr>
        <w:t>/TRANS/WP.15/AC.1/2018/10 (IRU)</w:t>
      </w:r>
    </w:p>
    <w:p w:rsidR="00CC315F" w:rsidRPr="00F001B0" w:rsidRDefault="00CC315F" w:rsidP="00CC315F">
      <w:pPr>
        <w:pStyle w:val="SingleTxtG"/>
        <w:rPr>
          <w:lang w:val="fr-FR"/>
        </w:rPr>
      </w:pPr>
      <w:r w:rsidRPr="00F001B0">
        <w:rPr>
          <w:lang w:val="fr-FR"/>
        </w:rPr>
        <w:t>23.</w:t>
      </w:r>
      <w:r w:rsidRPr="00F001B0">
        <w:rPr>
          <w:lang w:val="fr-FR"/>
        </w:rPr>
        <w:tab/>
        <w:t>Les avis étaient partagés sur la proposition d</w:t>
      </w:r>
      <w:r w:rsidR="008B6F84">
        <w:rPr>
          <w:lang w:val="fr-FR"/>
        </w:rPr>
        <w:t>’</w:t>
      </w:r>
      <w:r w:rsidRPr="00F001B0">
        <w:rPr>
          <w:lang w:val="fr-FR"/>
        </w:rPr>
        <w:t>ajouter des dispositions autorisant le recours à l</w:t>
      </w:r>
      <w:r w:rsidR="008B6F84">
        <w:rPr>
          <w:lang w:val="fr-FR"/>
        </w:rPr>
        <w:t>’</w:t>
      </w:r>
      <w:r w:rsidRPr="00F001B0">
        <w:rPr>
          <w:lang w:val="fr-FR"/>
        </w:rPr>
        <w:t>apprentissage en ligne pour les formations de recyclage. Certaines délégations ont estimé que cela n</w:t>
      </w:r>
      <w:r w:rsidR="008B6F84">
        <w:rPr>
          <w:lang w:val="fr-FR"/>
        </w:rPr>
        <w:t>’</w:t>
      </w:r>
      <w:r w:rsidRPr="00F001B0">
        <w:rPr>
          <w:lang w:val="fr-FR"/>
        </w:rPr>
        <w:t>était pas nécessaire car la question pouvait être traitée au niveau national par les autorités compétentes. D</w:t>
      </w:r>
      <w:r w:rsidR="008B6F84">
        <w:rPr>
          <w:lang w:val="fr-FR"/>
        </w:rPr>
        <w:t>’</w:t>
      </w:r>
      <w:r w:rsidRPr="00F001B0">
        <w:rPr>
          <w:lang w:val="fr-FR"/>
        </w:rPr>
        <w:t>autres, au contraire, ont fait valoir que si la formation en ligne était autorisée, les conditions minimales requises pour garantir le même niveau d</w:t>
      </w:r>
      <w:r w:rsidR="008B6F84">
        <w:rPr>
          <w:lang w:val="fr-FR"/>
        </w:rPr>
        <w:t>’</w:t>
      </w:r>
      <w:r w:rsidRPr="00F001B0">
        <w:rPr>
          <w:lang w:val="fr-FR"/>
        </w:rPr>
        <w:t>exigence et de qualité dans tous les pays devraient être fixées dans l</w:t>
      </w:r>
      <w:r w:rsidR="008B6F84">
        <w:rPr>
          <w:lang w:val="fr-FR"/>
        </w:rPr>
        <w:t>’</w:t>
      </w:r>
      <w:r w:rsidRPr="00F001B0">
        <w:rPr>
          <w:lang w:val="fr-FR"/>
        </w:rPr>
        <w:t>ADR et l</w:t>
      </w:r>
      <w:r w:rsidR="008B6F84">
        <w:rPr>
          <w:lang w:val="fr-FR"/>
        </w:rPr>
        <w:t>’</w:t>
      </w:r>
      <w:r w:rsidRPr="00F001B0">
        <w:rPr>
          <w:lang w:val="fr-FR"/>
        </w:rPr>
        <w:t>ADN, étant donné que les certificats de formation seraient mutuellement reconnus par les Parties contractantes. Il a été rappelé que la question avait déjà été soulevée à la 103</w:t>
      </w:r>
      <w:r w:rsidRPr="00F001B0">
        <w:rPr>
          <w:vertAlign w:val="superscript"/>
          <w:lang w:val="fr-FR"/>
        </w:rPr>
        <w:t>e</w:t>
      </w:r>
      <w:r w:rsidRPr="00F001B0">
        <w:rPr>
          <w:lang w:val="fr-FR"/>
        </w:rPr>
        <w:t> session du Groupe de travail des transports de marchandises dangereuses et qu</w:t>
      </w:r>
      <w:r w:rsidR="008B6F84">
        <w:rPr>
          <w:lang w:val="fr-FR"/>
        </w:rPr>
        <w:t>’</w:t>
      </w:r>
      <w:r w:rsidRPr="00F001B0">
        <w:rPr>
          <w:lang w:val="fr-FR"/>
        </w:rPr>
        <w:t>elle était également liée à la formation des experts prévue au chapitre 8.2 de l</w:t>
      </w:r>
      <w:r w:rsidR="008B6F84">
        <w:rPr>
          <w:lang w:val="fr-FR"/>
        </w:rPr>
        <w:t>’</w:t>
      </w:r>
      <w:r w:rsidRPr="00F001B0">
        <w:rPr>
          <w:lang w:val="fr-FR"/>
        </w:rPr>
        <w:t>ADN.</w:t>
      </w:r>
    </w:p>
    <w:p w:rsidR="00CC315F" w:rsidRPr="00F001B0" w:rsidRDefault="00CC315F" w:rsidP="00CC315F">
      <w:pPr>
        <w:pStyle w:val="SingleTxtG"/>
        <w:rPr>
          <w:lang w:val="fr-FR"/>
        </w:rPr>
      </w:pPr>
      <w:r w:rsidRPr="00F001B0">
        <w:rPr>
          <w:lang w:val="fr-FR"/>
        </w:rPr>
        <w:t>24.</w:t>
      </w:r>
      <w:r w:rsidRPr="00F001B0">
        <w:rPr>
          <w:lang w:val="fr-FR"/>
        </w:rPr>
        <w:tab/>
        <w:t>À l</w:t>
      </w:r>
      <w:r w:rsidR="008B6F84">
        <w:rPr>
          <w:lang w:val="fr-FR"/>
        </w:rPr>
        <w:t>’</w:t>
      </w:r>
      <w:r w:rsidRPr="00F001B0">
        <w:rPr>
          <w:lang w:val="fr-FR"/>
        </w:rPr>
        <w:t>issue du débat, la Réunion commune n</w:t>
      </w:r>
      <w:r w:rsidR="008B6F84">
        <w:rPr>
          <w:lang w:val="fr-FR"/>
        </w:rPr>
        <w:t>’</w:t>
      </w:r>
      <w:r w:rsidRPr="00F001B0">
        <w:rPr>
          <w:lang w:val="fr-FR"/>
        </w:rPr>
        <w:t>a pu parvenir à un accord sur la proposition telle qu</w:t>
      </w:r>
      <w:r w:rsidR="008B6F84">
        <w:rPr>
          <w:lang w:val="fr-FR"/>
        </w:rPr>
        <w:t>’</w:t>
      </w:r>
      <w:r w:rsidRPr="00F001B0">
        <w:rPr>
          <w:lang w:val="fr-FR"/>
        </w:rPr>
        <w:t>actuellement énoncée dans le document ECE/TRANS/WP.15/</w:t>
      </w:r>
      <w:r w:rsidR="00E44270">
        <w:rPr>
          <w:lang w:val="fr-FR"/>
        </w:rPr>
        <w:br/>
      </w:r>
      <w:r w:rsidRPr="00F001B0">
        <w:rPr>
          <w:lang w:val="fr-FR"/>
        </w:rPr>
        <w:t>AC.1/2018/10.</w:t>
      </w:r>
    </w:p>
    <w:p w:rsidR="00CC315F" w:rsidRPr="00F001B0" w:rsidRDefault="00CC315F" w:rsidP="00CC315F">
      <w:pPr>
        <w:pStyle w:val="SingleTxtG"/>
        <w:rPr>
          <w:lang w:val="fr-FR"/>
        </w:rPr>
      </w:pPr>
      <w:r w:rsidRPr="00F001B0">
        <w:rPr>
          <w:lang w:val="fr-FR"/>
        </w:rPr>
        <w:t>25.</w:t>
      </w:r>
      <w:r w:rsidRPr="00F001B0">
        <w:rPr>
          <w:lang w:val="fr-FR"/>
        </w:rPr>
        <w:tab/>
        <w:t>Le représentant de l</w:t>
      </w:r>
      <w:r w:rsidR="008B6F84">
        <w:rPr>
          <w:lang w:val="fr-FR"/>
        </w:rPr>
        <w:t>’</w:t>
      </w:r>
      <w:r w:rsidRPr="00F001B0">
        <w:rPr>
          <w:lang w:val="fr-FR"/>
        </w:rPr>
        <w:t>IRU a été invité à travailler avec les délégations intéressées pendant la période intersessions, afin d</w:t>
      </w:r>
      <w:r w:rsidR="008B6F84">
        <w:rPr>
          <w:lang w:val="fr-FR"/>
        </w:rPr>
        <w:t>’</w:t>
      </w:r>
      <w:r w:rsidRPr="00F001B0">
        <w:rPr>
          <w:lang w:val="fr-FR"/>
        </w:rPr>
        <w:t>affiner la proposition en tenant compte des commentaires formulés. En particulier, il a été invité, lorsqu</w:t>
      </w:r>
      <w:r w:rsidR="008B6F84">
        <w:rPr>
          <w:lang w:val="fr-FR"/>
        </w:rPr>
        <w:t>’</w:t>
      </w:r>
      <w:r w:rsidRPr="00F001B0">
        <w:rPr>
          <w:lang w:val="fr-FR"/>
        </w:rPr>
        <w:t>il rédigerait la proposition de texte réglementaire, à traiter les aspects suivants :</w:t>
      </w:r>
    </w:p>
    <w:p w:rsidR="00CC315F" w:rsidRPr="00F001B0" w:rsidRDefault="00CC315F" w:rsidP="00CC315F">
      <w:pPr>
        <w:pStyle w:val="SingleTxtG"/>
        <w:ind w:firstLine="709"/>
        <w:rPr>
          <w:lang w:val="fr-FR"/>
        </w:rPr>
      </w:pPr>
      <w:r w:rsidRPr="00F001B0">
        <w:rPr>
          <w:lang w:val="fr-FR"/>
        </w:rPr>
        <w:t>a)</w:t>
      </w:r>
      <w:r w:rsidRPr="00F001B0">
        <w:rPr>
          <w:lang w:val="fr-FR"/>
        </w:rPr>
        <w:tab/>
        <w:t>Préciser si l</w:t>
      </w:r>
      <w:r w:rsidR="008B6F84">
        <w:rPr>
          <w:lang w:val="fr-FR"/>
        </w:rPr>
        <w:t>’</w:t>
      </w:r>
      <w:r w:rsidRPr="00F001B0">
        <w:rPr>
          <w:lang w:val="fr-FR"/>
        </w:rPr>
        <w:t>apprentissage en ligne correspondait à une « formation à distance » ou à un « apprentissage assisté par ordinateur » ;</w:t>
      </w:r>
    </w:p>
    <w:p w:rsidR="00CC315F" w:rsidRPr="00F001B0" w:rsidRDefault="00CC315F" w:rsidP="00CC315F">
      <w:pPr>
        <w:pStyle w:val="SingleTxtG"/>
        <w:ind w:firstLine="709"/>
        <w:rPr>
          <w:lang w:val="fr-FR"/>
        </w:rPr>
      </w:pPr>
      <w:r w:rsidRPr="00F001B0">
        <w:rPr>
          <w:lang w:val="fr-FR"/>
        </w:rPr>
        <w:t>b)</w:t>
      </w:r>
      <w:r w:rsidRPr="00F001B0">
        <w:rPr>
          <w:lang w:val="fr-FR"/>
        </w:rPr>
        <w:tab/>
        <w:t>Indiquer clairement si la proposition de méthode d</w:t>
      </w:r>
      <w:r w:rsidR="008B6F84">
        <w:rPr>
          <w:lang w:val="fr-FR"/>
        </w:rPr>
        <w:t>’</w:t>
      </w:r>
      <w:r w:rsidRPr="00F001B0">
        <w:rPr>
          <w:lang w:val="fr-FR"/>
        </w:rPr>
        <w:t>apprentissage en ligne servirait pour la partie théorique du cours uniquement, pour l</w:t>
      </w:r>
      <w:r w:rsidR="008B6F84">
        <w:rPr>
          <w:lang w:val="fr-FR"/>
        </w:rPr>
        <w:t>’</w:t>
      </w:r>
      <w:r w:rsidRPr="00F001B0">
        <w:rPr>
          <w:lang w:val="fr-FR"/>
        </w:rPr>
        <w:t>examen ou pour les deux ;</w:t>
      </w:r>
    </w:p>
    <w:p w:rsidR="00CC315F" w:rsidRPr="00F001B0" w:rsidRDefault="00CC315F" w:rsidP="00CC315F">
      <w:pPr>
        <w:pStyle w:val="SingleTxtG"/>
        <w:ind w:firstLine="709"/>
        <w:rPr>
          <w:lang w:val="fr-FR"/>
        </w:rPr>
      </w:pPr>
      <w:r w:rsidRPr="00F001B0">
        <w:rPr>
          <w:lang w:val="fr-FR"/>
        </w:rPr>
        <w:t>c)</w:t>
      </w:r>
      <w:r w:rsidRPr="00F001B0">
        <w:rPr>
          <w:lang w:val="fr-FR"/>
        </w:rPr>
        <w:tab/>
        <w:t>Expliquer les mesures à prendre pour vérifier le degré d</w:t>
      </w:r>
      <w:r w:rsidR="008B6F84">
        <w:rPr>
          <w:lang w:val="fr-FR"/>
        </w:rPr>
        <w:t>’</w:t>
      </w:r>
      <w:r w:rsidRPr="00F001B0">
        <w:rPr>
          <w:lang w:val="fr-FR"/>
        </w:rPr>
        <w:t>assiduité des participants et l</w:t>
      </w:r>
      <w:r w:rsidR="008B6F84">
        <w:rPr>
          <w:lang w:val="fr-FR"/>
        </w:rPr>
        <w:t>’</w:t>
      </w:r>
      <w:r w:rsidRPr="00F001B0">
        <w:rPr>
          <w:lang w:val="fr-FR"/>
        </w:rPr>
        <w:t>identité des personnes suivant le cours ou passant l</w:t>
      </w:r>
      <w:r w:rsidR="008B6F84">
        <w:rPr>
          <w:lang w:val="fr-FR"/>
        </w:rPr>
        <w:t>’</w:t>
      </w:r>
      <w:r w:rsidRPr="00F001B0">
        <w:rPr>
          <w:lang w:val="fr-FR"/>
        </w:rPr>
        <w:t>examen (pour éviter que la formation soit suivie par une personne autre que celle inscrite) ;</w:t>
      </w:r>
    </w:p>
    <w:p w:rsidR="00CC315F" w:rsidRPr="00F001B0" w:rsidRDefault="00CC315F" w:rsidP="00CC315F">
      <w:pPr>
        <w:pStyle w:val="SingleTxtG"/>
        <w:ind w:firstLine="709"/>
        <w:rPr>
          <w:lang w:val="fr-FR"/>
        </w:rPr>
      </w:pPr>
      <w:r w:rsidRPr="00F001B0">
        <w:rPr>
          <w:lang w:val="fr-FR"/>
        </w:rPr>
        <w:t>d)</w:t>
      </w:r>
      <w:r w:rsidRPr="00F001B0">
        <w:rPr>
          <w:lang w:val="fr-FR"/>
        </w:rPr>
        <w:tab/>
        <w:t>Donner des détails sur la manière dont les formations devraient être organisées pour garantir le même niveau d</w:t>
      </w:r>
      <w:r w:rsidR="008B6F84">
        <w:rPr>
          <w:lang w:val="fr-FR"/>
        </w:rPr>
        <w:t>’</w:t>
      </w:r>
      <w:r w:rsidRPr="00F001B0">
        <w:rPr>
          <w:lang w:val="fr-FR"/>
        </w:rPr>
        <w:t>exigence et de qualité dans tous les pays ;</w:t>
      </w:r>
    </w:p>
    <w:p w:rsidR="00CC315F" w:rsidRPr="00F001B0" w:rsidRDefault="00CC315F" w:rsidP="00CC315F">
      <w:pPr>
        <w:pStyle w:val="SingleTxtG"/>
        <w:ind w:firstLine="709"/>
        <w:rPr>
          <w:lang w:val="fr-FR"/>
        </w:rPr>
      </w:pPr>
      <w:r w:rsidRPr="00F001B0">
        <w:rPr>
          <w:lang w:val="fr-FR"/>
        </w:rPr>
        <w:t>e)</w:t>
      </w:r>
      <w:r w:rsidRPr="00F001B0">
        <w:rPr>
          <w:lang w:val="fr-FR"/>
        </w:rPr>
        <w:tab/>
        <w:t>Étudier les enseignements tirés de l</w:t>
      </w:r>
      <w:r w:rsidR="008B6F84">
        <w:rPr>
          <w:lang w:val="fr-FR"/>
        </w:rPr>
        <w:t>’</w:t>
      </w:r>
      <w:r w:rsidRPr="00F001B0">
        <w:rPr>
          <w:lang w:val="fr-FR"/>
        </w:rPr>
        <w:t>expérience dans les pays où l</w:t>
      </w:r>
      <w:r w:rsidR="008B6F84">
        <w:rPr>
          <w:lang w:val="fr-FR"/>
        </w:rPr>
        <w:t>’</w:t>
      </w:r>
      <w:r w:rsidRPr="00F001B0">
        <w:rPr>
          <w:lang w:val="fr-FR"/>
        </w:rPr>
        <w:t>apprentissage en ligne avait été expérimenté (par exemple, l</w:t>
      </w:r>
      <w:r w:rsidR="008B6F84">
        <w:rPr>
          <w:lang w:val="fr-FR"/>
        </w:rPr>
        <w:t>’</w:t>
      </w:r>
      <w:r w:rsidRPr="00F001B0">
        <w:rPr>
          <w:lang w:val="fr-FR"/>
        </w:rPr>
        <w:t>Autriche, la Fédération de Russie et les Pays-Bas).</w:t>
      </w:r>
    </w:p>
    <w:p w:rsidR="00CC315F" w:rsidRPr="00F001B0" w:rsidRDefault="00CC315F" w:rsidP="00CC315F">
      <w:pPr>
        <w:pStyle w:val="SingleTxtG"/>
        <w:rPr>
          <w:lang w:val="fr-FR"/>
        </w:rPr>
      </w:pPr>
      <w:r w:rsidRPr="00F001B0">
        <w:rPr>
          <w:lang w:val="fr-FR"/>
        </w:rPr>
        <w:t>26.</w:t>
      </w:r>
      <w:r w:rsidRPr="00F001B0">
        <w:rPr>
          <w:lang w:val="fr-FR"/>
        </w:rPr>
        <w:tab/>
        <w:t>Le représentant de l</w:t>
      </w:r>
      <w:r w:rsidR="008B6F84">
        <w:rPr>
          <w:lang w:val="fr-FR"/>
        </w:rPr>
        <w:t>’</w:t>
      </w:r>
      <w:r w:rsidRPr="00F001B0">
        <w:rPr>
          <w:lang w:val="fr-FR"/>
        </w:rPr>
        <w:t>IRU a dit qu</w:t>
      </w:r>
      <w:r w:rsidR="008B6F84">
        <w:rPr>
          <w:lang w:val="fr-FR"/>
        </w:rPr>
        <w:t>’</w:t>
      </w:r>
      <w:r w:rsidRPr="00F001B0">
        <w:rPr>
          <w:lang w:val="fr-FR"/>
        </w:rPr>
        <w:t>il présenterait ultérieurement une proposition révisée et un exposé illustrant la manière de répondre à certaines des préoccupations exprimées par plusieurs délégations.</w:t>
      </w:r>
    </w:p>
    <w:p w:rsidR="00CC315F" w:rsidRPr="00F001B0" w:rsidRDefault="00CC315F" w:rsidP="00CC315F">
      <w:pPr>
        <w:pStyle w:val="H23G"/>
        <w:keepNext w:val="0"/>
        <w:keepLines w:val="0"/>
        <w:rPr>
          <w:lang w:val="fr-FR"/>
        </w:rPr>
      </w:pPr>
      <w:r w:rsidRPr="00F001B0">
        <w:rPr>
          <w:lang w:val="fr-FR"/>
        </w:rPr>
        <w:tab/>
        <w:t>2.</w:t>
      </w:r>
      <w:r w:rsidRPr="00F001B0">
        <w:rPr>
          <w:lang w:val="fr-FR"/>
        </w:rPr>
        <w:tab/>
        <w:t>Marquage des wagons et conteneurs chargés avec des quantités limitées</w:t>
      </w:r>
    </w:p>
    <w:p w:rsidR="00CC315F" w:rsidRPr="00F001B0" w:rsidRDefault="00CC315F" w:rsidP="008D1FAA">
      <w:pPr>
        <w:pStyle w:val="SingleTxtG"/>
        <w:keepNext/>
        <w:keepLines/>
        <w:tabs>
          <w:tab w:val="left" w:pos="3402"/>
        </w:tabs>
        <w:ind w:left="3402" w:hanging="2268"/>
        <w:jc w:val="left"/>
        <w:rPr>
          <w:lang w:val="fr-FR"/>
        </w:rPr>
      </w:pPr>
      <w:r w:rsidRPr="00F001B0">
        <w:rPr>
          <w:i/>
          <w:iCs/>
          <w:lang w:val="fr-FR"/>
        </w:rPr>
        <w:t>Document</w:t>
      </w:r>
      <w:r w:rsidR="002106BC">
        <w:rPr>
          <w:i/>
          <w:iCs/>
          <w:lang w:val="fr-FR"/>
        </w:rPr>
        <w:t> </w:t>
      </w:r>
      <w:r w:rsidR="002106BC">
        <w:rPr>
          <w:iCs/>
          <w:lang w:val="fr-FR"/>
        </w:rPr>
        <w:t>:</w:t>
      </w:r>
      <w:r w:rsidRPr="00F001B0">
        <w:rPr>
          <w:lang w:val="fr-FR"/>
        </w:rPr>
        <w:tab/>
        <w:t xml:space="preserve">ECE/TRANS/WP.15/AC.1/2018/14 (Suède) </w:t>
      </w:r>
    </w:p>
    <w:p w:rsidR="00CC315F" w:rsidRPr="00F001B0" w:rsidRDefault="00CC315F" w:rsidP="008D1FAA">
      <w:pPr>
        <w:pStyle w:val="SingleTxtG"/>
        <w:keepNext/>
        <w:keepLines/>
        <w:tabs>
          <w:tab w:val="left" w:pos="3402"/>
        </w:tabs>
        <w:ind w:left="3402" w:hanging="2268"/>
        <w:jc w:val="left"/>
        <w:rPr>
          <w:lang w:val="fr-FR"/>
        </w:rPr>
      </w:pPr>
      <w:r w:rsidRPr="00F001B0">
        <w:rPr>
          <w:i/>
          <w:iCs/>
          <w:lang w:val="fr-FR"/>
        </w:rPr>
        <w:t>Document informel</w:t>
      </w:r>
      <w:r w:rsidR="002106BC">
        <w:rPr>
          <w:i/>
          <w:iCs/>
          <w:lang w:val="fr-FR"/>
        </w:rPr>
        <w:t> </w:t>
      </w:r>
      <w:r w:rsidR="002106BC">
        <w:rPr>
          <w:iCs/>
          <w:lang w:val="fr-FR"/>
        </w:rPr>
        <w:t>:</w:t>
      </w:r>
      <w:r w:rsidRPr="00F001B0">
        <w:rPr>
          <w:lang w:val="fr-FR"/>
        </w:rPr>
        <w:t xml:space="preserve"> </w:t>
      </w:r>
      <w:r w:rsidRPr="00F001B0">
        <w:rPr>
          <w:lang w:val="fr-FR"/>
        </w:rPr>
        <w:tab/>
        <w:t>INF.7 (Suède)</w:t>
      </w:r>
    </w:p>
    <w:p w:rsidR="00CC315F" w:rsidRPr="00F001B0" w:rsidRDefault="00CC315F" w:rsidP="00CC315F">
      <w:pPr>
        <w:pStyle w:val="SingleTxtG"/>
        <w:tabs>
          <w:tab w:val="left" w:pos="1701"/>
          <w:tab w:val="left" w:pos="3402"/>
        </w:tabs>
        <w:rPr>
          <w:lang w:val="fr-FR"/>
        </w:rPr>
      </w:pPr>
      <w:r w:rsidRPr="00F001B0">
        <w:rPr>
          <w:lang w:val="fr-FR"/>
        </w:rPr>
        <w:t>27.</w:t>
      </w:r>
      <w:r w:rsidRPr="00F001B0">
        <w:rPr>
          <w:lang w:val="fr-FR"/>
        </w:rPr>
        <w:tab/>
        <w:t>La Réunion commune n</w:t>
      </w:r>
      <w:r w:rsidR="008B6F84">
        <w:rPr>
          <w:lang w:val="fr-FR"/>
        </w:rPr>
        <w:t>’</w:t>
      </w:r>
      <w:r w:rsidRPr="00F001B0">
        <w:rPr>
          <w:lang w:val="fr-FR"/>
        </w:rPr>
        <w:t>a pas accepté la proposition visant à exiger l</w:t>
      </w:r>
      <w:r w:rsidR="008B6F84">
        <w:rPr>
          <w:lang w:val="fr-FR"/>
        </w:rPr>
        <w:t>’</w:t>
      </w:r>
      <w:r w:rsidRPr="00F001B0">
        <w:rPr>
          <w:lang w:val="fr-FR"/>
        </w:rPr>
        <w:t>apposition de la marque LQ (quantité limitée) sur les wagons et les conteneurs transportant plus de 8 tonnes de marchandises dangereuses en quantités limitées en même temps que d</w:t>
      </w:r>
      <w:r w:rsidR="008B6F84">
        <w:rPr>
          <w:lang w:val="fr-FR"/>
        </w:rPr>
        <w:t>’</w:t>
      </w:r>
      <w:r w:rsidRPr="00F001B0">
        <w:rPr>
          <w:lang w:val="fr-FR"/>
        </w:rPr>
        <w:t>autres marchandises dangereuses soumis</w:t>
      </w:r>
      <w:r w:rsidR="002106BC">
        <w:rPr>
          <w:lang w:val="fr-FR"/>
        </w:rPr>
        <w:t>es à l</w:t>
      </w:r>
      <w:r w:rsidR="008B6F84">
        <w:rPr>
          <w:lang w:val="fr-FR"/>
        </w:rPr>
        <w:t>’</w:t>
      </w:r>
      <w:r w:rsidR="002106BC">
        <w:rPr>
          <w:lang w:val="fr-FR"/>
        </w:rPr>
        <w:t>ensemble des règlements.</w:t>
      </w:r>
    </w:p>
    <w:p w:rsidR="00CC315F" w:rsidRPr="00F001B0" w:rsidRDefault="00CC315F" w:rsidP="00CC315F">
      <w:pPr>
        <w:pStyle w:val="SingleTxtG"/>
        <w:tabs>
          <w:tab w:val="left" w:pos="1701"/>
          <w:tab w:val="left" w:pos="3402"/>
        </w:tabs>
        <w:rPr>
          <w:lang w:val="fr-FR"/>
        </w:rPr>
      </w:pPr>
      <w:r w:rsidRPr="00F001B0">
        <w:rPr>
          <w:lang w:val="fr-FR"/>
        </w:rPr>
        <w:t>28.</w:t>
      </w:r>
      <w:r w:rsidRPr="00F001B0">
        <w:rPr>
          <w:lang w:val="fr-FR"/>
        </w:rPr>
        <w:tab/>
        <w:t>La plupart des délégations qui ont pris la parole ont souligné que les marchandises dangereuses dont le transport en quantités limitées était autorisé présentaient un risque faible pendant le transport. Le fait d</w:t>
      </w:r>
      <w:r w:rsidR="008B6F84">
        <w:rPr>
          <w:lang w:val="fr-FR"/>
        </w:rPr>
        <w:t>’</w:t>
      </w:r>
      <w:r w:rsidRPr="00F001B0">
        <w:rPr>
          <w:lang w:val="fr-FR"/>
        </w:rPr>
        <w:t>apposer la marque LQ n</w:t>
      </w:r>
      <w:r w:rsidR="008B6F84">
        <w:rPr>
          <w:lang w:val="fr-FR"/>
        </w:rPr>
        <w:t>’</w:t>
      </w:r>
      <w:r w:rsidRPr="00F001B0">
        <w:rPr>
          <w:lang w:val="fr-FR"/>
        </w:rPr>
        <w:t>améliorerait pas la sécurité puisque cette marque ne donnait aucune indication quant à la nature des risques liés aux marchandises transportées. D</w:t>
      </w:r>
      <w:r w:rsidR="008B6F84">
        <w:rPr>
          <w:lang w:val="fr-FR"/>
        </w:rPr>
        <w:t>’</w:t>
      </w:r>
      <w:r w:rsidRPr="00F001B0">
        <w:rPr>
          <w:lang w:val="fr-FR"/>
        </w:rPr>
        <w:t>autres délégations ont fait observer que le même argument pourrait être invoqué pour contester l</w:t>
      </w:r>
      <w:r w:rsidR="008B6F84">
        <w:rPr>
          <w:lang w:val="fr-FR"/>
        </w:rPr>
        <w:t>’</w:t>
      </w:r>
      <w:r w:rsidRPr="00F001B0">
        <w:rPr>
          <w:lang w:val="fr-FR"/>
        </w:rPr>
        <w:t>utilité du « panneau orange ». Il a toutefois été noté que lorsque le panneau orange était exigé, l</w:t>
      </w:r>
      <w:r w:rsidR="008B6F84">
        <w:rPr>
          <w:lang w:val="fr-FR"/>
        </w:rPr>
        <w:t>’</w:t>
      </w:r>
      <w:r w:rsidRPr="00F001B0">
        <w:rPr>
          <w:lang w:val="fr-FR"/>
        </w:rPr>
        <w:t>information concernant la nature des marchandises transportées devait figurer dans le document de transport, alors que ce n</w:t>
      </w:r>
      <w:r w:rsidR="008B6F84">
        <w:rPr>
          <w:lang w:val="fr-FR"/>
        </w:rPr>
        <w:t>’</w:t>
      </w:r>
      <w:r w:rsidRPr="00F001B0">
        <w:rPr>
          <w:lang w:val="fr-FR"/>
        </w:rPr>
        <w:t>était pas le cas pour les marchandises dangereuses tran</w:t>
      </w:r>
      <w:r w:rsidR="002106BC">
        <w:rPr>
          <w:lang w:val="fr-FR"/>
        </w:rPr>
        <w:t>sportées en quantités limitées.</w:t>
      </w:r>
    </w:p>
    <w:p w:rsidR="00CC315F" w:rsidRPr="00F001B0" w:rsidRDefault="00CC315F" w:rsidP="00CC315F">
      <w:pPr>
        <w:pStyle w:val="SingleTxtG"/>
        <w:rPr>
          <w:lang w:val="fr-FR"/>
        </w:rPr>
      </w:pPr>
      <w:r w:rsidRPr="00F001B0">
        <w:rPr>
          <w:lang w:val="fr-FR"/>
        </w:rPr>
        <w:t>29.</w:t>
      </w:r>
      <w:r w:rsidRPr="00F001B0">
        <w:rPr>
          <w:lang w:val="fr-FR"/>
        </w:rPr>
        <w:tab/>
        <w:t>D</w:t>
      </w:r>
      <w:r w:rsidR="008B6F84">
        <w:rPr>
          <w:lang w:val="fr-FR"/>
        </w:rPr>
        <w:t>’</w:t>
      </w:r>
      <w:r w:rsidRPr="00F001B0">
        <w:rPr>
          <w:lang w:val="fr-FR"/>
        </w:rPr>
        <w:t>autres délégations, au contraire, ont jugé que la proposition de la Suède permettrait d</w:t>
      </w:r>
      <w:r w:rsidR="008B6F84">
        <w:rPr>
          <w:lang w:val="fr-FR"/>
        </w:rPr>
        <w:t>’</w:t>
      </w:r>
      <w:r w:rsidRPr="00F001B0">
        <w:rPr>
          <w:lang w:val="fr-FR"/>
        </w:rPr>
        <w:t>améliorer la sécurité, car la marque LQ avertirait de la présence de marchandises dangereuses transportées selon le régime des « quantités limitées », mais en quantité importante. Cela pourrait être utile, par exemple lorsque le voyage comprenait des passages dans des tunnels routiers.</w:t>
      </w:r>
    </w:p>
    <w:p w:rsidR="00CC315F" w:rsidRPr="00F001B0" w:rsidRDefault="00CC315F" w:rsidP="00CC315F">
      <w:pPr>
        <w:pStyle w:val="SingleTxtG"/>
        <w:rPr>
          <w:lang w:val="fr-FR"/>
        </w:rPr>
      </w:pPr>
      <w:r w:rsidRPr="00F001B0">
        <w:rPr>
          <w:lang w:val="fr-FR"/>
        </w:rPr>
        <w:t>30.</w:t>
      </w:r>
      <w:r w:rsidRPr="00F001B0">
        <w:rPr>
          <w:lang w:val="fr-FR"/>
        </w:rPr>
        <w:tab/>
        <w:t>La représentante de la Suède a dit qu</w:t>
      </w:r>
      <w:r w:rsidR="008B6F84">
        <w:rPr>
          <w:lang w:val="fr-FR"/>
        </w:rPr>
        <w:t>’</w:t>
      </w:r>
      <w:r w:rsidRPr="00F001B0">
        <w:rPr>
          <w:lang w:val="fr-FR"/>
        </w:rPr>
        <w:t>elle prendrait en considération les observations formulées et qu</w:t>
      </w:r>
      <w:r w:rsidR="008B6F84">
        <w:rPr>
          <w:lang w:val="fr-FR"/>
        </w:rPr>
        <w:t>’</w:t>
      </w:r>
      <w:r w:rsidRPr="00F001B0">
        <w:rPr>
          <w:lang w:val="fr-FR"/>
        </w:rPr>
        <w:t>elle soumettrait le cas échéant une nouvelle proposition ultérieurement.</w:t>
      </w:r>
    </w:p>
    <w:p w:rsidR="00CC315F" w:rsidRPr="00F001B0" w:rsidRDefault="00CC315F" w:rsidP="00CC315F">
      <w:pPr>
        <w:pStyle w:val="H23G"/>
        <w:keepNext w:val="0"/>
        <w:keepLines w:val="0"/>
        <w:rPr>
          <w:bCs/>
          <w:lang w:val="fr-FR" w:eastAsia="fr-FR"/>
        </w:rPr>
      </w:pPr>
      <w:r w:rsidRPr="00F001B0">
        <w:rPr>
          <w:lang w:val="fr-FR"/>
        </w:rPr>
        <w:tab/>
        <w:t>3.</w:t>
      </w:r>
      <w:r w:rsidRPr="00F001B0">
        <w:rPr>
          <w:lang w:val="fr-FR"/>
        </w:rPr>
        <w:tab/>
        <w:t xml:space="preserve">Couleur de la marque pour les matières transportées à chaud conformément au </w:t>
      </w:r>
      <w:r w:rsidRPr="00F001B0">
        <w:rPr>
          <w:bCs/>
          <w:lang w:val="fr-FR" w:eastAsia="fr-FR"/>
        </w:rPr>
        <w:t>5.3.3</w:t>
      </w:r>
    </w:p>
    <w:p w:rsidR="00CC315F" w:rsidRPr="00F001B0" w:rsidRDefault="00CC315F" w:rsidP="008D1FAA">
      <w:pPr>
        <w:pStyle w:val="SingleTxtG"/>
        <w:keepNext/>
        <w:keepLines/>
        <w:tabs>
          <w:tab w:val="left" w:pos="3402"/>
        </w:tabs>
        <w:ind w:left="3402" w:hanging="2268"/>
        <w:jc w:val="left"/>
        <w:rPr>
          <w:lang w:val="fr-FR"/>
        </w:rPr>
      </w:pPr>
      <w:r w:rsidRPr="00F001B0">
        <w:rPr>
          <w:i/>
          <w:iCs/>
          <w:lang w:val="fr-FR"/>
        </w:rPr>
        <w:t>Document informel</w:t>
      </w:r>
      <w:r w:rsidR="002106BC">
        <w:rPr>
          <w:i/>
          <w:iCs/>
          <w:lang w:val="fr-FR"/>
        </w:rPr>
        <w:t> </w:t>
      </w:r>
      <w:r w:rsidR="002106BC">
        <w:rPr>
          <w:iCs/>
          <w:lang w:val="fr-FR"/>
        </w:rPr>
        <w:t>:</w:t>
      </w:r>
      <w:r w:rsidRPr="00F001B0">
        <w:rPr>
          <w:lang w:val="fr-FR"/>
        </w:rPr>
        <w:t xml:space="preserve"> </w:t>
      </w:r>
      <w:r w:rsidRPr="00F001B0">
        <w:rPr>
          <w:lang w:val="fr-FR"/>
        </w:rPr>
        <w:tab/>
        <w:t>INF.4 (France)</w:t>
      </w:r>
    </w:p>
    <w:p w:rsidR="00CC315F" w:rsidRPr="00F001B0" w:rsidRDefault="00CC315F" w:rsidP="00CC315F">
      <w:pPr>
        <w:pStyle w:val="SingleTxtG"/>
        <w:rPr>
          <w:lang w:val="fr-FR"/>
        </w:rPr>
      </w:pPr>
      <w:r w:rsidRPr="00F001B0">
        <w:rPr>
          <w:lang w:val="fr-FR"/>
        </w:rPr>
        <w:t>31.</w:t>
      </w:r>
      <w:r w:rsidRPr="00F001B0">
        <w:rPr>
          <w:lang w:val="fr-FR"/>
        </w:rPr>
        <w:tab/>
        <w:t>La Réunion commune a accepté la proposition d</w:t>
      </w:r>
      <w:r w:rsidR="008B6F84">
        <w:rPr>
          <w:lang w:val="fr-FR"/>
        </w:rPr>
        <w:t>’</w:t>
      </w:r>
      <w:r w:rsidRPr="00F001B0">
        <w:rPr>
          <w:lang w:val="fr-FR"/>
        </w:rPr>
        <w:t>amendement à la version française du 5.3.3 du RID, de l</w:t>
      </w:r>
      <w:r w:rsidR="008B6F84">
        <w:rPr>
          <w:lang w:val="fr-FR"/>
        </w:rPr>
        <w:t>’</w:t>
      </w:r>
      <w:r w:rsidRPr="00F001B0">
        <w:rPr>
          <w:lang w:val="fr-FR"/>
        </w:rPr>
        <w:t>ADR et de l</w:t>
      </w:r>
      <w:r w:rsidR="008B6F84">
        <w:rPr>
          <w:lang w:val="fr-FR"/>
        </w:rPr>
        <w:t>’</w:t>
      </w:r>
      <w:r w:rsidRPr="00F001B0">
        <w:rPr>
          <w:lang w:val="fr-FR"/>
        </w:rPr>
        <w:t xml:space="preserve">ADN, pour </w:t>
      </w:r>
      <w:proofErr w:type="spellStart"/>
      <w:r w:rsidRPr="00F001B0">
        <w:rPr>
          <w:lang w:val="fr-FR"/>
        </w:rPr>
        <w:t>entrée</w:t>
      </w:r>
      <w:proofErr w:type="spellEnd"/>
      <w:r w:rsidRPr="00F001B0">
        <w:rPr>
          <w:lang w:val="fr-FR"/>
        </w:rPr>
        <w:t xml:space="preserve"> en vigueur le 1</w:t>
      </w:r>
      <w:r w:rsidRPr="00F001B0">
        <w:rPr>
          <w:vertAlign w:val="superscript"/>
          <w:lang w:val="fr-FR"/>
        </w:rPr>
        <w:t>er</w:t>
      </w:r>
      <w:r w:rsidRPr="00F001B0">
        <w:rPr>
          <w:lang w:val="fr-FR"/>
        </w:rPr>
        <w:t> janvier 2019 (voir annexe II).</w:t>
      </w:r>
    </w:p>
    <w:p w:rsidR="00CC315F" w:rsidRPr="00F001B0" w:rsidRDefault="00CC315F" w:rsidP="00CC315F">
      <w:pPr>
        <w:pStyle w:val="SingleTxtG"/>
        <w:rPr>
          <w:lang w:val="fr-FR"/>
        </w:rPr>
      </w:pPr>
      <w:r w:rsidRPr="00F001B0">
        <w:rPr>
          <w:lang w:val="fr-FR"/>
        </w:rPr>
        <w:t>32.</w:t>
      </w:r>
      <w:r w:rsidRPr="00F001B0">
        <w:rPr>
          <w:lang w:val="fr-FR"/>
        </w:rPr>
        <w:tab/>
        <w:t>Il a été noté que la même modification s</w:t>
      </w:r>
      <w:r w:rsidR="008B6F84">
        <w:rPr>
          <w:lang w:val="fr-FR"/>
        </w:rPr>
        <w:t>’</w:t>
      </w:r>
      <w:r w:rsidRPr="00F001B0">
        <w:rPr>
          <w:lang w:val="fr-FR"/>
        </w:rPr>
        <w:t xml:space="preserve">appliquait au 5.3.2.2 du Règlement type. Le représentant de </w:t>
      </w:r>
      <w:r w:rsidR="001C1ED6">
        <w:rPr>
          <w:lang w:val="fr-FR"/>
        </w:rPr>
        <w:t xml:space="preserve">la </w:t>
      </w:r>
      <w:r w:rsidRPr="00F001B0">
        <w:rPr>
          <w:lang w:val="fr-FR"/>
        </w:rPr>
        <w:t>France a été invité à soumettre une proposition pour examen par le Sous</w:t>
      </w:r>
      <w:r w:rsidR="001C1ED6">
        <w:rPr>
          <w:lang w:val="fr-FR"/>
        </w:rPr>
        <w:noBreakHyphen/>
      </w:r>
      <w:r w:rsidRPr="00F001B0">
        <w:rPr>
          <w:lang w:val="fr-FR"/>
        </w:rPr>
        <w:t>Comité d</w:t>
      </w:r>
      <w:r w:rsidR="008B6F84">
        <w:rPr>
          <w:lang w:val="fr-FR"/>
        </w:rPr>
        <w:t>’</w:t>
      </w:r>
      <w:r w:rsidRPr="00F001B0">
        <w:rPr>
          <w:lang w:val="fr-FR"/>
        </w:rPr>
        <w:t>experts du transport des marchandises dangereuses.</w:t>
      </w:r>
    </w:p>
    <w:p w:rsidR="00CC315F" w:rsidRPr="00F001B0" w:rsidRDefault="00CC315F" w:rsidP="00CC315F">
      <w:pPr>
        <w:pStyle w:val="H23G"/>
        <w:rPr>
          <w:lang w:val="fr-FR"/>
        </w:rPr>
      </w:pPr>
      <w:r w:rsidRPr="00F001B0">
        <w:rPr>
          <w:lang w:val="fr-FR"/>
        </w:rPr>
        <w:tab/>
        <w:t>4.</w:t>
      </w:r>
      <w:r w:rsidRPr="00F001B0">
        <w:rPr>
          <w:lang w:val="fr-FR"/>
        </w:rPr>
        <w:tab/>
      </w:r>
      <w:r w:rsidRPr="007559CC">
        <w:rPr>
          <w:rFonts w:ascii="Times New Roman Gras" w:hAnsi="Times New Roman Gras"/>
          <w:spacing w:val="-2"/>
          <w:lang w:val="fr-FR"/>
        </w:rPr>
        <w:t>Augmentation de la pression interne maximale autorisée pour les générateurs d</w:t>
      </w:r>
      <w:r w:rsidR="008B6F84">
        <w:rPr>
          <w:rFonts w:ascii="Times New Roman Gras" w:hAnsi="Times New Roman Gras"/>
          <w:spacing w:val="-2"/>
          <w:lang w:val="fr-FR"/>
        </w:rPr>
        <w:t>’</w:t>
      </w:r>
      <w:r w:rsidRPr="007559CC">
        <w:rPr>
          <w:rFonts w:ascii="Times New Roman Gras" w:hAnsi="Times New Roman Gras"/>
          <w:spacing w:val="-2"/>
          <w:lang w:val="fr-FR"/>
        </w:rPr>
        <w:t>aérosols</w:t>
      </w:r>
    </w:p>
    <w:p w:rsidR="00CC315F" w:rsidRPr="00F001B0" w:rsidRDefault="00CC315F" w:rsidP="005B0B2A">
      <w:pPr>
        <w:pStyle w:val="SingleTxtG"/>
        <w:tabs>
          <w:tab w:val="left" w:pos="3402"/>
        </w:tabs>
        <w:ind w:left="3402" w:hanging="2268"/>
        <w:jc w:val="left"/>
        <w:rPr>
          <w:lang w:val="fr-FR"/>
        </w:rPr>
      </w:pPr>
      <w:r w:rsidRPr="00F001B0">
        <w:rPr>
          <w:i/>
          <w:iCs/>
          <w:lang w:val="fr-FR"/>
        </w:rPr>
        <w:t>Document informel</w:t>
      </w:r>
      <w:r w:rsidR="002106BC">
        <w:rPr>
          <w:i/>
          <w:iCs/>
          <w:lang w:val="fr-FR"/>
        </w:rPr>
        <w:t> </w:t>
      </w:r>
      <w:r w:rsidR="002106BC">
        <w:rPr>
          <w:iCs/>
          <w:lang w:val="fr-FR"/>
        </w:rPr>
        <w:t>:</w:t>
      </w:r>
      <w:r w:rsidRPr="00F001B0">
        <w:rPr>
          <w:lang w:val="fr-FR"/>
        </w:rPr>
        <w:tab/>
        <w:t>INF.5 (FEA)</w:t>
      </w:r>
    </w:p>
    <w:p w:rsidR="00CC315F" w:rsidRPr="00F001B0" w:rsidRDefault="00CC315F" w:rsidP="00CC315F">
      <w:pPr>
        <w:pStyle w:val="SingleTxtG"/>
        <w:rPr>
          <w:lang w:val="fr-FR"/>
        </w:rPr>
      </w:pPr>
      <w:r w:rsidRPr="00F001B0">
        <w:rPr>
          <w:lang w:val="fr-FR"/>
        </w:rPr>
        <w:t>33.</w:t>
      </w:r>
      <w:r w:rsidRPr="00F001B0">
        <w:rPr>
          <w:lang w:val="fr-FR"/>
        </w:rPr>
        <w:tab/>
        <w:t>La plupart des délégations qui ont pris la parole étaient favorables à l</w:t>
      </w:r>
      <w:r w:rsidR="008B6F84">
        <w:rPr>
          <w:lang w:val="fr-FR"/>
        </w:rPr>
        <w:t>’</w:t>
      </w:r>
      <w:r w:rsidRPr="00F001B0">
        <w:rPr>
          <w:lang w:val="fr-FR"/>
        </w:rPr>
        <w:t>option 2 du document informel INF.5, car elle permettrait d</w:t>
      </w:r>
      <w:r w:rsidR="008B6F84">
        <w:rPr>
          <w:lang w:val="fr-FR"/>
        </w:rPr>
        <w:t>’</w:t>
      </w:r>
      <w:r w:rsidRPr="00F001B0">
        <w:rPr>
          <w:lang w:val="fr-FR"/>
        </w:rPr>
        <w:t>harmoniser les dispositions du RID, de l</w:t>
      </w:r>
      <w:r w:rsidR="008B6F84">
        <w:rPr>
          <w:lang w:val="fr-FR"/>
        </w:rPr>
        <w:t>’</w:t>
      </w:r>
      <w:r w:rsidRPr="00F001B0">
        <w:rPr>
          <w:lang w:val="fr-FR"/>
        </w:rPr>
        <w:t>ADR et de l</w:t>
      </w:r>
      <w:r w:rsidR="008B6F84">
        <w:rPr>
          <w:lang w:val="fr-FR"/>
        </w:rPr>
        <w:t>’</w:t>
      </w:r>
      <w:r w:rsidRPr="00F001B0">
        <w:rPr>
          <w:lang w:val="fr-FR"/>
        </w:rPr>
        <w:t>ADN avec celles de la directive 75/234/CE, ce qui renforcerait l</w:t>
      </w:r>
      <w:r w:rsidR="008B6F84">
        <w:rPr>
          <w:lang w:val="fr-FR"/>
        </w:rPr>
        <w:t>’</w:t>
      </w:r>
      <w:r w:rsidRPr="00F001B0">
        <w:rPr>
          <w:lang w:val="fr-FR"/>
        </w:rPr>
        <w:t>harmonisation des dispositions applicables aux générateurs d</w:t>
      </w:r>
      <w:r w:rsidR="008B6F84">
        <w:rPr>
          <w:lang w:val="fr-FR"/>
        </w:rPr>
        <w:t>’</w:t>
      </w:r>
      <w:r w:rsidR="002106BC">
        <w:rPr>
          <w:lang w:val="fr-FR"/>
        </w:rPr>
        <w:t>aérosols.</w:t>
      </w:r>
    </w:p>
    <w:p w:rsidR="00CC315F" w:rsidRPr="00F001B0" w:rsidRDefault="00CC315F" w:rsidP="00CC315F">
      <w:pPr>
        <w:pStyle w:val="SingleTxtG"/>
        <w:rPr>
          <w:lang w:val="fr-FR"/>
        </w:rPr>
      </w:pPr>
      <w:r w:rsidRPr="00F001B0">
        <w:rPr>
          <w:lang w:val="fr-FR"/>
        </w:rPr>
        <w:t>34.</w:t>
      </w:r>
      <w:r w:rsidRPr="00F001B0">
        <w:rPr>
          <w:lang w:val="fr-FR"/>
        </w:rPr>
        <w:tab/>
        <w:t>On a toutefois fait observer que dans l</w:t>
      </w:r>
      <w:r w:rsidR="008B6F84">
        <w:rPr>
          <w:lang w:val="fr-FR"/>
        </w:rPr>
        <w:t>’</w:t>
      </w:r>
      <w:r w:rsidRPr="00F001B0">
        <w:rPr>
          <w:lang w:val="fr-FR"/>
        </w:rPr>
        <w:t>hypothèse où l</w:t>
      </w:r>
      <w:r w:rsidR="008B6F84">
        <w:rPr>
          <w:lang w:val="fr-FR"/>
        </w:rPr>
        <w:t>’</w:t>
      </w:r>
      <w:r w:rsidRPr="00F001B0">
        <w:rPr>
          <w:lang w:val="fr-FR"/>
        </w:rPr>
        <w:t>option 2 serait adoptée, cette harmonisation concernerait uniquement le champ d</w:t>
      </w:r>
      <w:r w:rsidR="008B6F84">
        <w:rPr>
          <w:lang w:val="fr-FR"/>
        </w:rPr>
        <w:t>’</w:t>
      </w:r>
      <w:r w:rsidRPr="00F001B0">
        <w:rPr>
          <w:lang w:val="fr-FR"/>
        </w:rPr>
        <w:t>application du RID, de l</w:t>
      </w:r>
      <w:r w:rsidR="008B6F84">
        <w:rPr>
          <w:lang w:val="fr-FR"/>
        </w:rPr>
        <w:t>’</w:t>
      </w:r>
      <w:r w:rsidRPr="00F001B0">
        <w:rPr>
          <w:lang w:val="fr-FR"/>
        </w:rPr>
        <w:t>ADR et de l</w:t>
      </w:r>
      <w:r w:rsidR="008B6F84">
        <w:rPr>
          <w:lang w:val="fr-FR"/>
        </w:rPr>
        <w:t>’</w:t>
      </w:r>
      <w:r w:rsidRPr="00F001B0">
        <w:rPr>
          <w:lang w:val="fr-FR"/>
        </w:rPr>
        <w:t>ADN, à moins que les dispositions du Règlement type soit modifiées en conséquence. La Réunion commune a invité les représentants du secteur à se demander s</w:t>
      </w:r>
      <w:r w:rsidR="008B6F84">
        <w:rPr>
          <w:lang w:val="fr-FR"/>
        </w:rPr>
        <w:t>’</w:t>
      </w:r>
      <w:r w:rsidRPr="00F001B0">
        <w:rPr>
          <w:lang w:val="fr-FR"/>
        </w:rPr>
        <w:t>il était nécessaire de faire appliquer les mêmes dispositions dans le monde entier et a suggéré, si c</w:t>
      </w:r>
      <w:r w:rsidR="008B6F84">
        <w:rPr>
          <w:lang w:val="fr-FR"/>
        </w:rPr>
        <w:t>’</w:t>
      </w:r>
      <w:r w:rsidRPr="00F001B0">
        <w:rPr>
          <w:lang w:val="fr-FR"/>
        </w:rPr>
        <w:t>était le cas, qu</w:t>
      </w:r>
      <w:r w:rsidR="008B6F84">
        <w:rPr>
          <w:lang w:val="fr-FR"/>
        </w:rPr>
        <w:t>’</w:t>
      </w:r>
      <w:r w:rsidRPr="00F001B0">
        <w:rPr>
          <w:lang w:val="fr-FR"/>
        </w:rPr>
        <w:t>une proposition soit soumise au Sous-Comité d</w:t>
      </w:r>
      <w:r w:rsidR="008B6F84">
        <w:rPr>
          <w:lang w:val="fr-FR"/>
        </w:rPr>
        <w:t>’</w:t>
      </w:r>
      <w:r w:rsidRPr="00F001B0">
        <w:rPr>
          <w:lang w:val="fr-FR"/>
        </w:rPr>
        <w:t>experts du transport des marchandises dangereuses.</w:t>
      </w:r>
    </w:p>
    <w:p w:rsidR="00CC315F" w:rsidRPr="00F001B0" w:rsidRDefault="00CC315F" w:rsidP="00CC315F">
      <w:pPr>
        <w:pStyle w:val="SingleTxtG"/>
        <w:rPr>
          <w:lang w:val="fr-FR"/>
        </w:rPr>
      </w:pPr>
      <w:r w:rsidRPr="00F001B0">
        <w:rPr>
          <w:lang w:val="fr-FR"/>
        </w:rPr>
        <w:t>35.</w:t>
      </w:r>
      <w:r w:rsidRPr="00F001B0">
        <w:rPr>
          <w:lang w:val="fr-FR"/>
        </w:rPr>
        <w:tab/>
        <w:t>La Réunion commune a invité la FEA à soumettre un document sous une cote officielle pour la session d</w:t>
      </w:r>
      <w:r w:rsidR="008B6F84">
        <w:rPr>
          <w:lang w:val="fr-FR"/>
        </w:rPr>
        <w:t>’</w:t>
      </w:r>
      <w:r w:rsidRPr="00F001B0">
        <w:rPr>
          <w:lang w:val="fr-FR"/>
        </w:rPr>
        <w:t>automne.</w:t>
      </w:r>
    </w:p>
    <w:p w:rsidR="00CC315F" w:rsidRPr="00F001B0" w:rsidRDefault="00CC315F" w:rsidP="00CC315F">
      <w:pPr>
        <w:pStyle w:val="H23G"/>
        <w:rPr>
          <w:lang w:val="fr-FR"/>
        </w:rPr>
      </w:pPr>
      <w:r w:rsidRPr="00F001B0">
        <w:rPr>
          <w:lang w:val="fr-FR"/>
        </w:rPr>
        <w:tab/>
        <w:t>5.</w:t>
      </w:r>
      <w:r w:rsidRPr="00F001B0">
        <w:rPr>
          <w:lang w:val="fr-FR"/>
        </w:rPr>
        <w:tab/>
        <w:t>Renvois</w:t>
      </w:r>
      <w:r w:rsidR="008D1FAA">
        <w:rPr>
          <w:lang w:val="fr-FR"/>
        </w:rPr>
        <w:t xml:space="preserve"> aux directives dans le 6.2.4.1</w:t>
      </w:r>
    </w:p>
    <w:p w:rsidR="00CC315F" w:rsidRPr="00F001B0" w:rsidRDefault="00CC315F" w:rsidP="008D1FAA">
      <w:pPr>
        <w:pStyle w:val="SingleTxtG"/>
        <w:keepNext/>
        <w:keepLines/>
        <w:tabs>
          <w:tab w:val="left" w:pos="3402"/>
        </w:tabs>
        <w:ind w:left="3402" w:hanging="2268"/>
        <w:jc w:val="left"/>
        <w:rPr>
          <w:iCs/>
          <w:lang w:val="fr-FR"/>
        </w:rPr>
      </w:pPr>
      <w:r w:rsidRPr="00F001B0">
        <w:rPr>
          <w:i/>
          <w:iCs/>
          <w:lang w:val="fr-FR"/>
        </w:rPr>
        <w:t>Documents informels</w:t>
      </w:r>
      <w:r w:rsidR="008D1FAA">
        <w:rPr>
          <w:i/>
          <w:iCs/>
          <w:lang w:val="fr-FR"/>
        </w:rPr>
        <w:t> </w:t>
      </w:r>
      <w:r w:rsidR="008D1FAA" w:rsidRPr="008D1FAA">
        <w:rPr>
          <w:iCs/>
          <w:lang w:val="fr-FR"/>
        </w:rPr>
        <w:t>:</w:t>
      </w:r>
      <w:r w:rsidRPr="00F001B0">
        <w:rPr>
          <w:lang w:val="fr-FR"/>
        </w:rPr>
        <w:tab/>
        <w:t>INF.12 (Fédération de Russie)</w:t>
      </w:r>
      <w:r w:rsidR="008D1FAA">
        <w:rPr>
          <w:lang w:val="fr-FR"/>
        </w:rPr>
        <w:br/>
      </w:r>
      <w:r w:rsidRPr="00F001B0">
        <w:rPr>
          <w:i/>
          <w:iCs/>
          <w:lang w:val="fr-FR"/>
        </w:rPr>
        <w:tab/>
      </w:r>
      <w:r w:rsidRPr="00F001B0">
        <w:rPr>
          <w:iCs/>
          <w:lang w:val="fr-FR"/>
        </w:rPr>
        <w:t>INF.25 (ECMA, EIGA)</w:t>
      </w:r>
    </w:p>
    <w:p w:rsidR="00CC315F" w:rsidRPr="00F001B0" w:rsidRDefault="00CC315F" w:rsidP="00CC315F">
      <w:pPr>
        <w:pStyle w:val="SingleTxtG"/>
        <w:rPr>
          <w:lang w:val="fr-FR"/>
        </w:rPr>
      </w:pPr>
      <w:r w:rsidRPr="00F001B0">
        <w:rPr>
          <w:lang w:val="fr-FR"/>
        </w:rPr>
        <w:t>36.</w:t>
      </w:r>
      <w:r w:rsidRPr="00F001B0">
        <w:rPr>
          <w:lang w:val="fr-FR"/>
        </w:rPr>
        <w:tab/>
        <w:t xml:space="preserve">Le représentant du CEN a expliqué que des travaux avaient été entamés en vue de convertir les annexes des directives 84/525/CEE et 84/527/CEE en normes CEN mais que ce projet avait été abandonné en raison des difficultés rencontrées. </w:t>
      </w:r>
    </w:p>
    <w:p w:rsidR="00CC315F" w:rsidRPr="00F001B0" w:rsidRDefault="00CC315F" w:rsidP="00CC315F">
      <w:pPr>
        <w:pStyle w:val="SingleTxtG"/>
        <w:rPr>
          <w:lang w:val="fr-FR"/>
        </w:rPr>
      </w:pPr>
      <w:r w:rsidRPr="00F001B0">
        <w:rPr>
          <w:lang w:val="fr-FR"/>
        </w:rPr>
        <w:t>37.</w:t>
      </w:r>
      <w:r w:rsidRPr="00F001B0">
        <w:rPr>
          <w:lang w:val="fr-FR"/>
        </w:rPr>
        <w:tab/>
        <w:t>Notant que les annexes à ces directives étaient mises à la disposition du public et largement utilisées par les industries manufacturières, et rappelant la décision prise à sa session de printemps de 2011 (voir ECE/TRANS/WP.15/AC.1/122, par. 20 et 21), la Réunion commune a conclu que les renvois aux directives ne devraient pas être supprimés tant que d</w:t>
      </w:r>
      <w:r w:rsidR="008B6F84">
        <w:rPr>
          <w:lang w:val="fr-FR"/>
        </w:rPr>
        <w:t>’</w:t>
      </w:r>
      <w:r w:rsidRPr="00F001B0">
        <w:rPr>
          <w:lang w:val="fr-FR"/>
        </w:rPr>
        <w:t>autres textes ne seraient pas disponibles ou que de nouveaux éléments en faveur de leur suppression ainsi que des informations détaillées sur les conséquences de cette suppression n</w:t>
      </w:r>
      <w:r w:rsidR="008B6F84">
        <w:rPr>
          <w:lang w:val="fr-FR"/>
        </w:rPr>
        <w:t>’</w:t>
      </w:r>
      <w:r w:rsidRPr="00F001B0">
        <w:rPr>
          <w:lang w:val="fr-FR"/>
        </w:rPr>
        <w:t>auraient pas été fournis.</w:t>
      </w:r>
    </w:p>
    <w:p w:rsidR="00CC315F" w:rsidRPr="00F001B0" w:rsidRDefault="00CC315F" w:rsidP="00CC315F">
      <w:pPr>
        <w:pStyle w:val="SingleTxtG"/>
        <w:rPr>
          <w:lang w:val="fr-FR"/>
        </w:rPr>
      </w:pPr>
      <w:r w:rsidRPr="00F001B0">
        <w:rPr>
          <w:lang w:val="fr-FR"/>
        </w:rPr>
        <w:t>38.</w:t>
      </w:r>
      <w:r w:rsidRPr="00F001B0">
        <w:rPr>
          <w:lang w:val="fr-FR"/>
        </w:rPr>
        <w:tab/>
        <w:t>La Réunion commune a invité le représentant de la Fédération de Russie à tenir compte des observations formulées et à soumettre une proposition révisée sous une cote officielle à sa session suivante.</w:t>
      </w:r>
    </w:p>
    <w:p w:rsidR="00CC315F" w:rsidRPr="00F001B0" w:rsidRDefault="00CC315F" w:rsidP="00CC315F">
      <w:pPr>
        <w:pStyle w:val="H23G"/>
        <w:rPr>
          <w:lang w:val="fr-FR"/>
        </w:rPr>
      </w:pPr>
      <w:r w:rsidRPr="00F001B0">
        <w:rPr>
          <w:lang w:val="fr-FR"/>
        </w:rPr>
        <w:tab/>
        <w:t>6.</w:t>
      </w:r>
      <w:r w:rsidRPr="00F001B0">
        <w:rPr>
          <w:lang w:val="fr-FR"/>
        </w:rPr>
        <w:tab/>
        <w:t>Nouveau numéro d</w:t>
      </w:r>
      <w:r w:rsidR="008B6F84">
        <w:rPr>
          <w:lang w:val="fr-FR"/>
        </w:rPr>
        <w:t>’</w:t>
      </w:r>
      <w:r w:rsidRPr="00F001B0">
        <w:rPr>
          <w:lang w:val="fr-FR"/>
        </w:rPr>
        <w:t>identification du danger (836)</w:t>
      </w:r>
    </w:p>
    <w:p w:rsidR="00CC315F" w:rsidRPr="00F001B0" w:rsidRDefault="00CC315F" w:rsidP="005B0B2A">
      <w:pPr>
        <w:pStyle w:val="SingleTxtG"/>
        <w:tabs>
          <w:tab w:val="left" w:pos="3402"/>
        </w:tabs>
        <w:ind w:left="3402" w:hanging="2268"/>
        <w:jc w:val="left"/>
        <w:rPr>
          <w:lang w:val="fr-FR"/>
        </w:rPr>
      </w:pPr>
      <w:r w:rsidRPr="00F001B0">
        <w:rPr>
          <w:i/>
          <w:iCs/>
          <w:lang w:val="fr-FR"/>
        </w:rPr>
        <w:t>Document informel</w:t>
      </w:r>
      <w:r w:rsidR="005B0B2A">
        <w:rPr>
          <w:i/>
          <w:iCs/>
          <w:lang w:val="fr-FR"/>
        </w:rPr>
        <w:t> </w:t>
      </w:r>
      <w:r w:rsidR="005B0B2A" w:rsidRPr="008D1FAA">
        <w:rPr>
          <w:iCs/>
          <w:lang w:val="fr-FR"/>
        </w:rPr>
        <w:t>:</w:t>
      </w:r>
      <w:r w:rsidRPr="00F001B0">
        <w:rPr>
          <w:lang w:val="fr-FR"/>
        </w:rPr>
        <w:tab/>
        <w:t>INF.15 (Espagne)</w:t>
      </w:r>
    </w:p>
    <w:p w:rsidR="00CC315F" w:rsidRPr="00F001B0" w:rsidRDefault="00CC315F" w:rsidP="00CC315F">
      <w:pPr>
        <w:pStyle w:val="SingleTxtG"/>
        <w:rPr>
          <w:lang w:val="fr-FR"/>
        </w:rPr>
      </w:pPr>
      <w:r w:rsidRPr="00F001B0">
        <w:rPr>
          <w:lang w:val="fr-FR"/>
        </w:rPr>
        <w:t>39.</w:t>
      </w:r>
      <w:r w:rsidRPr="00F001B0">
        <w:rPr>
          <w:lang w:val="fr-FR"/>
        </w:rPr>
        <w:tab/>
        <w:t>Certaines délégations ont accueilli favorablement la proposition de l</w:t>
      </w:r>
      <w:r w:rsidR="008B6F84">
        <w:rPr>
          <w:lang w:val="fr-FR"/>
        </w:rPr>
        <w:t>’</w:t>
      </w:r>
      <w:r w:rsidRPr="00F001B0">
        <w:rPr>
          <w:lang w:val="fr-FR"/>
        </w:rPr>
        <w:t>Espagne et ont fait observer que des problèmes similaires avaient été détectés pour d</w:t>
      </w:r>
      <w:r w:rsidR="008B6F84">
        <w:rPr>
          <w:lang w:val="fr-FR"/>
        </w:rPr>
        <w:t>’</w:t>
      </w:r>
      <w:r w:rsidRPr="00F001B0">
        <w:rPr>
          <w:lang w:val="fr-FR"/>
        </w:rPr>
        <w:t>autres rubriques, ce qui justifierait de vérifier que les principes d</w:t>
      </w:r>
      <w:r w:rsidR="008B6F84">
        <w:rPr>
          <w:lang w:val="fr-FR"/>
        </w:rPr>
        <w:t>’</w:t>
      </w:r>
      <w:r w:rsidRPr="00F001B0">
        <w:rPr>
          <w:lang w:val="fr-FR"/>
        </w:rPr>
        <w:t>attribution des numéros d</w:t>
      </w:r>
      <w:r w:rsidR="008B6F84">
        <w:rPr>
          <w:lang w:val="fr-FR"/>
        </w:rPr>
        <w:t>’</w:t>
      </w:r>
      <w:r w:rsidRPr="00F001B0">
        <w:rPr>
          <w:lang w:val="fr-FR"/>
        </w:rPr>
        <w:t>identification du danger étaient appliqués de manière cohérente. Elles estimaient qu</w:t>
      </w:r>
      <w:r w:rsidR="008B6F84">
        <w:rPr>
          <w:lang w:val="fr-FR"/>
        </w:rPr>
        <w:t>’</w:t>
      </w:r>
      <w:r w:rsidRPr="00F001B0">
        <w:rPr>
          <w:lang w:val="fr-FR"/>
        </w:rPr>
        <w:t>il serait raisonnable, lorsque des rubriques ne se conformaient pas à ces principes, d</w:t>
      </w:r>
      <w:r w:rsidR="008B6F84">
        <w:rPr>
          <w:lang w:val="fr-FR"/>
        </w:rPr>
        <w:t>’</w:t>
      </w:r>
      <w:r w:rsidRPr="00F001B0">
        <w:rPr>
          <w:lang w:val="fr-FR"/>
        </w:rPr>
        <w:t xml:space="preserve">en examiner les raisons éventuelles. </w:t>
      </w:r>
    </w:p>
    <w:p w:rsidR="00CC315F" w:rsidRPr="00F001B0" w:rsidRDefault="00CC315F" w:rsidP="00CC315F">
      <w:pPr>
        <w:pStyle w:val="SingleTxtG"/>
        <w:rPr>
          <w:lang w:val="fr-FR"/>
        </w:rPr>
      </w:pPr>
      <w:r w:rsidRPr="00F001B0">
        <w:rPr>
          <w:lang w:val="fr-FR"/>
        </w:rPr>
        <w:t>40.</w:t>
      </w:r>
      <w:r w:rsidRPr="00F001B0">
        <w:rPr>
          <w:lang w:val="fr-FR"/>
        </w:rPr>
        <w:tab/>
        <w:t>D</w:t>
      </w:r>
      <w:r w:rsidR="008B6F84">
        <w:rPr>
          <w:lang w:val="fr-FR"/>
        </w:rPr>
        <w:t>’</w:t>
      </w:r>
      <w:r w:rsidRPr="00F001B0">
        <w:rPr>
          <w:lang w:val="fr-FR"/>
        </w:rPr>
        <w:t>autres ont estimé au contraire que le système actuel était en place depuis longtemps et qu</w:t>
      </w:r>
      <w:r w:rsidR="008B6F84">
        <w:rPr>
          <w:lang w:val="fr-FR"/>
        </w:rPr>
        <w:t>’</w:t>
      </w:r>
      <w:r w:rsidRPr="00F001B0">
        <w:rPr>
          <w:lang w:val="fr-FR"/>
        </w:rPr>
        <w:t>il était bien connu des services d</w:t>
      </w:r>
      <w:r w:rsidR="008B6F84">
        <w:rPr>
          <w:lang w:val="fr-FR"/>
        </w:rPr>
        <w:t>’</w:t>
      </w:r>
      <w:r w:rsidRPr="00F001B0">
        <w:rPr>
          <w:lang w:val="fr-FR"/>
        </w:rPr>
        <w:t>intervention d</w:t>
      </w:r>
      <w:r w:rsidR="008B6F84">
        <w:rPr>
          <w:lang w:val="fr-FR"/>
        </w:rPr>
        <w:t>’</w:t>
      </w:r>
      <w:r w:rsidRPr="00F001B0">
        <w:rPr>
          <w:lang w:val="fr-FR"/>
        </w:rPr>
        <w:t>urgence. Se disant préoccupées par les conséquences imprévues d</w:t>
      </w:r>
      <w:r w:rsidR="008B6F84">
        <w:rPr>
          <w:lang w:val="fr-FR"/>
        </w:rPr>
        <w:t>’</w:t>
      </w:r>
      <w:r w:rsidRPr="00F001B0">
        <w:rPr>
          <w:lang w:val="fr-FR"/>
        </w:rPr>
        <w:t>une modification des principes existants (par exemple, dans les cas où la duplication du numéro d</w:t>
      </w:r>
      <w:r w:rsidR="008B6F84">
        <w:rPr>
          <w:lang w:val="fr-FR"/>
        </w:rPr>
        <w:t>’</w:t>
      </w:r>
      <w:r w:rsidRPr="00F001B0">
        <w:rPr>
          <w:lang w:val="fr-FR"/>
        </w:rPr>
        <w:t>identification servait à indiquer la gravité du danger), elles ont fait valoir que tout changement devrait être examiné au cas par cas et sur la base de données complémentaires.</w:t>
      </w:r>
    </w:p>
    <w:p w:rsidR="00CC315F" w:rsidRPr="00F001B0" w:rsidRDefault="00CC315F" w:rsidP="00CC315F">
      <w:pPr>
        <w:pStyle w:val="SingleTxtG"/>
        <w:rPr>
          <w:lang w:val="fr-FR"/>
        </w:rPr>
      </w:pPr>
      <w:r w:rsidRPr="00F001B0">
        <w:rPr>
          <w:lang w:val="fr-FR"/>
        </w:rPr>
        <w:t>41.</w:t>
      </w:r>
      <w:r w:rsidRPr="00F001B0">
        <w:rPr>
          <w:lang w:val="fr-FR"/>
        </w:rPr>
        <w:tab/>
        <w:t>On a fait observer que les informations fournies par le numéro d</w:t>
      </w:r>
      <w:r w:rsidR="008B6F84">
        <w:rPr>
          <w:lang w:val="fr-FR"/>
        </w:rPr>
        <w:t>’</w:t>
      </w:r>
      <w:r w:rsidRPr="00F001B0">
        <w:rPr>
          <w:lang w:val="fr-FR"/>
        </w:rPr>
        <w:t>identification du danger ne devaient pas être examinées de manière isolée mais conjointement avec celles fournies par d</w:t>
      </w:r>
      <w:r w:rsidR="008B6F84">
        <w:rPr>
          <w:lang w:val="fr-FR"/>
        </w:rPr>
        <w:t>’</w:t>
      </w:r>
      <w:r w:rsidRPr="00F001B0">
        <w:rPr>
          <w:lang w:val="fr-FR"/>
        </w:rPr>
        <w:t xml:space="preserve">autres éléments tels que les plaques-étiquettes. Il a également été noté que les modifications applicables au seul RID devraient également être abordées. </w:t>
      </w:r>
    </w:p>
    <w:p w:rsidR="00CC315F" w:rsidRPr="00F001B0" w:rsidRDefault="00CC315F" w:rsidP="00CC315F">
      <w:pPr>
        <w:pStyle w:val="SingleTxtG"/>
        <w:rPr>
          <w:lang w:val="fr-FR"/>
        </w:rPr>
      </w:pPr>
      <w:r w:rsidRPr="00F001B0">
        <w:rPr>
          <w:lang w:val="fr-FR"/>
        </w:rPr>
        <w:t>42.</w:t>
      </w:r>
      <w:r w:rsidRPr="00F001B0">
        <w:rPr>
          <w:lang w:val="fr-FR"/>
        </w:rPr>
        <w:tab/>
        <w:t>À l</w:t>
      </w:r>
      <w:r w:rsidR="008B6F84">
        <w:rPr>
          <w:lang w:val="fr-FR"/>
        </w:rPr>
        <w:t>’</w:t>
      </w:r>
      <w:r w:rsidRPr="00F001B0">
        <w:rPr>
          <w:lang w:val="fr-FR"/>
        </w:rPr>
        <w:t>issue d</w:t>
      </w:r>
      <w:r w:rsidR="008B6F84">
        <w:rPr>
          <w:lang w:val="fr-FR"/>
        </w:rPr>
        <w:t>’</w:t>
      </w:r>
      <w:r w:rsidRPr="00F001B0">
        <w:rPr>
          <w:lang w:val="fr-FR"/>
        </w:rPr>
        <w:t>un débat, la Réunion commune a invité l</w:t>
      </w:r>
      <w:r w:rsidR="008B6F84">
        <w:rPr>
          <w:lang w:val="fr-FR"/>
        </w:rPr>
        <w:t>’</w:t>
      </w:r>
      <w:r w:rsidRPr="00F001B0">
        <w:rPr>
          <w:lang w:val="fr-FR"/>
        </w:rPr>
        <w:t>expert de l</w:t>
      </w:r>
      <w:r w:rsidR="008B6F84">
        <w:rPr>
          <w:lang w:val="fr-FR"/>
        </w:rPr>
        <w:t>’</w:t>
      </w:r>
      <w:r w:rsidRPr="00F001B0">
        <w:rPr>
          <w:lang w:val="fr-FR"/>
        </w:rPr>
        <w:t>Espagne à soumettre à la session de septembre une proposition révisée tenant compte des observations formulées.</w:t>
      </w:r>
    </w:p>
    <w:p w:rsidR="00CC315F" w:rsidRPr="00F001B0" w:rsidRDefault="00CC315F" w:rsidP="00CC315F">
      <w:pPr>
        <w:pStyle w:val="SingleTxtG"/>
        <w:rPr>
          <w:lang w:val="fr-FR"/>
        </w:rPr>
      </w:pPr>
      <w:r w:rsidRPr="00F001B0">
        <w:rPr>
          <w:lang w:val="fr-FR"/>
        </w:rPr>
        <w:t>43.</w:t>
      </w:r>
      <w:r w:rsidRPr="00F001B0">
        <w:rPr>
          <w:lang w:val="fr-FR"/>
        </w:rPr>
        <w:tab/>
        <w:t>La Réunion commune a également invité les délégations qui avaient relevé d</w:t>
      </w:r>
      <w:r w:rsidR="008B6F84">
        <w:rPr>
          <w:lang w:val="fr-FR"/>
        </w:rPr>
        <w:t>’</w:t>
      </w:r>
      <w:r w:rsidRPr="00F001B0">
        <w:rPr>
          <w:lang w:val="fr-FR"/>
        </w:rPr>
        <w:t>autres cas où un examen des numéros d</w:t>
      </w:r>
      <w:r w:rsidR="008B6F84">
        <w:rPr>
          <w:lang w:val="fr-FR"/>
        </w:rPr>
        <w:t>’</w:t>
      </w:r>
      <w:r w:rsidRPr="00F001B0">
        <w:rPr>
          <w:lang w:val="fr-FR"/>
        </w:rPr>
        <w:t>identification du danger pourrait être nécessaire à coopérer avec l</w:t>
      </w:r>
      <w:r w:rsidR="008B6F84">
        <w:rPr>
          <w:lang w:val="fr-FR"/>
        </w:rPr>
        <w:t>’</w:t>
      </w:r>
      <w:r w:rsidRPr="00F001B0">
        <w:rPr>
          <w:lang w:val="fr-FR"/>
        </w:rPr>
        <w:t>Espagne et à envisager d</w:t>
      </w:r>
      <w:r w:rsidR="008B6F84">
        <w:rPr>
          <w:lang w:val="fr-FR"/>
        </w:rPr>
        <w:t>’</w:t>
      </w:r>
      <w:r w:rsidRPr="00F001B0">
        <w:rPr>
          <w:lang w:val="fr-FR"/>
        </w:rPr>
        <w:t>inclure de tels cas dans la proposition révisée pour la session d</w:t>
      </w:r>
      <w:r w:rsidR="008B6F84">
        <w:rPr>
          <w:lang w:val="fr-FR"/>
        </w:rPr>
        <w:t>’</w:t>
      </w:r>
      <w:r w:rsidRPr="00F001B0">
        <w:rPr>
          <w:lang w:val="fr-FR"/>
        </w:rPr>
        <w:t>automne. La Réunion commune évaluerait ensuite si les problèmes soulevés justifiaient une révision des principes d</w:t>
      </w:r>
      <w:r w:rsidR="008B6F84">
        <w:rPr>
          <w:lang w:val="fr-FR"/>
        </w:rPr>
        <w:t>’</w:t>
      </w:r>
      <w:r w:rsidRPr="00F001B0">
        <w:rPr>
          <w:lang w:val="fr-FR"/>
        </w:rPr>
        <w:t>attribution des numéros d</w:t>
      </w:r>
      <w:r w:rsidR="008B6F84">
        <w:rPr>
          <w:lang w:val="fr-FR"/>
        </w:rPr>
        <w:t>’</w:t>
      </w:r>
      <w:r w:rsidRPr="00F001B0">
        <w:rPr>
          <w:lang w:val="fr-FR"/>
        </w:rPr>
        <w:t>identification du danger ou s</w:t>
      </w:r>
      <w:r w:rsidR="008B6F84">
        <w:rPr>
          <w:lang w:val="fr-FR"/>
        </w:rPr>
        <w:t>’</w:t>
      </w:r>
      <w:r w:rsidRPr="00F001B0">
        <w:rPr>
          <w:lang w:val="fr-FR"/>
        </w:rPr>
        <w:t>ils continueraient d</w:t>
      </w:r>
      <w:r w:rsidR="008B6F84">
        <w:rPr>
          <w:lang w:val="fr-FR"/>
        </w:rPr>
        <w:t>’</w:t>
      </w:r>
      <w:r w:rsidRPr="00F001B0">
        <w:rPr>
          <w:lang w:val="fr-FR"/>
        </w:rPr>
        <w:t>être traités au cas par cas.</w:t>
      </w:r>
    </w:p>
    <w:p w:rsidR="00CC315F" w:rsidRPr="00F001B0" w:rsidRDefault="00CC315F" w:rsidP="00CC315F">
      <w:pPr>
        <w:pStyle w:val="H23G"/>
        <w:rPr>
          <w:lang w:val="fr-FR"/>
        </w:rPr>
      </w:pPr>
      <w:r w:rsidRPr="00F001B0">
        <w:rPr>
          <w:lang w:val="fr-FR"/>
        </w:rPr>
        <w:tab/>
        <w:t>7.</w:t>
      </w:r>
      <w:r w:rsidRPr="00F001B0">
        <w:rPr>
          <w:lang w:val="fr-FR"/>
        </w:rPr>
        <w:tab/>
        <w:t>Définition de « point d</w:t>
      </w:r>
      <w:r w:rsidR="008B6F84">
        <w:rPr>
          <w:lang w:val="fr-FR"/>
        </w:rPr>
        <w:t>’</w:t>
      </w:r>
      <w:r w:rsidRPr="00F001B0">
        <w:rPr>
          <w:lang w:val="fr-FR"/>
        </w:rPr>
        <w:t>éclair »</w:t>
      </w:r>
    </w:p>
    <w:p w:rsidR="00CC315F" w:rsidRPr="00F001B0" w:rsidRDefault="00CC315F" w:rsidP="005B0B2A">
      <w:pPr>
        <w:pStyle w:val="SingleTxtG"/>
        <w:tabs>
          <w:tab w:val="left" w:pos="3402"/>
        </w:tabs>
        <w:ind w:left="3402" w:hanging="2268"/>
        <w:jc w:val="left"/>
        <w:rPr>
          <w:lang w:val="fr-FR"/>
        </w:rPr>
      </w:pPr>
      <w:r w:rsidRPr="00F001B0">
        <w:rPr>
          <w:i/>
          <w:lang w:val="fr-FR"/>
        </w:rPr>
        <w:t>Document informel</w:t>
      </w:r>
      <w:r w:rsidR="005B0B2A">
        <w:rPr>
          <w:i/>
          <w:iCs/>
          <w:lang w:val="fr-FR"/>
        </w:rPr>
        <w:t> </w:t>
      </w:r>
      <w:r w:rsidR="005B0B2A" w:rsidRPr="008D1FAA">
        <w:rPr>
          <w:iCs/>
          <w:lang w:val="fr-FR"/>
        </w:rPr>
        <w:t>:</w:t>
      </w:r>
      <w:r w:rsidRPr="00F001B0">
        <w:rPr>
          <w:i/>
          <w:lang w:val="fr-FR"/>
        </w:rPr>
        <w:tab/>
      </w:r>
      <w:r w:rsidRPr="00F001B0">
        <w:rPr>
          <w:i/>
          <w:lang w:val="fr-FR"/>
        </w:rPr>
        <w:tab/>
      </w:r>
      <w:r w:rsidRPr="00F001B0">
        <w:rPr>
          <w:lang w:val="fr-FR"/>
        </w:rPr>
        <w:t>INF.18 (Allemagne)</w:t>
      </w:r>
    </w:p>
    <w:p w:rsidR="00CC315F" w:rsidRPr="00F001B0" w:rsidRDefault="00CC315F" w:rsidP="00CC315F">
      <w:pPr>
        <w:pStyle w:val="SingleTxtG"/>
        <w:tabs>
          <w:tab w:val="left" w:pos="1701"/>
        </w:tabs>
        <w:rPr>
          <w:lang w:val="fr-FR"/>
        </w:rPr>
      </w:pPr>
      <w:r w:rsidRPr="00F001B0">
        <w:rPr>
          <w:lang w:val="fr-FR"/>
        </w:rPr>
        <w:t>44.</w:t>
      </w:r>
      <w:r w:rsidRPr="00F001B0">
        <w:rPr>
          <w:lang w:val="fr-FR"/>
        </w:rPr>
        <w:tab/>
        <w:t>Les participants n</w:t>
      </w:r>
      <w:r w:rsidR="008B6F84">
        <w:rPr>
          <w:lang w:val="fr-FR"/>
        </w:rPr>
        <w:t>’</w:t>
      </w:r>
      <w:r w:rsidRPr="00F001B0">
        <w:rPr>
          <w:lang w:val="fr-FR"/>
        </w:rPr>
        <w:t>ont pas appuyé la proposition d</w:t>
      </w:r>
      <w:r w:rsidR="008B6F84">
        <w:rPr>
          <w:lang w:val="fr-FR"/>
        </w:rPr>
        <w:t>’</w:t>
      </w:r>
      <w:r w:rsidRPr="00F001B0">
        <w:rPr>
          <w:lang w:val="fr-FR"/>
        </w:rPr>
        <w:t>ajouter une abréviation pour « point d</w:t>
      </w:r>
      <w:r w:rsidR="008B6F84">
        <w:rPr>
          <w:lang w:val="fr-FR"/>
        </w:rPr>
        <w:t>’</w:t>
      </w:r>
      <w:r w:rsidRPr="00F001B0">
        <w:rPr>
          <w:lang w:val="fr-FR"/>
        </w:rPr>
        <w:t>éclair ». Certaines délégations estimaient que cette proposition n</w:t>
      </w:r>
      <w:r w:rsidR="008B6F84">
        <w:rPr>
          <w:lang w:val="fr-FR"/>
        </w:rPr>
        <w:t>’</w:t>
      </w:r>
      <w:r w:rsidRPr="00F001B0">
        <w:rPr>
          <w:lang w:val="fr-FR"/>
        </w:rPr>
        <w:t>était ni nécessaire ni opportune, l</w:t>
      </w:r>
      <w:r w:rsidR="008B6F84">
        <w:rPr>
          <w:lang w:val="fr-FR"/>
        </w:rPr>
        <w:t>’</w:t>
      </w:r>
      <w:r w:rsidRPr="00F001B0">
        <w:rPr>
          <w:lang w:val="fr-FR"/>
        </w:rPr>
        <w:t>acronyme « </w:t>
      </w:r>
      <w:proofErr w:type="spellStart"/>
      <w:r w:rsidRPr="00F001B0">
        <w:rPr>
          <w:lang w:val="fr-FR"/>
        </w:rPr>
        <w:t>Fp</w:t>
      </w:r>
      <w:proofErr w:type="spellEnd"/>
      <w:r w:rsidRPr="00F001B0">
        <w:rPr>
          <w:lang w:val="fr-FR"/>
        </w:rPr>
        <w:t> » n</w:t>
      </w:r>
      <w:r w:rsidR="008B6F84">
        <w:rPr>
          <w:lang w:val="fr-FR"/>
        </w:rPr>
        <w:t>’</w:t>
      </w:r>
      <w:r w:rsidRPr="00F001B0">
        <w:rPr>
          <w:lang w:val="fr-FR"/>
        </w:rPr>
        <w:t>étant pas internationalement reconnu. D</w:t>
      </w:r>
      <w:r w:rsidR="008B6F84">
        <w:rPr>
          <w:lang w:val="fr-FR"/>
        </w:rPr>
        <w:t>’</w:t>
      </w:r>
      <w:r w:rsidRPr="00F001B0">
        <w:rPr>
          <w:lang w:val="fr-FR"/>
        </w:rPr>
        <w:t>autres se sont enquises de l</w:t>
      </w:r>
      <w:r w:rsidR="008B6F84">
        <w:rPr>
          <w:lang w:val="fr-FR"/>
        </w:rPr>
        <w:t>’</w:t>
      </w:r>
      <w:r w:rsidRPr="00F001B0">
        <w:rPr>
          <w:lang w:val="fr-FR"/>
        </w:rPr>
        <w:t>équivalent correspondant dans d</w:t>
      </w:r>
      <w:r w:rsidR="008B6F84">
        <w:rPr>
          <w:lang w:val="fr-FR"/>
        </w:rPr>
        <w:t>’</w:t>
      </w:r>
      <w:r w:rsidRPr="00F001B0">
        <w:rPr>
          <w:lang w:val="fr-FR"/>
        </w:rPr>
        <w:t>autres langues. D</w:t>
      </w:r>
      <w:r w:rsidR="008B6F84">
        <w:rPr>
          <w:lang w:val="fr-FR"/>
        </w:rPr>
        <w:t>’</w:t>
      </w:r>
      <w:r w:rsidRPr="00F001B0">
        <w:rPr>
          <w:lang w:val="fr-FR"/>
        </w:rPr>
        <w:t>autres encore ont indiqué que la définition elle-même devrait être modifiée de manière à y mentionner l</w:t>
      </w:r>
      <w:r w:rsidR="008B6F84">
        <w:rPr>
          <w:lang w:val="fr-FR"/>
        </w:rPr>
        <w:t>’</w:t>
      </w:r>
      <w:r w:rsidRPr="00F001B0">
        <w:rPr>
          <w:lang w:val="fr-FR"/>
        </w:rPr>
        <w:t>application d</w:t>
      </w:r>
      <w:r w:rsidR="008B6F84">
        <w:rPr>
          <w:lang w:val="fr-FR"/>
        </w:rPr>
        <w:t>’</w:t>
      </w:r>
      <w:r w:rsidRPr="00F001B0">
        <w:rPr>
          <w:lang w:val="fr-FR"/>
        </w:rPr>
        <w:t>une source d</w:t>
      </w:r>
      <w:r w:rsidR="008B6F84">
        <w:rPr>
          <w:lang w:val="fr-FR"/>
        </w:rPr>
        <w:t>’</w:t>
      </w:r>
      <w:r w:rsidRPr="00F001B0">
        <w:rPr>
          <w:lang w:val="fr-FR"/>
        </w:rPr>
        <w:t>inflammation, afin de la faire concorder avec la définition utilisée d</w:t>
      </w:r>
      <w:r w:rsidR="001C1ED6">
        <w:rPr>
          <w:lang w:val="fr-FR"/>
        </w:rPr>
        <w:t>ans les normes internationales.</w:t>
      </w:r>
    </w:p>
    <w:p w:rsidR="00CC315F" w:rsidRPr="00F001B0" w:rsidRDefault="00CC315F" w:rsidP="00CC315F">
      <w:pPr>
        <w:pStyle w:val="SingleTxtG"/>
        <w:tabs>
          <w:tab w:val="left" w:pos="1701"/>
        </w:tabs>
        <w:rPr>
          <w:lang w:val="fr-FR"/>
        </w:rPr>
      </w:pPr>
      <w:r w:rsidRPr="00F001B0">
        <w:rPr>
          <w:lang w:val="fr-FR"/>
        </w:rPr>
        <w:t>45.</w:t>
      </w:r>
      <w:r w:rsidRPr="00F001B0">
        <w:rPr>
          <w:lang w:val="fr-FR"/>
        </w:rPr>
        <w:tab/>
        <w:t>Il a été relevé que, étant donné que la définition figurait aussi dans le Règlement type, toute proposition de modification devrait être portée à l</w:t>
      </w:r>
      <w:r w:rsidR="008B6F84">
        <w:rPr>
          <w:lang w:val="fr-FR"/>
        </w:rPr>
        <w:t>’</w:t>
      </w:r>
      <w:r w:rsidRPr="00F001B0">
        <w:rPr>
          <w:lang w:val="fr-FR"/>
        </w:rPr>
        <w:t>attention du Sous-Comité d</w:t>
      </w:r>
      <w:r w:rsidR="008B6F84">
        <w:rPr>
          <w:lang w:val="fr-FR"/>
        </w:rPr>
        <w:t>’</w:t>
      </w:r>
      <w:r w:rsidRPr="00F001B0">
        <w:rPr>
          <w:lang w:val="fr-FR"/>
        </w:rPr>
        <w:t>experts du transport des marchandises dangereuses.</w:t>
      </w:r>
    </w:p>
    <w:p w:rsidR="00CC315F" w:rsidRPr="00F001B0" w:rsidRDefault="00CC315F" w:rsidP="00CC315F">
      <w:pPr>
        <w:pStyle w:val="SingleTxtG"/>
        <w:tabs>
          <w:tab w:val="left" w:pos="1701"/>
        </w:tabs>
        <w:rPr>
          <w:lang w:val="fr-FR"/>
        </w:rPr>
      </w:pPr>
      <w:r w:rsidRPr="00F001B0">
        <w:rPr>
          <w:lang w:val="fr-FR"/>
        </w:rPr>
        <w:t>46.</w:t>
      </w:r>
      <w:r w:rsidRPr="00F001B0">
        <w:rPr>
          <w:lang w:val="fr-FR"/>
        </w:rPr>
        <w:tab/>
        <w:t>Compte tenu de ces observations, et estimant qu</w:t>
      </w:r>
      <w:r w:rsidR="008B6F84">
        <w:rPr>
          <w:lang w:val="fr-FR"/>
        </w:rPr>
        <w:t>’</w:t>
      </w:r>
      <w:r w:rsidRPr="00F001B0">
        <w:rPr>
          <w:lang w:val="fr-FR"/>
        </w:rPr>
        <w:t>une solution spéciale pour l</w:t>
      </w:r>
      <w:r w:rsidR="008B6F84">
        <w:rPr>
          <w:lang w:val="fr-FR"/>
        </w:rPr>
        <w:t>’</w:t>
      </w:r>
      <w:r w:rsidRPr="00F001B0">
        <w:rPr>
          <w:lang w:val="fr-FR"/>
        </w:rPr>
        <w:t>ADN pouvait être trouvée, le représentant de l</w:t>
      </w:r>
      <w:r w:rsidR="008B6F84">
        <w:rPr>
          <w:lang w:val="fr-FR"/>
        </w:rPr>
        <w:t>’</w:t>
      </w:r>
      <w:r w:rsidRPr="00F001B0">
        <w:rPr>
          <w:lang w:val="fr-FR"/>
        </w:rPr>
        <w:t>Allemagne a retiré sa proposition.</w:t>
      </w:r>
    </w:p>
    <w:p w:rsidR="00CC315F" w:rsidRPr="00F001B0" w:rsidRDefault="00CC315F" w:rsidP="00CC315F">
      <w:pPr>
        <w:pStyle w:val="H23G"/>
        <w:rPr>
          <w:lang w:val="fr-FR"/>
        </w:rPr>
      </w:pPr>
      <w:r w:rsidRPr="00F001B0">
        <w:rPr>
          <w:lang w:val="fr-FR"/>
        </w:rPr>
        <w:tab/>
        <w:t>8.</w:t>
      </w:r>
      <w:r w:rsidRPr="00F001B0">
        <w:rPr>
          <w:lang w:val="fr-FR"/>
        </w:rPr>
        <w:tab/>
        <w:t>Amendement à la disposition spéciale CW36/CV36 du 7.5.11</w:t>
      </w:r>
    </w:p>
    <w:p w:rsidR="00CC315F" w:rsidRPr="00F001B0" w:rsidRDefault="00CC315F" w:rsidP="005B0B2A">
      <w:pPr>
        <w:pStyle w:val="SingleTxtG"/>
        <w:tabs>
          <w:tab w:val="left" w:pos="3402"/>
        </w:tabs>
        <w:ind w:left="3402" w:hanging="2268"/>
        <w:jc w:val="left"/>
        <w:rPr>
          <w:lang w:val="fr-FR"/>
        </w:rPr>
      </w:pPr>
      <w:r w:rsidRPr="00F001B0">
        <w:rPr>
          <w:i/>
          <w:lang w:val="fr-FR"/>
        </w:rPr>
        <w:t>Document informel</w:t>
      </w:r>
      <w:r w:rsidR="005B0B2A">
        <w:rPr>
          <w:i/>
          <w:iCs/>
          <w:lang w:val="fr-FR"/>
        </w:rPr>
        <w:t> </w:t>
      </w:r>
      <w:r w:rsidR="005B0B2A" w:rsidRPr="008D1FAA">
        <w:rPr>
          <w:iCs/>
          <w:lang w:val="fr-FR"/>
        </w:rPr>
        <w:t>:</w:t>
      </w:r>
      <w:r w:rsidRPr="00F001B0">
        <w:rPr>
          <w:i/>
          <w:lang w:val="fr-FR"/>
        </w:rPr>
        <w:t xml:space="preserve"> </w:t>
      </w:r>
      <w:r w:rsidRPr="00F001B0">
        <w:rPr>
          <w:i/>
          <w:lang w:val="fr-FR"/>
        </w:rPr>
        <w:tab/>
      </w:r>
      <w:r w:rsidRPr="00F001B0">
        <w:rPr>
          <w:i/>
          <w:lang w:val="fr-FR"/>
        </w:rPr>
        <w:tab/>
      </w:r>
      <w:r w:rsidRPr="00F001B0">
        <w:rPr>
          <w:lang w:val="fr-FR"/>
        </w:rPr>
        <w:t>INF.21 (Suisse)</w:t>
      </w:r>
    </w:p>
    <w:p w:rsidR="00CC315F" w:rsidRPr="00F001B0" w:rsidRDefault="00CC315F" w:rsidP="00CC315F">
      <w:pPr>
        <w:pStyle w:val="SingleTxtG"/>
        <w:tabs>
          <w:tab w:val="left" w:pos="1701"/>
        </w:tabs>
        <w:rPr>
          <w:lang w:val="fr-FR"/>
        </w:rPr>
      </w:pPr>
      <w:r w:rsidRPr="00F001B0">
        <w:rPr>
          <w:lang w:val="fr-FR"/>
        </w:rPr>
        <w:t>47.</w:t>
      </w:r>
      <w:r w:rsidRPr="00F001B0">
        <w:rPr>
          <w:lang w:val="fr-FR"/>
        </w:rPr>
        <w:tab/>
        <w:t>Les délégations ont appuyé la proposition dans son principe, mais la plupart d</w:t>
      </w:r>
      <w:r w:rsidR="008B6F84">
        <w:rPr>
          <w:lang w:val="fr-FR"/>
        </w:rPr>
        <w:t>’</w:t>
      </w:r>
      <w:r w:rsidRPr="00F001B0">
        <w:rPr>
          <w:lang w:val="fr-FR"/>
        </w:rPr>
        <w:t>entre elles étaient d</w:t>
      </w:r>
      <w:r w:rsidR="008B6F84">
        <w:rPr>
          <w:lang w:val="fr-FR"/>
        </w:rPr>
        <w:t>’</w:t>
      </w:r>
      <w:r w:rsidRPr="00F001B0">
        <w:rPr>
          <w:lang w:val="fr-FR"/>
        </w:rPr>
        <w:t>avis qu</w:t>
      </w:r>
      <w:r w:rsidR="008B6F84">
        <w:rPr>
          <w:lang w:val="fr-FR"/>
        </w:rPr>
        <w:t>’</w:t>
      </w:r>
      <w:r w:rsidRPr="00F001B0">
        <w:rPr>
          <w:lang w:val="fr-FR"/>
        </w:rPr>
        <w:t>elle devait être encore améliorée avant de pouvoir être adoptée. Le représentant de l</w:t>
      </w:r>
      <w:r w:rsidR="008B6F84">
        <w:rPr>
          <w:lang w:val="fr-FR"/>
        </w:rPr>
        <w:t>’</w:t>
      </w:r>
      <w:r w:rsidRPr="00F001B0">
        <w:rPr>
          <w:lang w:val="fr-FR"/>
        </w:rPr>
        <w:t>Allemagne a noté que les parties prenantes du secteur prévoyaient des problèmes avec les services de colis. Les représentants de l</w:t>
      </w:r>
      <w:r w:rsidR="008B6F84">
        <w:rPr>
          <w:lang w:val="fr-FR"/>
        </w:rPr>
        <w:t>’</w:t>
      </w:r>
      <w:r w:rsidRPr="00F001B0">
        <w:rPr>
          <w:lang w:val="fr-FR"/>
        </w:rPr>
        <w:t>EIGA et de l</w:t>
      </w:r>
      <w:r w:rsidR="008B6F84">
        <w:rPr>
          <w:lang w:val="fr-FR"/>
        </w:rPr>
        <w:t>’</w:t>
      </w:r>
      <w:r w:rsidRPr="00F001B0">
        <w:rPr>
          <w:lang w:val="fr-FR"/>
        </w:rPr>
        <w:t>AEGPL se sont déclarés disposés à consulter les acteurs du secteur et à aider le représentant de la Suisse à élaborer une version révisée de sa proposition pour la session d</w:t>
      </w:r>
      <w:r w:rsidR="008B6F84">
        <w:rPr>
          <w:lang w:val="fr-FR"/>
        </w:rPr>
        <w:t>’</w:t>
      </w:r>
      <w:r w:rsidRPr="00F001B0">
        <w:rPr>
          <w:lang w:val="fr-FR"/>
        </w:rPr>
        <w:t>automne. Les autres délégations intéressées ont été invitées à communiquer leurs observations par écrit au représentant de la Suisse.</w:t>
      </w:r>
    </w:p>
    <w:p w:rsidR="00CC315F" w:rsidRPr="00F001B0" w:rsidRDefault="00CC315F" w:rsidP="00CC315F">
      <w:pPr>
        <w:pStyle w:val="H23G"/>
        <w:rPr>
          <w:lang w:val="fr-FR"/>
        </w:rPr>
      </w:pPr>
      <w:r w:rsidRPr="00F001B0">
        <w:rPr>
          <w:lang w:val="fr-FR"/>
        </w:rPr>
        <w:tab/>
        <w:t>9.</w:t>
      </w:r>
      <w:r w:rsidRPr="00F001B0">
        <w:rPr>
          <w:lang w:val="fr-FR"/>
        </w:rPr>
        <w:tab/>
        <w:t>Harmonisation des différentes versions linguistiques du RID et de l</w:t>
      </w:r>
      <w:r w:rsidR="008B6F84">
        <w:rPr>
          <w:lang w:val="fr-FR"/>
        </w:rPr>
        <w:t>’</w:t>
      </w:r>
      <w:r w:rsidRPr="00F001B0">
        <w:rPr>
          <w:lang w:val="fr-FR"/>
        </w:rPr>
        <w:t>ADR</w:t>
      </w:r>
    </w:p>
    <w:p w:rsidR="00CC315F" w:rsidRPr="00F001B0" w:rsidRDefault="00CC315F" w:rsidP="005B0B2A">
      <w:pPr>
        <w:pStyle w:val="SingleTxtG"/>
        <w:tabs>
          <w:tab w:val="left" w:pos="3402"/>
        </w:tabs>
        <w:ind w:left="3402" w:hanging="2268"/>
        <w:jc w:val="left"/>
        <w:rPr>
          <w:lang w:val="fr-FR"/>
        </w:rPr>
      </w:pPr>
      <w:r w:rsidRPr="00F001B0">
        <w:rPr>
          <w:i/>
          <w:lang w:val="fr-FR"/>
        </w:rPr>
        <w:t>Document informel</w:t>
      </w:r>
      <w:r w:rsidR="005B0B2A">
        <w:rPr>
          <w:i/>
          <w:iCs/>
          <w:lang w:val="fr-FR"/>
        </w:rPr>
        <w:t> </w:t>
      </w:r>
      <w:r w:rsidR="005B0B2A" w:rsidRPr="008D1FAA">
        <w:rPr>
          <w:iCs/>
          <w:lang w:val="fr-FR"/>
        </w:rPr>
        <w:t>:</w:t>
      </w:r>
      <w:r w:rsidRPr="00F001B0">
        <w:rPr>
          <w:i/>
          <w:lang w:val="fr-FR"/>
        </w:rPr>
        <w:t xml:space="preserve"> </w:t>
      </w:r>
      <w:r w:rsidRPr="00F001B0">
        <w:rPr>
          <w:i/>
          <w:lang w:val="fr-FR"/>
        </w:rPr>
        <w:tab/>
      </w:r>
      <w:r w:rsidRPr="00F001B0">
        <w:rPr>
          <w:lang w:val="fr-FR"/>
        </w:rPr>
        <w:t>INF.22 (Italie)</w:t>
      </w:r>
    </w:p>
    <w:p w:rsidR="00CC315F" w:rsidRPr="00F001B0" w:rsidRDefault="00CC315F" w:rsidP="00CC315F">
      <w:pPr>
        <w:pStyle w:val="SingleTxtG"/>
        <w:tabs>
          <w:tab w:val="left" w:pos="1701"/>
        </w:tabs>
        <w:rPr>
          <w:lang w:val="fr-FR"/>
        </w:rPr>
      </w:pPr>
      <w:r w:rsidRPr="00F001B0">
        <w:rPr>
          <w:lang w:val="fr-FR"/>
        </w:rPr>
        <w:t>48.</w:t>
      </w:r>
      <w:r w:rsidRPr="00F001B0">
        <w:rPr>
          <w:lang w:val="fr-FR"/>
        </w:rPr>
        <w:tab/>
        <w:t>La Réunion commune a accueilli avec intérêt le document de l</w:t>
      </w:r>
      <w:r w:rsidR="008B6F84">
        <w:rPr>
          <w:lang w:val="fr-FR"/>
        </w:rPr>
        <w:t>’</w:t>
      </w:r>
      <w:r w:rsidRPr="00F001B0">
        <w:rPr>
          <w:lang w:val="fr-FR"/>
        </w:rPr>
        <w:t>Italie mais a estimé qu</w:t>
      </w:r>
      <w:r w:rsidR="008B6F84">
        <w:rPr>
          <w:lang w:val="fr-FR"/>
        </w:rPr>
        <w:t>’</w:t>
      </w:r>
      <w:r w:rsidRPr="00F001B0">
        <w:rPr>
          <w:lang w:val="fr-FR"/>
        </w:rPr>
        <w:t>il fallait plus de temps pour examiner toutes les questions soulevées. Le représentant de l</w:t>
      </w:r>
      <w:r w:rsidR="008B6F84">
        <w:rPr>
          <w:lang w:val="fr-FR"/>
        </w:rPr>
        <w:t>’</w:t>
      </w:r>
      <w:r w:rsidRPr="00F001B0">
        <w:rPr>
          <w:lang w:val="fr-FR"/>
        </w:rPr>
        <w:t>Italie a été invité à soumettre, pour la session d</w:t>
      </w:r>
      <w:r w:rsidR="008B6F84">
        <w:rPr>
          <w:lang w:val="fr-FR"/>
        </w:rPr>
        <w:t>’</w:t>
      </w:r>
      <w:r w:rsidRPr="00F001B0">
        <w:rPr>
          <w:lang w:val="fr-FR"/>
        </w:rPr>
        <w:t>automne, un document officiel qui énumérerait séparément : les questions d</w:t>
      </w:r>
      <w:r w:rsidR="008B6F84">
        <w:rPr>
          <w:lang w:val="fr-FR"/>
        </w:rPr>
        <w:t>’</w:t>
      </w:r>
      <w:r w:rsidRPr="00F001B0">
        <w:rPr>
          <w:lang w:val="fr-FR"/>
        </w:rPr>
        <w:t>ordre rédactionnel ; les questions appelant une analyse plus approfondie ; et les questions à porter à l</w:t>
      </w:r>
      <w:r w:rsidR="008B6F84">
        <w:rPr>
          <w:lang w:val="fr-FR"/>
        </w:rPr>
        <w:t>’</w:t>
      </w:r>
      <w:r w:rsidRPr="00F001B0">
        <w:rPr>
          <w:lang w:val="fr-FR"/>
        </w:rPr>
        <w:t>attention du Sous-Comité d</w:t>
      </w:r>
      <w:r w:rsidR="008B6F84">
        <w:rPr>
          <w:lang w:val="fr-FR"/>
        </w:rPr>
        <w:t>’</w:t>
      </w:r>
      <w:r w:rsidRPr="00F001B0">
        <w:rPr>
          <w:lang w:val="fr-FR"/>
        </w:rPr>
        <w:t xml:space="preserve">experts du transport des marchandises dangereuses. </w:t>
      </w:r>
    </w:p>
    <w:p w:rsidR="00CC315F" w:rsidRPr="00F001B0" w:rsidRDefault="00CC315F" w:rsidP="00CC315F">
      <w:pPr>
        <w:pStyle w:val="SingleTxtG"/>
        <w:tabs>
          <w:tab w:val="left" w:pos="1701"/>
        </w:tabs>
        <w:rPr>
          <w:lang w:val="fr-FR"/>
        </w:rPr>
      </w:pPr>
      <w:r w:rsidRPr="00F001B0">
        <w:rPr>
          <w:lang w:val="fr-FR"/>
        </w:rPr>
        <w:t>49.</w:t>
      </w:r>
      <w:r w:rsidRPr="00F001B0">
        <w:rPr>
          <w:lang w:val="fr-FR"/>
        </w:rPr>
        <w:tab/>
        <w:t>En outre, notant que le document portait uniquement sur le RID et l</w:t>
      </w:r>
      <w:r w:rsidR="008B6F84">
        <w:rPr>
          <w:lang w:val="fr-FR"/>
        </w:rPr>
        <w:t>’</w:t>
      </w:r>
      <w:r w:rsidRPr="00F001B0">
        <w:rPr>
          <w:lang w:val="fr-FR"/>
        </w:rPr>
        <w:t>ADR, la Réunion commune a prié le représentant de l</w:t>
      </w:r>
      <w:r w:rsidR="008B6F84">
        <w:rPr>
          <w:lang w:val="fr-FR"/>
        </w:rPr>
        <w:t>’</w:t>
      </w:r>
      <w:r w:rsidRPr="00F001B0">
        <w:rPr>
          <w:lang w:val="fr-FR"/>
        </w:rPr>
        <w:t>Italie d</w:t>
      </w:r>
      <w:r w:rsidR="008B6F84">
        <w:rPr>
          <w:lang w:val="fr-FR"/>
        </w:rPr>
        <w:t>’</w:t>
      </w:r>
      <w:r w:rsidRPr="00F001B0">
        <w:rPr>
          <w:lang w:val="fr-FR"/>
        </w:rPr>
        <w:t>inclure dans sa proposition révisée des propositions d</w:t>
      </w:r>
      <w:r w:rsidR="008B6F84">
        <w:rPr>
          <w:lang w:val="fr-FR"/>
        </w:rPr>
        <w:t>’</w:t>
      </w:r>
      <w:r w:rsidRPr="00F001B0">
        <w:rPr>
          <w:lang w:val="fr-FR"/>
        </w:rPr>
        <w:t>amendements à l</w:t>
      </w:r>
      <w:r w:rsidR="008B6F84">
        <w:rPr>
          <w:lang w:val="fr-FR"/>
        </w:rPr>
        <w:t>’</w:t>
      </w:r>
      <w:r w:rsidRPr="00F001B0">
        <w:rPr>
          <w:lang w:val="fr-FR"/>
        </w:rPr>
        <w:t xml:space="preserve">ADN. </w:t>
      </w:r>
    </w:p>
    <w:p w:rsidR="00CC315F" w:rsidRPr="00F001B0" w:rsidRDefault="00CC315F" w:rsidP="00CC315F">
      <w:pPr>
        <w:pStyle w:val="SingleTxtG"/>
        <w:tabs>
          <w:tab w:val="left" w:pos="1701"/>
        </w:tabs>
        <w:rPr>
          <w:lang w:val="fr-FR"/>
        </w:rPr>
      </w:pPr>
      <w:r w:rsidRPr="00F001B0">
        <w:rPr>
          <w:lang w:val="fr-FR"/>
        </w:rPr>
        <w:t>50.</w:t>
      </w:r>
      <w:r w:rsidRPr="00F001B0">
        <w:rPr>
          <w:lang w:val="fr-FR"/>
        </w:rPr>
        <w:tab/>
        <w:t>La Réunion commune a invité les délégations à communiquer leurs observations par écrit au représentant de l</w:t>
      </w:r>
      <w:r w:rsidR="008B6F84">
        <w:rPr>
          <w:lang w:val="fr-FR"/>
        </w:rPr>
        <w:t>’</w:t>
      </w:r>
      <w:r w:rsidRPr="00F001B0">
        <w:rPr>
          <w:lang w:val="fr-FR"/>
        </w:rPr>
        <w:t>Italie.</w:t>
      </w:r>
    </w:p>
    <w:p w:rsidR="00CC315F" w:rsidRPr="00F001B0" w:rsidRDefault="00CC315F" w:rsidP="00CC315F">
      <w:pPr>
        <w:pStyle w:val="H23G"/>
        <w:rPr>
          <w:lang w:val="fr-FR"/>
        </w:rPr>
      </w:pPr>
      <w:r w:rsidRPr="00F001B0">
        <w:rPr>
          <w:lang w:val="fr-FR"/>
        </w:rPr>
        <w:tab/>
        <w:t>10.</w:t>
      </w:r>
      <w:r w:rsidRPr="00F001B0">
        <w:rPr>
          <w:lang w:val="fr-FR"/>
        </w:rPr>
        <w:tab/>
        <w:t>Renvois aux Règlements de la CEE dans le RID/ADR/ADN</w:t>
      </w:r>
    </w:p>
    <w:p w:rsidR="00CC315F" w:rsidRPr="00F001B0" w:rsidRDefault="00CC315F" w:rsidP="005B0B2A">
      <w:pPr>
        <w:pStyle w:val="SingleTxtG"/>
        <w:tabs>
          <w:tab w:val="left" w:pos="3402"/>
        </w:tabs>
        <w:ind w:left="3402" w:hanging="2268"/>
        <w:jc w:val="left"/>
        <w:rPr>
          <w:lang w:val="fr-FR"/>
        </w:rPr>
      </w:pPr>
      <w:r w:rsidRPr="00F001B0">
        <w:rPr>
          <w:i/>
          <w:lang w:val="fr-FR"/>
        </w:rPr>
        <w:t>Document informel</w:t>
      </w:r>
      <w:r w:rsidR="005B0B2A">
        <w:rPr>
          <w:i/>
          <w:iCs/>
          <w:lang w:val="fr-FR"/>
        </w:rPr>
        <w:t> </w:t>
      </w:r>
      <w:r w:rsidR="005B0B2A" w:rsidRPr="008D1FAA">
        <w:rPr>
          <w:iCs/>
          <w:lang w:val="fr-FR"/>
        </w:rPr>
        <w:t>:</w:t>
      </w:r>
      <w:r w:rsidRPr="00F001B0">
        <w:rPr>
          <w:i/>
          <w:lang w:val="fr-FR"/>
        </w:rPr>
        <w:t xml:space="preserve"> </w:t>
      </w:r>
      <w:r w:rsidRPr="00F001B0">
        <w:rPr>
          <w:i/>
          <w:lang w:val="fr-FR"/>
        </w:rPr>
        <w:tab/>
      </w:r>
      <w:r w:rsidRPr="00F001B0">
        <w:rPr>
          <w:lang w:val="fr-FR"/>
        </w:rPr>
        <w:t>INF.30 (secrétariat)</w:t>
      </w:r>
    </w:p>
    <w:p w:rsidR="00CC315F" w:rsidRPr="00F001B0" w:rsidRDefault="00CC315F" w:rsidP="00CC315F">
      <w:pPr>
        <w:pStyle w:val="SingleTxtG"/>
        <w:tabs>
          <w:tab w:val="left" w:pos="1701"/>
        </w:tabs>
        <w:rPr>
          <w:lang w:val="fr-FR"/>
        </w:rPr>
      </w:pPr>
      <w:r w:rsidRPr="00F001B0">
        <w:rPr>
          <w:lang w:val="fr-FR"/>
        </w:rPr>
        <w:t>51.</w:t>
      </w:r>
      <w:r w:rsidRPr="00F001B0">
        <w:rPr>
          <w:lang w:val="fr-FR"/>
        </w:rPr>
        <w:tab/>
        <w:t xml:space="preserve">La Réunion commune a adopté les amendements proposés par le secrétariat, pour </w:t>
      </w:r>
      <w:proofErr w:type="spellStart"/>
      <w:r w:rsidRPr="00F001B0">
        <w:rPr>
          <w:lang w:val="fr-FR"/>
        </w:rPr>
        <w:t>entrée</w:t>
      </w:r>
      <w:proofErr w:type="spellEnd"/>
      <w:r w:rsidRPr="00F001B0">
        <w:rPr>
          <w:lang w:val="fr-FR"/>
        </w:rPr>
        <w:t xml:space="preserve"> en vigueur le 1</w:t>
      </w:r>
      <w:r w:rsidRPr="00F001B0">
        <w:rPr>
          <w:vertAlign w:val="superscript"/>
          <w:lang w:val="fr-FR"/>
        </w:rPr>
        <w:t>er</w:t>
      </w:r>
      <w:r w:rsidRPr="00F001B0">
        <w:rPr>
          <w:lang w:val="fr-FR"/>
        </w:rPr>
        <w:t xml:space="preserve"> janvier 2019 (voir annexe II).</w:t>
      </w:r>
    </w:p>
    <w:p w:rsidR="00CC315F" w:rsidRPr="00F001B0" w:rsidRDefault="00CC315F" w:rsidP="00CC315F">
      <w:pPr>
        <w:pStyle w:val="H23G"/>
        <w:rPr>
          <w:lang w:val="fr-FR"/>
        </w:rPr>
      </w:pPr>
      <w:r w:rsidRPr="00F001B0">
        <w:rPr>
          <w:lang w:val="fr-FR"/>
        </w:rPr>
        <w:tab/>
        <w:t>11.</w:t>
      </w:r>
      <w:r w:rsidRPr="00F001B0">
        <w:rPr>
          <w:lang w:val="fr-FR"/>
        </w:rPr>
        <w:tab/>
        <w:t>Corrections adoptées par le Sous-Comité d</w:t>
      </w:r>
      <w:r w:rsidR="008B6F84">
        <w:rPr>
          <w:lang w:val="fr-FR"/>
        </w:rPr>
        <w:t>’</w:t>
      </w:r>
      <w:r w:rsidRPr="00F001B0">
        <w:rPr>
          <w:lang w:val="fr-FR"/>
        </w:rPr>
        <w:t>experts du transport</w:t>
      </w:r>
      <w:r w:rsidR="007559CC">
        <w:rPr>
          <w:lang w:val="fr-FR"/>
        </w:rPr>
        <w:t xml:space="preserve"> </w:t>
      </w:r>
      <w:r w:rsidRPr="00F001B0">
        <w:rPr>
          <w:lang w:val="fr-FR"/>
        </w:rPr>
        <w:t>des marchandises dangereuses</w:t>
      </w:r>
    </w:p>
    <w:p w:rsidR="00CC315F" w:rsidRPr="00F001B0" w:rsidRDefault="00CC315F" w:rsidP="005B0B2A">
      <w:pPr>
        <w:pStyle w:val="SingleTxtG"/>
        <w:tabs>
          <w:tab w:val="left" w:pos="3402"/>
        </w:tabs>
        <w:ind w:left="3402" w:hanging="2268"/>
        <w:jc w:val="left"/>
        <w:rPr>
          <w:lang w:val="fr-FR"/>
        </w:rPr>
      </w:pPr>
      <w:r w:rsidRPr="00F001B0">
        <w:rPr>
          <w:i/>
          <w:lang w:val="fr-FR"/>
        </w:rPr>
        <w:t>Document informel</w:t>
      </w:r>
      <w:r w:rsidR="004E554C">
        <w:rPr>
          <w:i/>
          <w:iCs/>
          <w:lang w:val="fr-FR"/>
        </w:rPr>
        <w:t> </w:t>
      </w:r>
      <w:r w:rsidR="004E554C" w:rsidRPr="008D1FAA">
        <w:rPr>
          <w:iCs/>
          <w:lang w:val="fr-FR"/>
        </w:rPr>
        <w:t>:</w:t>
      </w:r>
      <w:r w:rsidRPr="00F001B0">
        <w:rPr>
          <w:i/>
          <w:lang w:val="fr-FR"/>
        </w:rPr>
        <w:t xml:space="preserve"> </w:t>
      </w:r>
      <w:r w:rsidRPr="00F001B0">
        <w:rPr>
          <w:i/>
          <w:lang w:val="fr-FR"/>
        </w:rPr>
        <w:tab/>
      </w:r>
      <w:r w:rsidRPr="00F001B0">
        <w:rPr>
          <w:lang w:val="fr-FR"/>
        </w:rPr>
        <w:t>INF.31 (secrétariat)</w:t>
      </w:r>
    </w:p>
    <w:p w:rsidR="00CC315F" w:rsidRPr="00F001B0" w:rsidRDefault="00CC315F" w:rsidP="00CC315F">
      <w:pPr>
        <w:pStyle w:val="SingleTxtG"/>
        <w:tabs>
          <w:tab w:val="left" w:pos="1701"/>
        </w:tabs>
        <w:rPr>
          <w:lang w:val="fr-FR"/>
        </w:rPr>
      </w:pPr>
      <w:r w:rsidRPr="00F001B0">
        <w:rPr>
          <w:lang w:val="fr-FR"/>
        </w:rPr>
        <w:t>52.</w:t>
      </w:r>
      <w:r w:rsidRPr="00F001B0">
        <w:rPr>
          <w:lang w:val="fr-FR"/>
        </w:rPr>
        <w:tab/>
        <w:t>La Réunion commune a pris note des corrections à la vingtième édition révisée du Règlement type adoptées par le Sous-Comité d</w:t>
      </w:r>
      <w:r w:rsidR="008B6F84">
        <w:rPr>
          <w:lang w:val="fr-FR"/>
        </w:rPr>
        <w:t>’</w:t>
      </w:r>
      <w:r w:rsidRPr="00F001B0">
        <w:rPr>
          <w:lang w:val="fr-FR"/>
        </w:rPr>
        <w:t>experts du transport des marchandises dangereuses qui étaient également pertinentes pour l</w:t>
      </w:r>
      <w:r w:rsidR="008B6F84">
        <w:rPr>
          <w:lang w:val="fr-FR"/>
        </w:rPr>
        <w:t>’</w:t>
      </w:r>
      <w:r w:rsidRPr="00F001B0">
        <w:rPr>
          <w:lang w:val="fr-FR"/>
        </w:rPr>
        <w:t>édition de 2019 du RID, de l</w:t>
      </w:r>
      <w:r w:rsidR="008B6F84">
        <w:rPr>
          <w:lang w:val="fr-FR"/>
        </w:rPr>
        <w:t>’</w:t>
      </w:r>
      <w:r w:rsidRPr="00F001B0">
        <w:rPr>
          <w:lang w:val="fr-FR"/>
        </w:rPr>
        <w:t>ADR et de l</w:t>
      </w:r>
      <w:r w:rsidR="008B6F84">
        <w:rPr>
          <w:lang w:val="fr-FR"/>
        </w:rPr>
        <w:t>’</w:t>
      </w:r>
      <w:r w:rsidRPr="00F001B0">
        <w:rPr>
          <w:lang w:val="fr-FR"/>
        </w:rPr>
        <w:t>ADN (voir annexe II).</w:t>
      </w:r>
    </w:p>
    <w:p w:rsidR="00CC315F" w:rsidRPr="00F001B0" w:rsidRDefault="00CC315F" w:rsidP="00CC315F">
      <w:pPr>
        <w:pStyle w:val="H23G"/>
        <w:rPr>
          <w:lang w:val="fr-FR"/>
        </w:rPr>
      </w:pPr>
      <w:r w:rsidRPr="00F001B0">
        <w:rPr>
          <w:lang w:val="fr-FR"/>
        </w:rPr>
        <w:tab/>
        <w:t>12.</w:t>
      </w:r>
      <w:r w:rsidRPr="00F001B0">
        <w:rPr>
          <w:lang w:val="fr-FR"/>
        </w:rPr>
        <w:tab/>
        <w:t>Amendements au 5.4.1.1.1</w:t>
      </w:r>
    </w:p>
    <w:p w:rsidR="00CC315F" w:rsidRPr="00F001B0" w:rsidRDefault="00CC315F" w:rsidP="005B0B2A">
      <w:pPr>
        <w:pStyle w:val="SingleTxtG"/>
        <w:tabs>
          <w:tab w:val="left" w:pos="3402"/>
        </w:tabs>
        <w:ind w:left="3402" w:hanging="2268"/>
        <w:jc w:val="left"/>
        <w:rPr>
          <w:lang w:val="fr-FR"/>
        </w:rPr>
      </w:pPr>
      <w:r w:rsidRPr="00F001B0">
        <w:rPr>
          <w:i/>
          <w:lang w:val="fr-FR"/>
        </w:rPr>
        <w:t>Documents informels</w:t>
      </w:r>
      <w:r w:rsidR="004E554C">
        <w:rPr>
          <w:i/>
          <w:iCs/>
          <w:lang w:val="fr-FR"/>
        </w:rPr>
        <w:t> </w:t>
      </w:r>
      <w:r w:rsidR="004E554C" w:rsidRPr="008D1FAA">
        <w:rPr>
          <w:iCs/>
          <w:lang w:val="fr-FR"/>
        </w:rPr>
        <w:t>:</w:t>
      </w:r>
      <w:r w:rsidRPr="00F001B0">
        <w:rPr>
          <w:i/>
          <w:lang w:val="fr-FR"/>
        </w:rPr>
        <w:tab/>
      </w:r>
      <w:r w:rsidRPr="00F001B0">
        <w:rPr>
          <w:lang w:val="fr-FR"/>
        </w:rPr>
        <w:t>INF.33 (Ukraine)</w:t>
      </w:r>
      <w:r w:rsidR="004E554C">
        <w:rPr>
          <w:lang w:val="fr-FR"/>
        </w:rPr>
        <w:br/>
      </w:r>
      <w:r w:rsidRPr="00F001B0">
        <w:rPr>
          <w:i/>
          <w:lang w:val="fr-FR"/>
        </w:rPr>
        <w:tab/>
      </w:r>
      <w:r w:rsidRPr="00F001B0">
        <w:rPr>
          <w:lang w:val="fr-FR"/>
        </w:rPr>
        <w:t>INF.35 (secrétariat)</w:t>
      </w:r>
    </w:p>
    <w:p w:rsidR="00CC315F" w:rsidRPr="00F001B0" w:rsidRDefault="00CC315F" w:rsidP="00CC315F">
      <w:pPr>
        <w:pStyle w:val="SingleTxtG"/>
        <w:tabs>
          <w:tab w:val="left" w:pos="1701"/>
        </w:tabs>
        <w:rPr>
          <w:lang w:val="fr-FR"/>
        </w:rPr>
      </w:pPr>
      <w:r w:rsidRPr="00F001B0">
        <w:rPr>
          <w:lang w:val="fr-FR"/>
        </w:rPr>
        <w:t>53.</w:t>
      </w:r>
      <w:r w:rsidRPr="00F001B0">
        <w:rPr>
          <w:lang w:val="fr-FR"/>
        </w:rPr>
        <w:tab/>
        <w:t>Le représentant de l</w:t>
      </w:r>
      <w:r w:rsidR="008B6F84">
        <w:rPr>
          <w:lang w:val="fr-FR"/>
        </w:rPr>
        <w:t>’</w:t>
      </w:r>
      <w:r w:rsidRPr="00F001B0">
        <w:rPr>
          <w:lang w:val="fr-FR"/>
        </w:rPr>
        <w:t>Ukraine n</w:t>
      </w:r>
      <w:r w:rsidR="008B6F84">
        <w:rPr>
          <w:lang w:val="fr-FR"/>
        </w:rPr>
        <w:t>’</w:t>
      </w:r>
      <w:r w:rsidRPr="00F001B0">
        <w:rPr>
          <w:lang w:val="fr-FR"/>
        </w:rPr>
        <w:t>ayant pas assisté à la session, la Réunion commune a décidé de reporter l</w:t>
      </w:r>
      <w:r w:rsidR="008B6F84">
        <w:rPr>
          <w:lang w:val="fr-FR"/>
        </w:rPr>
        <w:t>’</w:t>
      </w:r>
      <w:r w:rsidRPr="00F001B0">
        <w:rPr>
          <w:lang w:val="fr-FR"/>
        </w:rPr>
        <w:t>examen de cette proposition à sa session suivante, sous réserve qu</w:t>
      </w:r>
      <w:r w:rsidR="008B6F84">
        <w:rPr>
          <w:lang w:val="fr-FR"/>
        </w:rPr>
        <w:t>’</w:t>
      </w:r>
      <w:r w:rsidRPr="00F001B0">
        <w:rPr>
          <w:lang w:val="fr-FR"/>
        </w:rPr>
        <w:t>elle soit soumise dans un document portant une cote officielle.</w:t>
      </w:r>
    </w:p>
    <w:p w:rsidR="00CC315F" w:rsidRPr="00F001B0" w:rsidRDefault="00CC315F" w:rsidP="00CC315F">
      <w:pPr>
        <w:pStyle w:val="H23G"/>
        <w:rPr>
          <w:lang w:val="fr-FR"/>
        </w:rPr>
      </w:pPr>
      <w:r w:rsidRPr="00F001B0">
        <w:rPr>
          <w:lang w:val="fr-FR"/>
        </w:rPr>
        <w:tab/>
        <w:t>13.</w:t>
      </w:r>
      <w:r w:rsidRPr="00F001B0">
        <w:rPr>
          <w:lang w:val="fr-FR"/>
        </w:rPr>
        <w:tab/>
        <w:t>Emballage de présentation de quantités limitées</w:t>
      </w:r>
    </w:p>
    <w:p w:rsidR="00CC315F" w:rsidRPr="00F001B0" w:rsidRDefault="00CC315F" w:rsidP="004E554C">
      <w:pPr>
        <w:pStyle w:val="SingleTxtG"/>
        <w:tabs>
          <w:tab w:val="left" w:pos="3402"/>
        </w:tabs>
        <w:ind w:left="3402" w:hanging="2268"/>
        <w:jc w:val="left"/>
        <w:rPr>
          <w:lang w:val="fr-FR"/>
        </w:rPr>
      </w:pPr>
      <w:r w:rsidRPr="00F001B0">
        <w:rPr>
          <w:i/>
          <w:lang w:val="fr-FR"/>
        </w:rPr>
        <w:t>Document informel</w:t>
      </w:r>
      <w:r w:rsidR="004E554C">
        <w:rPr>
          <w:i/>
          <w:iCs/>
          <w:lang w:val="fr-FR"/>
        </w:rPr>
        <w:t> </w:t>
      </w:r>
      <w:r w:rsidR="004E554C" w:rsidRPr="008D1FAA">
        <w:rPr>
          <w:iCs/>
          <w:lang w:val="fr-FR"/>
        </w:rPr>
        <w:t>:</w:t>
      </w:r>
      <w:r w:rsidRPr="00F001B0">
        <w:rPr>
          <w:lang w:val="fr-FR"/>
        </w:rPr>
        <w:tab/>
        <w:t>INF.46 (COSTHA)</w:t>
      </w:r>
    </w:p>
    <w:p w:rsidR="00CC315F" w:rsidRPr="00F001B0" w:rsidRDefault="00CC315F" w:rsidP="00CC315F">
      <w:pPr>
        <w:pStyle w:val="SingleTxtG"/>
        <w:rPr>
          <w:lang w:val="fr-FR"/>
        </w:rPr>
      </w:pPr>
      <w:r w:rsidRPr="00F001B0">
        <w:rPr>
          <w:lang w:val="fr-FR"/>
        </w:rPr>
        <w:t>54.</w:t>
      </w:r>
      <w:r w:rsidRPr="00F001B0">
        <w:rPr>
          <w:lang w:val="fr-FR"/>
        </w:rPr>
        <w:tab/>
      </w:r>
      <w:r w:rsidRPr="00F001B0">
        <w:rPr>
          <w:rFonts w:eastAsia="SimSun"/>
          <w:lang w:val="fr-FR" w:eastAsia="zh-CN"/>
        </w:rPr>
        <w:t>Faute de temps, la</w:t>
      </w:r>
      <w:r w:rsidRPr="00F001B0">
        <w:rPr>
          <w:lang w:val="fr-FR"/>
        </w:rPr>
        <w:t xml:space="preserve"> </w:t>
      </w:r>
      <w:r w:rsidRPr="00F001B0">
        <w:rPr>
          <w:rFonts w:eastAsia="SimSun"/>
          <w:lang w:val="fr-FR" w:eastAsia="zh-CN"/>
        </w:rPr>
        <w:t>Réunion commune n</w:t>
      </w:r>
      <w:r w:rsidR="008B6F84">
        <w:rPr>
          <w:rFonts w:eastAsia="SimSun"/>
          <w:lang w:val="fr-FR" w:eastAsia="zh-CN"/>
        </w:rPr>
        <w:t>’</w:t>
      </w:r>
      <w:r w:rsidRPr="00F001B0">
        <w:rPr>
          <w:rFonts w:eastAsia="SimSun"/>
          <w:lang w:val="fr-FR" w:eastAsia="zh-CN"/>
        </w:rPr>
        <w:t>a pas été en mesure d</w:t>
      </w:r>
      <w:r w:rsidR="008B6F84">
        <w:rPr>
          <w:rFonts w:eastAsia="SimSun"/>
          <w:lang w:val="fr-FR" w:eastAsia="zh-CN"/>
        </w:rPr>
        <w:t>’</w:t>
      </w:r>
      <w:r w:rsidRPr="00F001B0">
        <w:rPr>
          <w:rFonts w:eastAsia="SimSun"/>
          <w:lang w:val="fr-FR" w:eastAsia="zh-CN"/>
        </w:rPr>
        <w:t>examiner ce document. Le représentant du COSTHA a été invité à le soumettre à nouveau pour examen à la session suivante</w:t>
      </w:r>
      <w:r w:rsidRPr="00F001B0">
        <w:rPr>
          <w:lang w:val="fr-FR"/>
        </w:rPr>
        <w:t>.</w:t>
      </w:r>
    </w:p>
    <w:p w:rsidR="00CC315F" w:rsidRPr="00F001B0" w:rsidRDefault="00CC315F" w:rsidP="00CC315F">
      <w:pPr>
        <w:pStyle w:val="HChG"/>
        <w:rPr>
          <w:lang w:val="fr-FR"/>
        </w:rPr>
      </w:pPr>
      <w:r w:rsidRPr="00F001B0">
        <w:rPr>
          <w:lang w:val="fr-FR"/>
        </w:rPr>
        <w:tab/>
        <w:t>VII.</w:t>
      </w:r>
      <w:r w:rsidRPr="00F001B0">
        <w:rPr>
          <w:lang w:val="fr-FR"/>
        </w:rPr>
        <w:tab/>
        <w:t xml:space="preserve">Rapports des groupes de travail informels </w:t>
      </w:r>
      <w:r w:rsidRPr="00F001B0">
        <w:rPr>
          <w:lang w:val="fr-FR"/>
        </w:rPr>
        <w:br/>
        <w:t>(point 6 de l</w:t>
      </w:r>
      <w:r w:rsidR="008B6F84">
        <w:rPr>
          <w:lang w:val="fr-FR"/>
        </w:rPr>
        <w:t>’</w:t>
      </w:r>
      <w:r w:rsidRPr="00F001B0">
        <w:rPr>
          <w:lang w:val="fr-FR"/>
        </w:rPr>
        <w:t>ordre du jour)</w:t>
      </w:r>
    </w:p>
    <w:p w:rsidR="00CC315F" w:rsidRPr="00F001B0" w:rsidRDefault="00CC315F" w:rsidP="00CC315F">
      <w:pPr>
        <w:pStyle w:val="H1G"/>
        <w:rPr>
          <w:lang w:val="fr-FR"/>
        </w:rPr>
      </w:pPr>
      <w:r w:rsidRPr="00F001B0">
        <w:rPr>
          <w:lang w:val="fr-FR"/>
        </w:rPr>
        <w:tab/>
        <w:t>A.</w:t>
      </w:r>
      <w:r w:rsidRPr="00F001B0">
        <w:rPr>
          <w:lang w:val="fr-FR"/>
        </w:rPr>
        <w:tab/>
        <w:t>Transport de récipients à pression agréés par le Département des transports des États-Unis d</w:t>
      </w:r>
      <w:r w:rsidR="008B6F84">
        <w:rPr>
          <w:lang w:val="fr-FR"/>
        </w:rPr>
        <w:t>’</w:t>
      </w:r>
      <w:r w:rsidRPr="00F001B0">
        <w:rPr>
          <w:lang w:val="fr-FR"/>
        </w:rPr>
        <w:t>Amérique</w:t>
      </w:r>
    </w:p>
    <w:p w:rsidR="00CC315F" w:rsidRPr="00F001B0" w:rsidRDefault="00CC315F" w:rsidP="004E554C">
      <w:pPr>
        <w:pStyle w:val="SingleTxtG"/>
        <w:tabs>
          <w:tab w:val="left" w:pos="3402"/>
        </w:tabs>
        <w:ind w:left="3402" w:hanging="2268"/>
        <w:jc w:val="left"/>
        <w:rPr>
          <w:lang w:val="fr-FR"/>
        </w:rPr>
      </w:pPr>
      <w:r w:rsidRPr="00F001B0">
        <w:rPr>
          <w:i/>
          <w:iCs/>
          <w:lang w:val="fr-FR"/>
        </w:rPr>
        <w:t>Document</w:t>
      </w:r>
      <w:r w:rsidR="004E554C">
        <w:rPr>
          <w:i/>
          <w:iCs/>
          <w:lang w:val="fr-FR"/>
        </w:rPr>
        <w:t> </w:t>
      </w:r>
      <w:r w:rsidR="004E554C" w:rsidRPr="008D1FAA">
        <w:rPr>
          <w:iCs/>
          <w:lang w:val="fr-FR"/>
        </w:rPr>
        <w:t>:</w:t>
      </w:r>
      <w:r w:rsidRPr="00F001B0">
        <w:rPr>
          <w:i/>
          <w:iCs/>
          <w:lang w:val="fr-FR"/>
        </w:rPr>
        <w:tab/>
      </w:r>
      <w:r w:rsidRPr="00F001B0">
        <w:rPr>
          <w:lang w:val="fr-FR"/>
        </w:rPr>
        <w:t xml:space="preserve">ECE/TRANS/WP.15/AC.1/2018/3 (EIGA) </w:t>
      </w:r>
    </w:p>
    <w:p w:rsidR="00CC315F" w:rsidRPr="00F001B0" w:rsidRDefault="00CC315F" w:rsidP="00CC315F">
      <w:pPr>
        <w:pStyle w:val="SingleTxtG"/>
        <w:rPr>
          <w:lang w:val="fr-FR"/>
        </w:rPr>
      </w:pPr>
      <w:r w:rsidRPr="00F001B0">
        <w:rPr>
          <w:lang w:val="fr-FR"/>
        </w:rPr>
        <w:t>55.</w:t>
      </w:r>
      <w:r w:rsidRPr="00F001B0">
        <w:rPr>
          <w:lang w:val="fr-FR"/>
        </w:rPr>
        <w:tab/>
        <w:t>La Réunion commune a noté que les activités de réglementation se poursuivaient aux États-Unis d</w:t>
      </w:r>
      <w:r w:rsidR="008B6F84">
        <w:rPr>
          <w:lang w:val="fr-FR"/>
        </w:rPr>
        <w:t>’</w:t>
      </w:r>
      <w:r w:rsidRPr="00F001B0">
        <w:rPr>
          <w:lang w:val="fr-FR"/>
        </w:rPr>
        <w:t xml:space="preserve">Amérique. </w:t>
      </w:r>
    </w:p>
    <w:p w:rsidR="00CC315F" w:rsidRPr="00F001B0" w:rsidRDefault="00CC315F" w:rsidP="00CC315F">
      <w:pPr>
        <w:pStyle w:val="SingleTxtG"/>
        <w:rPr>
          <w:lang w:val="fr-FR"/>
        </w:rPr>
      </w:pPr>
      <w:r w:rsidRPr="00F001B0">
        <w:rPr>
          <w:lang w:val="fr-FR"/>
        </w:rPr>
        <w:t>56.</w:t>
      </w:r>
      <w:r w:rsidRPr="00F001B0">
        <w:rPr>
          <w:lang w:val="fr-FR"/>
        </w:rPr>
        <w:tab/>
        <w:t>Certaines délégations ont exprimé des préoccupations au sujet de la nouvelle disposition proposée à l</w:t>
      </w:r>
      <w:r w:rsidR="008B6F84">
        <w:rPr>
          <w:lang w:val="fr-FR"/>
        </w:rPr>
        <w:t>’</w:t>
      </w:r>
      <w:r w:rsidRPr="00F001B0">
        <w:rPr>
          <w:lang w:val="fr-FR"/>
        </w:rPr>
        <w:t>alinéa e) du paragraphe 8 du document. La Réunion commune a fait observer que les efforts devaient se poursuivre pour que les récipients à pression « UN » soient utilisés dans le monde entier, ce qui était le seul moyen d</w:t>
      </w:r>
      <w:r w:rsidR="008B6F84">
        <w:rPr>
          <w:lang w:val="fr-FR"/>
        </w:rPr>
        <w:t>’</w:t>
      </w:r>
      <w:r w:rsidRPr="00F001B0">
        <w:rPr>
          <w:lang w:val="fr-FR"/>
        </w:rPr>
        <w:t>assurer une harmonisation à l</w:t>
      </w:r>
      <w:r w:rsidR="008B6F84">
        <w:rPr>
          <w:lang w:val="fr-FR"/>
        </w:rPr>
        <w:t>’</w:t>
      </w:r>
      <w:r w:rsidRPr="00F001B0">
        <w:rPr>
          <w:lang w:val="fr-FR"/>
        </w:rPr>
        <w:t>échelle mondiale.</w:t>
      </w:r>
    </w:p>
    <w:p w:rsidR="00CC315F" w:rsidRPr="00F001B0" w:rsidRDefault="00CC315F" w:rsidP="00CC315F">
      <w:pPr>
        <w:pStyle w:val="SingleTxtG"/>
        <w:rPr>
          <w:lang w:val="fr-FR"/>
        </w:rPr>
      </w:pPr>
      <w:r w:rsidRPr="00F001B0">
        <w:rPr>
          <w:lang w:val="fr-FR"/>
        </w:rPr>
        <w:t>57.</w:t>
      </w:r>
      <w:r w:rsidRPr="00F001B0">
        <w:rPr>
          <w:lang w:val="fr-FR"/>
        </w:rPr>
        <w:tab/>
        <w:t>À l</w:t>
      </w:r>
      <w:r w:rsidR="008B6F84">
        <w:rPr>
          <w:lang w:val="fr-FR"/>
        </w:rPr>
        <w:t>’</w:t>
      </w:r>
      <w:r w:rsidRPr="00F001B0">
        <w:rPr>
          <w:lang w:val="fr-FR"/>
        </w:rPr>
        <w:t>issue d</w:t>
      </w:r>
      <w:r w:rsidR="008B6F84">
        <w:rPr>
          <w:lang w:val="fr-FR"/>
        </w:rPr>
        <w:t>’</w:t>
      </w:r>
      <w:r w:rsidRPr="00F001B0">
        <w:rPr>
          <w:lang w:val="fr-FR"/>
        </w:rPr>
        <w:t>un débat, la Réunion commune a estimé que, pour avancer sur la question, un document comparant les propositions d</w:t>
      </w:r>
      <w:r w:rsidR="008B6F84">
        <w:rPr>
          <w:lang w:val="fr-FR"/>
        </w:rPr>
        <w:t>’</w:t>
      </w:r>
      <w:r w:rsidRPr="00F001B0">
        <w:rPr>
          <w:lang w:val="fr-FR"/>
        </w:rPr>
        <w:t>amendements au titre 49 du Code des règlements fédéraux des États-Unis à celles envisagées pour le RID, l</w:t>
      </w:r>
      <w:r w:rsidR="008B6F84">
        <w:rPr>
          <w:lang w:val="fr-FR"/>
        </w:rPr>
        <w:t>’</w:t>
      </w:r>
      <w:r w:rsidRPr="00F001B0">
        <w:rPr>
          <w:lang w:val="fr-FR"/>
        </w:rPr>
        <w:t>ADR et l</w:t>
      </w:r>
      <w:r w:rsidR="008B6F84">
        <w:rPr>
          <w:lang w:val="fr-FR"/>
        </w:rPr>
        <w:t>’</w:t>
      </w:r>
      <w:r w:rsidRPr="00F001B0">
        <w:rPr>
          <w:lang w:val="fr-FR"/>
        </w:rPr>
        <w:t>ADN (par exemple sous forme de tableau à deux colonnes) devrait être soumis pour examen à la session d</w:t>
      </w:r>
      <w:r w:rsidR="008B6F84">
        <w:rPr>
          <w:lang w:val="fr-FR"/>
        </w:rPr>
        <w:t>’</w:t>
      </w:r>
      <w:r w:rsidRPr="00F001B0">
        <w:rPr>
          <w:lang w:val="fr-FR"/>
        </w:rPr>
        <w:t>automne. Ce document permettrait aux délégations de s</w:t>
      </w:r>
      <w:r w:rsidR="008B6F84">
        <w:rPr>
          <w:lang w:val="fr-FR"/>
        </w:rPr>
        <w:t>’</w:t>
      </w:r>
      <w:r w:rsidRPr="00F001B0">
        <w:rPr>
          <w:lang w:val="fr-FR"/>
        </w:rPr>
        <w:t>assurer que les principes de réciprocité et de reconnaissance mutuelle des organismes de contrôle étaient respectés et qu</w:t>
      </w:r>
      <w:r w:rsidR="008B6F84">
        <w:rPr>
          <w:lang w:val="fr-FR"/>
        </w:rPr>
        <w:t>’</w:t>
      </w:r>
      <w:r w:rsidRPr="00F001B0">
        <w:rPr>
          <w:lang w:val="fr-FR"/>
        </w:rPr>
        <w:t>il ne restait pas de questions techniques à régler. Le représentant de l</w:t>
      </w:r>
      <w:r w:rsidR="008B6F84">
        <w:rPr>
          <w:lang w:val="fr-FR"/>
        </w:rPr>
        <w:t>’</w:t>
      </w:r>
      <w:r w:rsidRPr="00F001B0">
        <w:rPr>
          <w:lang w:val="fr-FR"/>
        </w:rPr>
        <w:t>EIGA a déclaré qu</w:t>
      </w:r>
      <w:r w:rsidR="008B6F84">
        <w:rPr>
          <w:lang w:val="fr-FR"/>
        </w:rPr>
        <w:t>’</w:t>
      </w:r>
      <w:r w:rsidRPr="00F001B0">
        <w:rPr>
          <w:lang w:val="fr-FR"/>
        </w:rPr>
        <w:t>il poursuivrait sa collaboration avec l</w:t>
      </w:r>
      <w:r w:rsidR="008B6F84">
        <w:rPr>
          <w:lang w:val="fr-FR"/>
        </w:rPr>
        <w:t>’</w:t>
      </w:r>
      <w:r w:rsidRPr="00F001B0">
        <w:rPr>
          <w:lang w:val="fr-FR"/>
        </w:rPr>
        <w:t>industrie et les représentants des États-Unis d</w:t>
      </w:r>
      <w:r w:rsidR="008B6F84">
        <w:rPr>
          <w:lang w:val="fr-FR"/>
        </w:rPr>
        <w:t>’</w:t>
      </w:r>
      <w:r w:rsidRPr="00F001B0">
        <w:rPr>
          <w:lang w:val="fr-FR"/>
        </w:rPr>
        <w:t>Amérique en vue de fournir ces informations à la session suivante.</w:t>
      </w:r>
    </w:p>
    <w:p w:rsidR="00CC315F" w:rsidRPr="00F001B0" w:rsidRDefault="00CC315F" w:rsidP="00CC315F">
      <w:pPr>
        <w:pStyle w:val="H1G"/>
        <w:rPr>
          <w:lang w:val="fr-FR"/>
        </w:rPr>
      </w:pPr>
      <w:r w:rsidRPr="00F001B0">
        <w:rPr>
          <w:lang w:val="fr-FR"/>
        </w:rPr>
        <w:tab/>
        <w:t>B.</w:t>
      </w:r>
      <w:r w:rsidRPr="00F001B0">
        <w:rPr>
          <w:lang w:val="fr-FR"/>
        </w:rPr>
        <w:tab/>
        <w:t>Rapport du groupe de travail informel sur les définitions des termes « risque » et « danger » dans le cadre du RID, de l</w:t>
      </w:r>
      <w:r w:rsidR="008B6F84">
        <w:rPr>
          <w:lang w:val="fr-FR"/>
        </w:rPr>
        <w:t>’</w:t>
      </w:r>
      <w:r w:rsidRPr="00F001B0">
        <w:rPr>
          <w:lang w:val="fr-FR"/>
        </w:rPr>
        <w:t>ADR et de l</w:t>
      </w:r>
      <w:r w:rsidR="008B6F84">
        <w:rPr>
          <w:lang w:val="fr-FR"/>
        </w:rPr>
        <w:t>’</w:t>
      </w:r>
      <w:r w:rsidRPr="00F001B0">
        <w:rPr>
          <w:lang w:val="fr-FR"/>
        </w:rPr>
        <w:t>ADN</w:t>
      </w:r>
    </w:p>
    <w:p w:rsidR="00CC315F" w:rsidRPr="00F001B0" w:rsidRDefault="00CC315F" w:rsidP="004E554C">
      <w:pPr>
        <w:pStyle w:val="SingleTxtG"/>
        <w:tabs>
          <w:tab w:val="left" w:pos="3402"/>
        </w:tabs>
        <w:ind w:left="3402" w:hanging="2268"/>
        <w:jc w:val="left"/>
        <w:rPr>
          <w:lang w:val="fr-FR"/>
        </w:rPr>
      </w:pPr>
      <w:r w:rsidRPr="00F001B0">
        <w:rPr>
          <w:i/>
          <w:iCs/>
          <w:lang w:val="fr-FR"/>
        </w:rPr>
        <w:t>Document informel</w:t>
      </w:r>
      <w:r w:rsidR="004E554C">
        <w:rPr>
          <w:i/>
          <w:iCs/>
          <w:lang w:val="fr-FR"/>
        </w:rPr>
        <w:t> </w:t>
      </w:r>
      <w:r w:rsidR="004E554C" w:rsidRPr="008D1FAA">
        <w:rPr>
          <w:iCs/>
          <w:lang w:val="fr-FR"/>
        </w:rPr>
        <w:t>:</w:t>
      </w:r>
      <w:r w:rsidRPr="00F001B0">
        <w:rPr>
          <w:i/>
          <w:iCs/>
          <w:lang w:val="fr-FR"/>
        </w:rPr>
        <w:tab/>
      </w:r>
      <w:r w:rsidR="004E554C">
        <w:rPr>
          <w:lang w:val="fr-FR"/>
        </w:rPr>
        <w:t>INF.13 (Roumanie, UIC)</w:t>
      </w:r>
    </w:p>
    <w:p w:rsidR="00CC315F" w:rsidRPr="00F001B0" w:rsidRDefault="00CC315F" w:rsidP="00CC315F">
      <w:pPr>
        <w:pStyle w:val="SingleTxtG"/>
        <w:tabs>
          <w:tab w:val="left" w:pos="1701"/>
          <w:tab w:val="left" w:pos="3402"/>
        </w:tabs>
        <w:rPr>
          <w:iCs/>
          <w:lang w:val="fr-FR"/>
        </w:rPr>
      </w:pPr>
      <w:r w:rsidRPr="00F001B0">
        <w:rPr>
          <w:iCs/>
          <w:lang w:val="fr-FR"/>
        </w:rPr>
        <w:t>58.</w:t>
      </w:r>
      <w:r w:rsidRPr="00F001B0">
        <w:rPr>
          <w:iCs/>
          <w:lang w:val="fr-FR"/>
        </w:rPr>
        <w:tab/>
      </w:r>
      <w:r w:rsidRPr="00F001B0">
        <w:rPr>
          <w:lang w:val="fr-FR"/>
        </w:rPr>
        <w:t>À l</w:t>
      </w:r>
      <w:r w:rsidR="008B6F84">
        <w:rPr>
          <w:lang w:val="fr-FR"/>
        </w:rPr>
        <w:t>’</w:t>
      </w:r>
      <w:r w:rsidRPr="00F001B0">
        <w:rPr>
          <w:lang w:val="fr-FR"/>
        </w:rPr>
        <w:t>issue d</w:t>
      </w:r>
      <w:r w:rsidR="008B6F84">
        <w:rPr>
          <w:lang w:val="fr-FR"/>
        </w:rPr>
        <w:t>’</w:t>
      </w:r>
      <w:r w:rsidRPr="00F001B0">
        <w:rPr>
          <w:lang w:val="fr-FR"/>
        </w:rPr>
        <w:t>un long débat, la Réunion commune n</w:t>
      </w:r>
      <w:r w:rsidR="008B6F84">
        <w:rPr>
          <w:lang w:val="fr-FR"/>
        </w:rPr>
        <w:t>’</w:t>
      </w:r>
      <w:r w:rsidRPr="00F001B0">
        <w:rPr>
          <w:lang w:val="fr-FR"/>
        </w:rPr>
        <w:t>a pu se mettre d</w:t>
      </w:r>
      <w:r w:rsidR="008B6F84">
        <w:rPr>
          <w:lang w:val="fr-FR"/>
        </w:rPr>
        <w:t>’</w:t>
      </w:r>
      <w:r w:rsidRPr="00F001B0">
        <w:rPr>
          <w:lang w:val="fr-FR"/>
        </w:rPr>
        <w:t>accord sur les définitions proposées. Elle a proposé au groupe de travail informel de poursuivre ses travaux de façon progressive, comme suit </w:t>
      </w:r>
      <w:r w:rsidRPr="00F001B0">
        <w:rPr>
          <w:iCs/>
          <w:lang w:val="fr-FR"/>
        </w:rPr>
        <w:t>:</w:t>
      </w:r>
    </w:p>
    <w:p w:rsidR="00CC315F" w:rsidRPr="00F001B0" w:rsidRDefault="00CC315F" w:rsidP="00CC315F">
      <w:pPr>
        <w:pStyle w:val="Bullet1G"/>
        <w:numPr>
          <w:ilvl w:val="0"/>
          <w:numId w:val="17"/>
        </w:numPr>
        <w:kinsoku/>
        <w:overflowPunct/>
        <w:autoSpaceDE/>
        <w:autoSpaceDN/>
        <w:adjustRightInd/>
        <w:snapToGrid/>
        <w:rPr>
          <w:lang w:val="fr-FR"/>
        </w:rPr>
      </w:pPr>
      <w:r w:rsidRPr="00F001B0">
        <w:rPr>
          <w:lang w:val="fr-FR"/>
        </w:rPr>
        <w:t>Premièrement, repérer dans le RID, l</w:t>
      </w:r>
      <w:r w:rsidR="008B6F84">
        <w:rPr>
          <w:lang w:val="fr-FR"/>
        </w:rPr>
        <w:t>’</w:t>
      </w:r>
      <w:r w:rsidRPr="00F001B0">
        <w:rPr>
          <w:lang w:val="fr-FR"/>
        </w:rPr>
        <w:t>ADR et l</w:t>
      </w:r>
      <w:r w:rsidR="008B6F84">
        <w:rPr>
          <w:lang w:val="fr-FR"/>
        </w:rPr>
        <w:t>’</w:t>
      </w:r>
      <w:r w:rsidRPr="00F001B0">
        <w:rPr>
          <w:lang w:val="fr-FR"/>
        </w:rPr>
        <w:t>ADN tous les passages où les mots « danger » et « risque » peuvent être évités. Ce travail pourrait s</w:t>
      </w:r>
      <w:r w:rsidR="008B6F84">
        <w:rPr>
          <w:lang w:val="fr-FR"/>
        </w:rPr>
        <w:t>’</w:t>
      </w:r>
      <w:r w:rsidRPr="00F001B0">
        <w:rPr>
          <w:lang w:val="fr-FR"/>
        </w:rPr>
        <w:t>effectuer à partir du tableau figurant dans le document informel INF.4/Add.1, soumis à la session d</w:t>
      </w:r>
      <w:r w:rsidR="008B6F84">
        <w:rPr>
          <w:lang w:val="fr-FR"/>
        </w:rPr>
        <w:t>’</w:t>
      </w:r>
      <w:r w:rsidRPr="00F001B0">
        <w:rPr>
          <w:lang w:val="fr-FR"/>
        </w:rPr>
        <w:t>automne 2017 ; et</w:t>
      </w:r>
    </w:p>
    <w:p w:rsidR="00CC315F" w:rsidRPr="00F001B0" w:rsidRDefault="00CC315F" w:rsidP="00CC315F">
      <w:pPr>
        <w:pStyle w:val="Bullet1G"/>
        <w:numPr>
          <w:ilvl w:val="0"/>
          <w:numId w:val="17"/>
        </w:numPr>
        <w:kinsoku/>
        <w:overflowPunct/>
        <w:autoSpaceDE/>
        <w:autoSpaceDN/>
        <w:adjustRightInd/>
        <w:snapToGrid/>
        <w:rPr>
          <w:lang w:val="fr-FR"/>
        </w:rPr>
      </w:pPr>
      <w:r w:rsidRPr="00F001B0">
        <w:rPr>
          <w:lang w:val="fr-FR"/>
        </w:rPr>
        <w:t>Deuxièmement, étudier, dans tous les autres passages où figurent les mots « danger » et « risque », la façon dont ils sont utilisés, et envisager des solutions (par exemple, se demander s</w:t>
      </w:r>
      <w:r w:rsidR="008B6F84">
        <w:rPr>
          <w:lang w:val="fr-FR"/>
        </w:rPr>
        <w:t>’</w:t>
      </w:r>
      <w:r w:rsidRPr="00F001B0">
        <w:rPr>
          <w:lang w:val="fr-FR"/>
        </w:rPr>
        <w:t>ils peuvent être remplacés ou s</w:t>
      </w:r>
      <w:r w:rsidR="008B6F84">
        <w:rPr>
          <w:lang w:val="fr-FR"/>
        </w:rPr>
        <w:t>’</w:t>
      </w:r>
      <w:r w:rsidRPr="00F001B0">
        <w:rPr>
          <w:lang w:val="fr-FR"/>
        </w:rPr>
        <w:t>il convient d</w:t>
      </w:r>
      <w:r w:rsidR="008B6F84">
        <w:rPr>
          <w:lang w:val="fr-FR"/>
        </w:rPr>
        <w:t>’</w:t>
      </w:r>
      <w:r w:rsidRPr="00F001B0">
        <w:rPr>
          <w:lang w:val="fr-FR"/>
        </w:rPr>
        <w:t>élaborer une définition).</w:t>
      </w:r>
    </w:p>
    <w:p w:rsidR="00CC315F" w:rsidRPr="00F001B0" w:rsidRDefault="00CC315F" w:rsidP="00CC315F">
      <w:pPr>
        <w:pStyle w:val="SingleTxtG"/>
        <w:tabs>
          <w:tab w:val="left" w:pos="1701"/>
          <w:tab w:val="left" w:pos="3402"/>
        </w:tabs>
        <w:rPr>
          <w:iCs/>
          <w:lang w:val="fr-FR"/>
        </w:rPr>
      </w:pPr>
      <w:r w:rsidRPr="00F001B0">
        <w:rPr>
          <w:iCs/>
          <w:lang w:val="fr-FR"/>
        </w:rPr>
        <w:t>59.</w:t>
      </w:r>
      <w:r w:rsidRPr="00F001B0">
        <w:rPr>
          <w:iCs/>
          <w:lang w:val="fr-FR"/>
        </w:rPr>
        <w:tab/>
      </w:r>
      <w:r w:rsidRPr="00F001B0">
        <w:rPr>
          <w:lang w:val="fr-FR"/>
        </w:rPr>
        <w:t>Le groupe de travail informel devait prendre en compte tous les cas énumérés dans le document informel INF.4/Add.1 et, lorsqu</w:t>
      </w:r>
      <w:r w:rsidR="008B6F84">
        <w:rPr>
          <w:lang w:val="fr-FR"/>
        </w:rPr>
        <w:t>’</w:t>
      </w:r>
      <w:r w:rsidRPr="00F001B0">
        <w:rPr>
          <w:lang w:val="fr-FR"/>
        </w:rPr>
        <w:t>il estimerait que les mots ne pouvaient être évités, fournir les explications nécessaires</w:t>
      </w:r>
      <w:r w:rsidRPr="00F001B0">
        <w:rPr>
          <w:iCs/>
          <w:lang w:val="fr-FR"/>
        </w:rPr>
        <w:t>.</w:t>
      </w:r>
    </w:p>
    <w:p w:rsidR="00CC315F" w:rsidRPr="00F001B0" w:rsidRDefault="00CC315F" w:rsidP="00CC315F">
      <w:pPr>
        <w:pStyle w:val="SingleTxtG"/>
        <w:tabs>
          <w:tab w:val="left" w:pos="1701"/>
          <w:tab w:val="left" w:pos="3402"/>
        </w:tabs>
        <w:rPr>
          <w:iCs/>
          <w:lang w:val="fr-FR"/>
        </w:rPr>
      </w:pPr>
      <w:r w:rsidRPr="00F001B0">
        <w:rPr>
          <w:iCs/>
          <w:lang w:val="fr-FR"/>
        </w:rPr>
        <w:t>60.</w:t>
      </w:r>
      <w:r w:rsidRPr="00F001B0">
        <w:rPr>
          <w:iCs/>
          <w:lang w:val="fr-FR"/>
        </w:rPr>
        <w:tab/>
      </w:r>
      <w:r w:rsidRPr="00F001B0">
        <w:rPr>
          <w:lang w:val="fr-FR"/>
        </w:rPr>
        <w:t>Le représentant des Pays-Bas s</w:t>
      </w:r>
      <w:r w:rsidR="008B6F84">
        <w:rPr>
          <w:lang w:val="fr-FR"/>
        </w:rPr>
        <w:t>’</w:t>
      </w:r>
      <w:r w:rsidRPr="00F001B0">
        <w:rPr>
          <w:lang w:val="fr-FR"/>
        </w:rPr>
        <w:t>est proposé d</w:t>
      </w:r>
      <w:r w:rsidR="008B6F84">
        <w:rPr>
          <w:lang w:val="fr-FR"/>
        </w:rPr>
        <w:t>’</w:t>
      </w:r>
      <w:r w:rsidRPr="00F001B0">
        <w:rPr>
          <w:lang w:val="fr-FR"/>
        </w:rPr>
        <w:t>accueillir la prochaine réunion du groupe de travail informel, qui devrait en principe se tenir du 11 au 13 juin 2018 au Ministère de l</w:t>
      </w:r>
      <w:r w:rsidR="008B6F84">
        <w:rPr>
          <w:lang w:val="fr-FR"/>
        </w:rPr>
        <w:t>’</w:t>
      </w:r>
      <w:r w:rsidRPr="00F001B0">
        <w:rPr>
          <w:lang w:val="fr-FR"/>
        </w:rPr>
        <w:t>infrastructure et de la gestion de l</w:t>
      </w:r>
      <w:r w:rsidR="008B6F84">
        <w:rPr>
          <w:lang w:val="fr-FR"/>
        </w:rPr>
        <w:t>’</w:t>
      </w:r>
      <w:r w:rsidRPr="00F001B0">
        <w:rPr>
          <w:lang w:val="fr-FR"/>
        </w:rPr>
        <w:t>eau, à La Haye.</w:t>
      </w:r>
    </w:p>
    <w:p w:rsidR="00CC315F" w:rsidRPr="00F001B0" w:rsidRDefault="00CC315F" w:rsidP="00CC315F">
      <w:pPr>
        <w:pStyle w:val="SingleTxtG"/>
        <w:tabs>
          <w:tab w:val="left" w:pos="1701"/>
          <w:tab w:val="left" w:pos="3402"/>
        </w:tabs>
        <w:rPr>
          <w:iCs/>
          <w:lang w:val="fr-FR"/>
        </w:rPr>
      </w:pPr>
      <w:r w:rsidRPr="00F001B0">
        <w:rPr>
          <w:iCs/>
          <w:lang w:val="fr-FR"/>
        </w:rPr>
        <w:t>61.</w:t>
      </w:r>
      <w:r w:rsidRPr="00F001B0">
        <w:rPr>
          <w:iCs/>
          <w:lang w:val="fr-FR"/>
        </w:rPr>
        <w:tab/>
      </w:r>
      <w:r w:rsidRPr="00F001B0">
        <w:rPr>
          <w:lang w:val="fr-FR"/>
        </w:rPr>
        <w:t>La Réunion commune a noté que le groupe de travail informel présenterait le fruit de ses travaux à sa session d</w:t>
      </w:r>
      <w:r w:rsidR="008B6F84">
        <w:rPr>
          <w:lang w:val="fr-FR"/>
        </w:rPr>
        <w:t>’</w:t>
      </w:r>
      <w:r w:rsidRPr="00F001B0">
        <w:rPr>
          <w:lang w:val="fr-FR"/>
        </w:rPr>
        <w:t>automne 2018</w:t>
      </w:r>
      <w:r w:rsidRPr="00F001B0">
        <w:rPr>
          <w:iCs/>
          <w:lang w:val="fr-FR"/>
        </w:rPr>
        <w:t>.</w:t>
      </w:r>
    </w:p>
    <w:p w:rsidR="00CC315F" w:rsidRPr="00F001B0" w:rsidRDefault="00CC315F" w:rsidP="00CC315F">
      <w:pPr>
        <w:pStyle w:val="H1G"/>
        <w:rPr>
          <w:lang w:val="fr-FR"/>
        </w:rPr>
      </w:pPr>
      <w:r w:rsidRPr="00F001B0">
        <w:rPr>
          <w:lang w:val="fr-FR"/>
        </w:rPr>
        <w:tab/>
        <w:t>C.</w:t>
      </w:r>
      <w:r w:rsidRPr="00F001B0">
        <w:rPr>
          <w:lang w:val="fr-FR"/>
        </w:rPr>
        <w:tab/>
      </w:r>
      <w:r w:rsidRPr="00217FBC">
        <w:rPr>
          <w:rFonts w:ascii="Times New Roman Gras" w:hAnsi="Times New Roman Gras"/>
          <w:spacing w:val="-3"/>
          <w:lang w:val="fr-FR"/>
        </w:rPr>
        <w:t>Rapport du groupe de travail informel chargé d</w:t>
      </w:r>
      <w:r w:rsidR="008B6F84">
        <w:rPr>
          <w:rFonts w:ascii="Times New Roman Gras" w:hAnsi="Times New Roman Gras"/>
          <w:spacing w:val="-3"/>
          <w:lang w:val="fr-FR"/>
        </w:rPr>
        <w:t>’</w:t>
      </w:r>
      <w:r w:rsidRPr="00217FBC">
        <w:rPr>
          <w:rFonts w:ascii="Times New Roman Gras" w:hAnsi="Times New Roman Gras"/>
          <w:spacing w:val="-3"/>
          <w:lang w:val="fr-FR"/>
        </w:rPr>
        <w:t>actualiser l</w:t>
      </w:r>
      <w:r w:rsidR="008B6F84">
        <w:rPr>
          <w:rFonts w:ascii="Times New Roman Gras" w:hAnsi="Times New Roman Gras"/>
          <w:spacing w:val="-3"/>
          <w:lang w:val="fr-FR"/>
        </w:rPr>
        <w:t>’</w:t>
      </w:r>
      <w:r w:rsidRPr="00217FBC">
        <w:rPr>
          <w:rFonts w:ascii="Times New Roman Gras" w:hAnsi="Times New Roman Gras"/>
          <w:spacing w:val="-3"/>
          <w:lang w:val="fr-FR"/>
        </w:rPr>
        <w:t>architecture</w:t>
      </w:r>
      <w:r w:rsidRPr="00F001B0">
        <w:rPr>
          <w:lang w:val="fr-FR"/>
        </w:rPr>
        <w:t xml:space="preserve"> de la télématique dans les transports de marchandises dangereuses</w:t>
      </w:r>
    </w:p>
    <w:p w:rsidR="00CC315F" w:rsidRPr="00F001B0" w:rsidRDefault="00CC315F" w:rsidP="00304EE5">
      <w:pPr>
        <w:pStyle w:val="SingleTxtG"/>
        <w:tabs>
          <w:tab w:val="left" w:pos="3402"/>
        </w:tabs>
        <w:ind w:left="3402" w:hanging="2268"/>
        <w:jc w:val="left"/>
        <w:rPr>
          <w:lang w:val="fr-FR"/>
        </w:rPr>
      </w:pPr>
      <w:r w:rsidRPr="00F001B0">
        <w:rPr>
          <w:i/>
          <w:iCs/>
          <w:lang w:val="fr-FR"/>
        </w:rPr>
        <w:t>Document informel</w:t>
      </w:r>
      <w:r w:rsidR="00304EE5">
        <w:rPr>
          <w:i/>
          <w:iCs/>
          <w:lang w:val="fr-FR"/>
        </w:rPr>
        <w:t> </w:t>
      </w:r>
      <w:r w:rsidR="00304EE5" w:rsidRPr="008D1FAA">
        <w:rPr>
          <w:iCs/>
          <w:lang w:val="fr-FR"/>
        </w:rPr>
        <w:t>:</w:t>
      </w:r>
      <w:r w:rsidRPr="00F001B0">
        <w:rPr>
          <w:i/>
          <w:iCs/>
          <w:lang w:val="fr-FR"/>
        </w:rPr>
        <w:tab/>
      </w:r>
      <w:r w:rsidR="00304EE5">
        <w:rPr>
          <w:lang w:val="fr-FR"/>
        </w:rPr>
        <w:t>INF.34 (Allemagne)</w:t>
      </w:r>
    </w:p>
    <w:p w:rsidR="00CC315F" w:rsidRPr="00F001B0" w:rsidRDefault="00CC315F" w:rsidP="00CC315F">
      <w:pPr>
        <w:pStyle w:val="SingleTxtG"/>
        <w:tabs>
          <w:tab w:val="left" w:pos="1701"/>
          <w:tab w:val="left" w:pos="3402"/>
        </w:tabs>
        <w:rPr>
          <w:lang w:val="fr-FR"/>
        </w:rPr>
      </w:pPr>
      <w:r w:rsidRPr="00F001B0">
        <w:rPr>
          <w:iCs/>
          <w:lang w:val="fr-FR"/>
        </w:rPr>
        <w:t>62.</w:t>
      </w:r>
      <w:r w:rsidRPr="00F001B0">
        <w:rPr>
          <w:iCs/>
          <w:lang w:val="fr-FR"/>
        </w:rPr>
        <w:tab/>
      </w:r>
      <w:r w:rsidRPr="00F001B0">
        <w:rPr>
          <w:lang w:val="fr-FR"/>
        </w:rPr>
        <w:t>La Réunion commune a pris note du rapport du groupe de travail informel. Elle a noté que l</w:t>
      </w:r>
      <w:r w:rsidR="008B6F84">
        <w:rPr>
          <w:lang w:val="fr-FR"/>
        </w:rPr>
        <w:t>’</w:t>
      </w:r>
      <w:r w:rsidRPr="00F001B0">
        <w:rPr>
          <w:lang w:val="fr-FR"/>
        </w:rPr>
        <w:t>Allemagne avait l</w:t>
      </w:r>
      <w:r w:rsidR="008B6F84">
        <w:rPr>
          <w:lang w:val="fr-FR"/>
        </w:rPr>
        <w:t>’</w:t>
      </w:r>
      <w:r w:rsidRPr="00F001B0">
        <w:rPr>
          <w:lang w:val="fr-FR"/>
        </w:rPr>
        <w:t>intention de présenter un projet de mémorandum d</w:t>
      </w:r>
      <w:r w:rsidR="008B6F84">
        <w:rPr>
          <w:lang w:val="fr-FR"/>
        </w:rPr>
        <w:t>’</w:t>
      </w:r>
      <w:r w:rsidRPr="00F001B0">
        <w:rPr>
          <w:lang w:val="fr-FR"/>
        </w:rPr>
        <w:t>accord entre les États membres afin qu</w:t>
      </w:r>
      <w:r w:rsidR="008B6F84">
        <w:rPr>
          <w:lang w:val="fr-FR"/>
        </w:rPr>
        <w:t>’</w:t>
      </w:r>
      <w:r w:rsidRPr="00F001B0">
        <w:rPr>
          <w:lang w:val="fr-FR"/>
        </w:rPr>
        <w:t>ils s</w:t>
      </w:r>
      <w:r w:rsidR="008B6F84">
        <w:rPr>
          <w:lang w:val="fr-FR"/>
        </w:rPr>
        <w:t>’</w:t>
      </w:r>
      <w:r w:rsidRPr="00F001B0">
        <w:rPr>
          <w:lang w:val="fr-FR"/>
        </w:rPr>
        <w:t>entendent sur une interprétation et une utilisation communes des possibilités qu</w:t>
      </w:r>
      <w:r w:rsidR="008B6F84">
        <w:rPr>
          <w:lang w:val="fr-FR"/>
        </w:rPr>
        <w:t>’</w:t>
      </w:r>
      <w:r w:rsidRPr="00F001B0">
        <w:rPr>
          <w:lang w:val="fr-FR"/>
        </w:rPr>
        <w:t>offrait le 5.4.0.2 du RID, de l</w:t>
      </w:r>
      <w:r w:rsidR="008B6F84">
        <w:rPr>
          <w:lang w:val="fr-FR"/>
        </w:rPr>
        <w:t>’</w:t>
      </w:r>
      <w:r w:rsidRPr="00F001B0">
        <w:rPr>
          <w:lang w:val="fr-FR"/>
        </w:rPr>
        <w:t>ADR et de l</w:t>
      </w:r>
      <w:r w:rsidR="008B6F84">
        <w:rPr>
          <w:lang w:val="fr-FR"/>
        </w:rPr>
        <w:t>’</w:t>
      </w:r>
      <w:r w:rsidRPr="00F001B0">
        <w:rPr>
          <w:lang w:val="fr-FR"/>
        </w:rPr>
        <w:t>ADN, pour examen par le groupe de travail informel à sa réunion suivante, prévue les 4 et 5 juin à Londres. La Réunion commune a en outre noté que l</w:t>
      </w:r>
      <w:r w:rsidR="008B6F84">
        <w:rPr>
          <w:lang w:val="fr-FR"/>
        </w:rPr>
        <w:t>’</w:t>
      </w:r>
      <w:r w:rsidRPr="00F001B0">
        <w:rPr>
          <w:lang w:val="fr-FR"/>
        </w:rPr>
        <w:t>ERA envisageait la possibilité de devenir une interface de gestion d</w:t>
      </w:r>
      <w:r w:rsidR="008B6F84">
        <w:rPr>
          <w:lang w:val="fr-FR"/>
        </w:rPr>
        <w:t>’</w:t>
      </w:r>
      <w:r w:rsidRPr="00F001B0">
        <w:rPr>
          <w:lang w:val="fr-FR"/>
        </w:rPr>
        <w:t>accès (TP1).</w:t>
      </w:r>
    </w:p>
    <w:p w:rsidR="00CC315F" w:rsidRPr="00F001B0" w:rsidRDefault="00CC315F" w:rsidP="00CC315F">
      <w:pPr>
        <w:pStyle w:val="SingleTxtG"/>
        <w:tabs>
          <w:tab w:val="left" w:pos="1701"/>
          <w:tab w:val="left" w:pos="3402"/>
        </w:tabs>
        <w:rPr>
          <w:iCs/>
          <w:lang w:val="fr-FR"/>
        </w:rPr>
      </w:pPr>
      <w:r w:rsidRPr="00F001B0">
        <w:rPr>
          <w:iCs/>
          <w:lang w:val="fr-FR"/>
        </w:rPr>
        <w:t>63.</w:t>
      </w:r>
      <w:r w:rsidRPr="00F001B0">
        <w:rPr>
          <w:iCs/>
          <w:lang w:val="fr-FR"/>
        </w:rPr>
        <w:tab/>
      </w:r>
      <w:r w:rsidRPr="00F001B0">
        <w:rPr>
          <w:lang w:val="fr-FR"/>
        </w:rPr>
        <w:t>Le représentant de l</w:t>
      </w:r>
      <w:r w:rsidR="008B6F84">
        <w:rPr>
          <w:lang w:val="fr-FR"/>
        </w:rPr>
        <w:t>’</w:t>
      </w:r>
      <w:r w:rsidRPr="00F001B0">
        <w:rPr>
          <w:lang w:val="fr-FR"/>
        </w:rPr>
        <w:t>IRU a informé la Réunion commune que le Groupe de travail des transports routiers (SC.1)</w:t>
      </w:r>
      <w:r w:rsidR="000E1649">
        <w:rPr>
          <w:rStyle w:val="FootnoteReference"/>
        </w:rPr>
        <w:footnoteReference w:id="4"/>
      </w:r>
      <w:r w:rsidRPr="00F001B0">
        <w:rPr>
          <w:lang w:val="fr-FR"/>
        </w:rPr>
        <w:t xml:space="preserve"> examinerait, lors d</w:t>
      </w:r>
      <w:r w:rsidR="008B6F84">
        <w:rPr>
          <w:lang w:val="fr-FR"/>
        </w:rPr>
        <w:t>’</w:t>
      </w:r>
      <w:r w:rsidRPr="00F001B0">
        <w:rPr>
          <w:lang w:val="fr-FR"/>
        </w:rPr>
        <w:t xml:space="preserve">une session extraordinaire, prévue le 4 avril 2018, les possibilités de rendre fonctionnelle le </w:t>
      </w:r>
      <w:r w:rsidRPr="00F001B0">
        <w:rPr>
          <w:color w:val="000000"/>
          <w:lang w:val="fr-FR"/>
        </w:rPr>
        <w:t xml:space="preserve">contrat </w:t>
      </w:r>
      <w:r w:rsidRPr="00F001B0">
        <w:rPr>
          <w:lang w:val="fr-FR"/>
        </w:rPr>
        <w:t xml:space="preserve">électronique </w:t>
      </w:r>
      <w:r w:rsidRPr="00F001B0">
        <w:rPr>
          <w:color w:val="000000"/>
          <w:lang w:val="fr-FR"/>
        </w:rPr>
        <w:t>de transport international de marchandises par route</w:t>
      </w:r>
      <w:r w:rsidRPr="00F001B0">
        <w:rPr>
          <w:lang w:val="fr-FR"/>
        </w:rPr>
        <w:t xml:space="preserve"> (lettre de voiture électronique ou e</w:t>
      </w:r>
      <w:r w:rsidRPr="00F001B0">
        <w:rPr>
          <w:lang w:val="fr-FR"/>
        </w:rPr>
        <w:noBreakHyphen/>
        <w:t>CMR) et notamment de mettre en place une plateforme centrale commune et d</w:t>
      </w:r>
      <w:r w:rsidR="008B6F84">
        <w:rPr>
          <w:lang w:val="fr-FR"/>
        </w:rPr>
        <w:t>’</w:t>
      </w:r>
      <w:r w:rsidRPr="00F001B0">
        <w:rPr>
          <w:lang w:val="fr-FR"/>
        </w:rPr>
        <w:t>autres possibilités. Il a encouragé les délégations intéressées à participer à cette réunion</w:t>
      </w:r>
      <w:r w:rsidRPr="00F001B0">
        <w:rPr>
          <w:iCs/>
          <w:lang w:val="fr-FR"/>
        </w:rPr>
        <w:t xml:space="preserve">. </w:t>
      </w:r>
    </w:p>
    <w:p w:rsidR="00CC315F" w:rsidRPr="00F001B0" w:rsidRDefault="00CC315F" w:rsidP="00CC315F">
      <w:pPr>
        <w:pStyle w:val="SingleTxtG"/>
        <w:tabs>
          <w:tab w:val="left" w:pos="1701"/>
          <w:tab w:val="left" w:pos="3402"/>
        </w:tabs>
        <w:rPr>
          <w:iCs/>
          <w:lang w:val="fr-FR"/>
        </w:rPr>
      </w:pPr>
      <w:r w:rsidRPr="00F001B0">
        <w:rPr>
          <w:iCs/>
          <w:lang w:val="fr-FR"/>
        </w:rPr>
        <w:t>64.</w:t>
      </w:r>
      <w:r w:rsidRPr="00F001B0">
        <w:rPr>
          <w:iCs/>
          <w:lang w:val="fr-FR"/>
        </w:rPr>
        <w:tab/>
      </w:r>
      <w:r w:rsidRPr="00F001B0">
        <w:rPr>
          <w:lang w:val="fr-FR"/>
        </w:rPr>
        <w:t>Il a par ailleurs été mentionné que l</w:t>
      </w:r>
      <w:r w:rsidR="008B6F84">
        <w:rPr>
          <w:lang w:val="fr-FR"/>
        </w:rPr>
        <w:t>’</w:t>
      </w:r>
      <w:r w:rsidRPr="00F001B0">
        <w:rPr>
          <w:lang w:val="fr-FR"/>
        </w:rPr>
        <w:t>Union européenne avait entrepris de définir une vision et une feuille de route communes sur le numérique dans les transports et la logistique, dans le cadre du groupe d</w:t>
      </w:r>
      <w:r w:rsidR="008B6F84">
        <w:rPr>
          <w:lang w:val="fr-FR"/>
        </w:rPr>
        <w:t>’</w:t>
      </w:r>
      <w:r w:rsidRPr="00F001B0">
        <w:rPr>
          <w:lang w:val="fr-FR"/>
        </w:rPr>
        <w:t>experts dénommé « Forum sur le numérique dans les transports et la logistique » mis sur pied par la Commission européenne</w:t>
      </w:r>
      <w:r w:rsidRPr="00F001B0">
        <w:rPr>
          <w:iCs/>
          <w:lang w:val="fr-FR"/>
        </w:rPr>
        <w:t xml:space="preserve">. </w:t>
      </w:r>
    </w:p>
    <w:p w:rsidR="00CC315F" w:rsidRPr="00F001B0" w:rsidRDefault="00CC315F" w:rsidP="00CC315F">
      <w:pPr>
        <w:pStyle w:val="SingleTxtG"/>
        <w:tabs>
          <w:tab w:val="left" w:pos="1701"/>
          <w:tab w:val="left" w:pos="3402"/>
        </w:tabs>
        <w:rPr>
          <w:iCs/>
          <w:lang w:val="fr-FR"/>
        </w:rPr>
      </w:pPr>
      <w:r w:rsidRPr="00F001B0">
        <w:rPr>
          <w:iCs/>
          <w:lang w:val="fr-FR"/>
        </w:rPr>
        <w:t>65.</w:t>
      </w:r>
      <w:r w:rsidRPr="00F001B0">
        <w:rPr>
          <w:iCs/>
          <w:lang w:val="fr-FR"/>
        </w:rPr>
        <w:tab/>
      </w:r>
      <w:r w:rsidRPr="00F001B0">
        <w:rPr>
          <w:lang w:val="fr-FR"/>
        </w:rPr>
        <w:t>Certains participants ont cependant fait remarquer que ces organismes s</w:t>
      </w:r>
      <w:r w:rsidR="008B6F84">
        <w:rPr>
          <w:lang w:val="fr-FR"/>
        </w:rPr>
        <w:t>’</w:t>
      </w:r>
      <w:r w:rsidRPr="00F001B0">
        <w:rPr>
          <w:lang w:val="fr-FR"/>
        </w:rPr>
        <w:t>occupaient de la numérisation des documents de transport afin de faciliter les opérations commerciales et la logistique entre parties prenantes, alors que le groupe de travail informel sur la télématique de la Réunion commune s</w:t>
      </w:r>
      <w:r w:rsidR="008B6F84">
        <w:rPr>
          <w:lang w:val="fr-FR"/>
        </w:rPr>
        <w:t>’</w:t>
      </w:r>
      <w:r w:rsidRPr="00F001B0">
        <w:rPr>
          <w:lang w:val="fr-FR"/>
        </w:rPr>
        <w:t>occupait de la mise au point d</w:t>
      </w:r>
      <w:r w:rsidR="008B6F84">
        <w:rPr>
          <w:lang w:val="fr-FR"/>
        </w:rPr>
        <w:t>’</w:t>
      </w:r>
      <w:r w:rsidRPr="00F001B0">
        <w:rPr>
          <w:lang w:val="fr-FR"/>
        </w:rPr>
        <w:t>un système dans le cadre juridique du RID, de l</w:t>
      </w:r>
      <w:r w:rsidR="008B6F84">
        <w:rPr>
          <w:lang w:val="fr-FR"/>
        </w:rPr>
        <w:t>’</w:t>
      </w:r>
      <w:r w:rsidRPr="00F001B0">
        <w:rPr>
          <w:lang w:val="fr-FR"/>
        </w:rPr>
        <w:t>ADR et de l</w:t>
      </w:r>
      <w:r w:rsidR="008B6F84">
        <w:rPr>
          <w:lang w:val="fr-FR"/>
        </w:rPr>
        <w:t>’</w:t>
      </w:r>
      <w:r w:rsidRPr="00F001B0">
        <w:rPr>
          <w:lang w:val="fr-FR"/>
        </w:rPr>
        <w:t>ADN pour définir les renseignements qui seraient également utiles aux autorités compétentes, ce qui leur permettrait de prendre des mesures appropriées relevant de leur responsabilité (par exemple inspections, interventions d</w:t>
      </w:r>
      <w:r w:rsidR="008B6F84">
        <w:rPr>
          <w:lang w:val="fr-FR"/>
        </w:rPr>
        <w:t>’</w:t>
      </w:r>
      <w:r w:rsidRPr="00F001B0">
        <w:rPr>
          <w:lang w:val="fr-FR"/>
        </w:rPr>
        <w:t>urgence ou organisation du trafic</w:t>
      </w:r>
      <w:r w:rsidR="009806DB">
        <w:rPr>
          <w:iCs/>
          <w:lang w:val="fr-FR"/>
        </w:rPr>
        <w:t>, </w:t>
      </w:r>
      <w:proofErr w:type="spellStart"/>
      <w:r w:rsidR="009806DB">
        <w:rPr>
          <w:iCs/>
          <w:lang w:val="fr-FR"/>
        </w:rPr>
        <w:t>etc</w:t>
      </w:r>
      <w:proofErr w:type="spellEnd"/>
      <w:r w:rsidR="009806DB">
        <w:rPr>
          <w:iCs/>
          <w:lang w:val="fr-FR"/>
        </w:rPr>
        <w:t>).</w:t>
      </w:r>
    </w:p>
    <w:p w:rsidR="00CC315F" w:rsidRPr="00F001B0" w:rsidRDefault="00CC315F" w:rsidP="00CC315F">
      <w:pPr>
        <w:pStyle w:val="SingleTxtG"/>
        <w:tabs>
          <w:tab w:val="left" w:pos="1701"/>
          <w:tab w:val="left" w:pos="3402"/>
        </w:tabs>
        <w:rPr>
          <w:iCs/>
          <w:lang w:val="fr-FR"/>
        </w:rPr>
      </w:pPr>
      <w:r w:rsidRPr="00F001B0">
        <w:rPr>
          <w:iCs/>
          <w:lang w:val="fr-FR"/>
        </w:rPr>
        <w:t>66.</w:t>
      </w:r>
      <w:r w:rsidRPr="00F001B0">
        <w:rPr>
          <w:iCs/>
          <w:lang w:val="fr-FR"/>
        </w:rPr>
        <w:tab/>
      </w:r>
      <w:r w:rsidRPr="00F001B0">
        <w:rPr>
          <w:lang w:val="fr-FR"/>
        </w:rPr>
        <w:t>La Réunion commune a estimé qu</w:t>
      </w:r>
      <w:r w:rsidR="008B6F84">
        <w:rPr>
          <w:lang w:val="fr-FR"/>
        </w:rPr>
        <w:t>’</w:t>
      </w:r>
      <w:r w:rsidRPr="00F001B0">
        <w:rPr>
          <w:lang w:val="fr-FR"/>
        </w:rPr>
        <w:t>il serait souhaitable d</w:t>
      </w:r>
      <w:r w:rsidR="008B6F84">
        <w:rPr>
          <w:lang w:val="fr-FR"/>
        </w:rPr>
        <w:t>’</w:t>
      </w:r>
      <w:r w:rsidRPr="00F001B0">
        <w:rPr>
          <w:lang w:val="fr-FR"/>
        </w:rPr>
        <w:t>échanger des informations sur les activités menées par ces organismes, afin d</w:t>
      </w:r>
      <w:r w:rsidR="008B6F84">
        <w:rPr>
          <w:lang w:val="fr-FR"/>
        </w:rPr>
        <w:t>’</w:t>
      </w:r>
      <w:r w:rsidRPr="00F001B0">
        <w:rPr>
          <w:lang w:val="fr-FR"/>
        </w:rPr>
        <w:t>éviter tout chevauchement ou conflit, et a rappelé que ses travaux actuels sur la télématique avaient pour objet de mettre au point un système qui porterait sur les aspects non encore pris en compte par les autres initiatives. Le représentant de l</w:t>
      </w:r>
      <w:r w:rsidR="008B6F84">
        <w:rPr>
          <w:lang w:val="fr-FR"/>
        </w:rPr>
        <w:t>’</w:t>
      </w:r>
      <w:r w:rsidRPr="00F001B0">
        <w:rPr>
          <w:lang w:val="fr-FR"/>
        </w:rPr>
        <w:t>Union européenne a fait savoir qu</w:t>
      </w:r>
      <w:r w:rsidR="008B6F84">
        <w:rPr>
          <w:lang w:val="fr-FR"/>
        </w:rPr>
        <w:t>’</w:t>
      </w:r>
      <w:r w:rsidRPr="00F001B0">
        <w:rPr>
          <w:lang w:val="fr-FR"/>
        </w:rPr>
        <w:t>il participerait à la réunion suivante du Forum sur le numérique dans les transports et la logistique, les 21 et 22 mars 2018, et qu</w:t>
      </w:r>
      <w:r w:rsidR="008B6F84">
        <w:rPr>
          <w:lang w:val="fr-FR"/>
        </w:rPr>
        <w:t>’</w:t>
      </w:r>
      <w:r w:rsidRPr="00F001B0">
        <w:rPr>
          <w:lang w:val="fr-FR"/>
        </w:rPr>
        <w:t>il envisagerait de participer aussi à la réunion suivante du groupe de travail informel sur la télématique, prévue à Londres les 4 et 5 juin afin d</w:t>
      </w:r>
      <w:r w:rsidR="008B6F84">
        <w:rPr>
          <w:lang w:val="fr-FR"/>
        </w:rPr>
        <w:t>’</w:t>
      </w:r>
      <w:r w:rsidRPr="00F001B0">
        <w:rPr>
          <w:lang w:val="fr-FR"/>
        </w:rPr>
        <w:t>y fournir des renseignements sur les activités du Forum</w:t>
      </w:r>
      <w:r w:rsidRPr="00F001B0">
        <w:rPr>
          <w:iCs/>
          <w:lang w:val="fr-FR"/>
        </w:rPr>
        <w:t>.</w:t>
      </w:r>
    </w:p>
    <w:p w:rsidR="00CC315F" w:rsidRPr="00C20AA0" w:rsidRDefault="00CC315F" w:rsidP="00C20AA0">
      <w:pPr>
        <w:pStyle w:val="H1G"/>
      </w:pPr>
      <w:r w:rsidRPr="00F001B0">
        <w:rPr>
          <w:lang w:val="fr-FR"/>
        </w:rPr>
        <w:tab/>
        <w:t>D.</w:t>
      </w:r>
      <w:r w:rsidRPr="00F001B0">
        <w:rPr>
          <w:lang w:val="fr-FR"/>
        </w:rPr>
        <w:tab/>
      </w:r>
      <w:r w:rsidRPr="00C20AA0">
        <w:t>Rapport du groupe de travail informel sur la réduction du risque de BLEVE (vaporisation explosive d</w:t>
      </w:r>
      <w:r w:rsidR="008B6F84">
        <w:t>’</w:t>
      </w:r>
      <w:r w:rsidRPr="00C20AA0">
        <w:t>un liquide porté à ébullition) au cours du transport des marchandises dangereuses</w:t>
      </w:r>
    </w:p>
    <w:p w:rsidR="00CC315F" w:rsidRPr="00F001B0" w:rsidRDefault="00CC315F" w:rsidP="00304EE5">
      <w:pPr>
        <w:pStyle w:val="SingleTxtG"/>
        <w:tabs>
          <w:tab w:val="left" w:pos="3402"/>
        </w:tabs>
        <w:ind w:left="3402" w:hanging="2268"/>
        <w:jc w:val="left"/>
        <w:rPr>
          <w:lang w:val="fr-FR"/>
        </w:rPr>
      </w:pPr>
      <w:r w:rsidRPr="00F001B0">
        <w:rPr>
          <w:i/>
          <w:lang w:val="fr-FR"/>
        </w:rPr>
        <w:t>Document informel</w:t>
      </w:r>
      <w:r w:rsidR="00304EE5">
        <w:rPr>
          <w:i/>
          <w:iCs/>
          <w:lang w:val="fr-FR"/>
        </w:rPr>
        <w:t> </w:t>
      </w:r>
      <w:r w:rsidR="00304EE5" w:rsidRPr="008D1FAA">
        <w:rPr>
          <w:iCs/>
          <w:lang w:val="fr-FR"/>
        </w:rPr>
        <w:t>:</w:t>
      </w:r>
      <w:r w:rsidR="00304EE5">
        <w:rPr>
          <w:lang w:val="fr-FR"/>
        </w:rPr>
        <w:tab/>
        <w:t>INF.23 (Espagne)</w:t>
      </w:r>
    </w:p>
    <w:p w:rsidR="00CC315F" w:rsidRPr="00F001B0" w:rsidRDefault="00CC315F" w:rsidP="00CC315F">
      <w:pPr>
        <w:pStyle w:val="SingleTxtG"/>
        <w:rPr>
          <w:lang w:val="fr-FR"/>
        </w:rPr>
      </w:pPr>
      <w:r w:rsidRPr="00F001B0">
        <w:rPr>
          <w:lang w:val="fr-FR"/>
        </w:rPr>
        <w:t>67.</w:t>
      </w:r>
      <w:r w:rsidRPr="00F001B0">
        <w:rPr>
          <w:lang w:val="fr-FR"/>
        </w:rPr>
        <w:tab/>
      </w:r>
      <w:r w:rsidRPr="00F001B0">
        <w:rPr>
          <w:rFonts w:eastAsia="SimSun"/>
          <w:lang w:val="fr-FR" w:eastAsia="zh-CN"/>
        </w:rPr>
        <w:t>La Réunion commune a pris note du rapport et décidé de poursuivre les travaux décrits aux paragraphes 7 à 10 du document informel</w:t>
      </w:r>
      <w:r w:rsidRPr="00F001B0">
        <w:rPr>
          <w:lang w:val="fr-FR"/>
        </w:rPr>
        <w:t xml:space="preserve">. </w:t>
      </w:r>
    </w:p>
    <w:p w:rsidR="00CC315F" w:rsidRPr="00F001B0" w:rsidRDefault="00CC315F" w:rsidP="00CC315F">
      <w:pPr>
        <w:pStyle w:val="SingleTxtG"/>
        <w:rPr>
          <w:lang w:val="fr-FR"/>
        </w:rPr>
      </w:pPr>
      <w:r w:rsidRPr="00F001B0">
        <w:rPr>
          <w:lang w:val="fr-FR"/>
        </w:rPr>
        <w:t>68.</w:t>
      </w:r>
      <w:r w:rsidRPr="00F001B0">
        <w:rPr>
          <w:lang w:val="fr-FR"/>
        </w:rPr>
        <w:tab/>
      </w:r>
      <w:r w:rsidRPr="00F001B0">
        <w:rPr>
          <w:rFonts w:eastAsia="SimSun"/>
          <w:lang w:val="fr-FR" w:eastAsia="zh-CN"/>
        </w:rPr>
        <w:t>Il a été relevé que l</w:t>
      </w:r>
      <w:r w:rsidR="008B6F84">
        <w:rPr>
          <w:rFonts w:eastAsia="SimSun"/>
          <w:lang w:val="fr-FR" w:eastAsia="zh-CN"/>
        </w:rPr>
        <w:t>’</w:t>
      </w:r>
      <w:r w:rsidRPr="00F001B0">
        <w:rPr>
          <w:rFonts w:eastAsia="SimSun"/>
          <w:lang w:val="fr-FR" w:eastAsia="zh-CN"/>
        </w:rPr>
        <w:t>Institut national français de l</w:t>
      </w:r>
      <w:r w:rsidR="008B6F84">
        <w:rPr>
          <w:rFonts w:eastAsia="SimSun"/>
          <w:lang w:val="fr-FR" w:eastAsia="zh-CN"/>
        </w:rPr>
        <w:t>’</w:t>
      </w:r>
      <w:r w:rsidRPr="00F001B0">
        <w:rPr>
          <w:rFonts w:eastAsia="SimSun"/>
          <w:lang w:val="fr-FR" w:eastAsia="zh-CN"/>
        </w:rPr>
        <w:t>environnement industriel et des risques (INERIS) devait s</w:t>
      </w:r>
      <w:r w:rsidR="008B6F84">
        <w:rPr>
          <w:rFonts w:eastAsia="SimSun"/>
          <w:lang w:val="fr-FR" w:eastAsia="zh-CN"/>
        </w:rPr>
        <w:t>’</w:t>
      </w:r>
      <w:r w:rsidRPr="00F001B0">
        <w:rPr>
          <w:rFonts w:eastAsia="SimSun"/>
          <w:lang w:val="fr-FR" w:eastAsia="zh-CN"/>
        </w:rPr>
        <w:t>attaquer en 2018 à la modélisation des trois premiers scénarios énumérés au paragraphe 3, aux incendies impliquant des substances supplémentaires (un gaz et un liquide), aux effets en cas de dommage et à la protection locale. Des travaux supplémentaires pourraient être effectués selon les disponibilités budgétaires</w:t>
      </w:r>
      <w:r w:rsidRPr="00F001B0">
        <w:rPr>
          <w:lang w:val="fr-FR"/>
        </w:rPr>
        <w:t>.</w:t>
      </w:r>
    </w:p>
    <w:p w:rsidR="00CC315F" w:rsidRPr="00F001B0" w:rsidRDefault="00CC315F" w:rsidP="00CC315F">
      <w:pPr>
        <w:pStyle w:val="HChG"/>
        <w:rPr>
          <w:lang w:val="fr-FR"/>
        </w:rPr>
      </w:pPr>
      <w:r w:rsidRPr="00F001B0">
        <w:rPr>
          <w:lang w:val="fr-FR"/>
        </w:rPr>
        <w:tab/>
        <w:t>VIII.</w:t>
      </w:r>
      <w:r w:rsidRPr="00F001B0">
        <w:rPr>
          <w:lang w:val="fr-FR"/>
        </w:rPr>
        <w:tab/>
        <w:t>Accidents et gestion des risques (point 7 de l</w:t>
      </w:r>
      <w:r w:rsidR="008B6F84">
        <w:rPr>
          <w:lang w:val="fr-FR"/>
        </w:rPr>
        <w:t>’</w:t>
      </w:r>
      <w:r w:rsidRPr="00F001B0">
        <w:rPr>
          <w:lang w:val="fr-FR"/>
        </w:rPr>
        <w:t>ordre du jour)</w:t>
      </w:r>
    </w:p>
    <w:p w:rsidR="00CC315F" w:rsidRPr="00F001B0" w:rsidRDefault="00CC315F" w:rsidP="00CC315F">
      <w:pPr>
        <w:pStyle w:val="H1G"/>
        <w:rPr>
          <w:lang w:val="fr-FR"/>
        </w:rPr>
      </w:pPr>
      <w:r w:rsidRPr="00F001B0">
        <w:rPr>
          <w:lang w:val="fr-FR"/>
        </w:rPr>
        <w:tab/>
        <w:t>A.</w:t>
      </w:r>
      <w:r w:rsidRPr="00F001B0">
        <w:rPr>
          <w:lang w:val="fr-FR"/>
        </w:rPr>
        <w:tab/>
      </w:r>
      <w:r w:rsidRPr="00217FBC">
        <w:rPr>
          <w:rFonts w:ascii="Times New Roman Gras" w:hAnsi="Times New Roman Gras"/>
          <w:spacing w:val="-3"/>
          <w:lang w:val="fr-FR"/>
        </w:rPr>
        <w:t>Activités de la deuxième phase de la feuille de route du Groupe</w:t>
      </w:r>
      <w:r w:rsidR="00217FBC" w:rsidRPr="00217FBC">
        <w:rPr>
          <w:rFonts w:ascii="Times New Roman Gras" w:hAnsi="Times New Roman Gras"/>
          <w:spacing w:val="-3"/>
          <w:lang w:val="fr-FR"/>
        </w:rPr>
        <w:t xml:space="preserve"> </w:t>
      </w:r>
      <w:r w:rsidRPr="00217FBC">
        <w:rPr>
          <w:rFonts w:ascii="Times New Roman Gras" w:hAnsi="Times New Roman Gras"/>
          <w:spacing w:val="-3"/>
          <w:lang w:val="fr-FR"/>
        </w:rPr>
        <w:t>de travail</w:t>
      </w:r>
      <w:r w:rsidRPr="00F001B0">
        <w:rPr>
          <w:lang w:val="fr-FR"/>
        </w:rPr>
        <w:t xml:space="preserve"> des transports de marchandises dangereuses</w:t>
      </w:r>
    </w:p>
    <w:p w:rsidR="00CC315F" w:rsidRPr="00F001B0" w:rsidRDefault="00CC315F" w:rsidP="00304EE5">
      <w:pPr>
        <w:pStyle w:val="SingleTxtG"/>
        <w:tabs>
          <w:tab w:val="left" w:pos="3402"/>
        </w:tabs>
        <w:ind w:left="3402" w:hanging="2268"/>
        <w:jc w:val="left"/>
        <w:rPr>
          <w:lang w:val="fr-FR"/>
        </w:rPr>
      </w:pPr>
      <w:r w:rsidRPr="00F001B0">
        <w:rPr>
          <w:i/>
          <w:lang w:val="fr-FR"/>
        </w:rPr>
        <w:t>Document informel</w:t>
      </w:r>
      <w:r w:rsidR="00304EE5">
        <w:rPr>
          <w:i/>
          <w:iCs/>
          <w:lang w:val="fr-FR"/>
        </w:rPr>
        <w:t> </w:t>
      </w:r>
      <w:r w:rsidR="00304EE5" w:rsidRPr="008D1FAA">
        <w:rPr>
          <w:iCs/>
          <w:lang w:val="fr-FR"/>
        </w:rPr>
        <w:t>:</w:t>
      </w:r>
      <w:r w:rsidRPr="00F001B0">
        <w:rPr>
          <w:i/>
          <w:lang w:val="fr-FR"/>
        </w:rPr>
        <w:tab/>
      </w:r>
      <w:r w:rsidRPr="00F001B0">
        <w:rPr>
          <w:i/>
          <w:lang w:val="fr-FR"/>
        </w:rPr>
        <w:tab/>
      </w:r>
      <w:r w:rsidR="006E2AC8">
        <w:rPr>
          <w:lang w:val="fr-FR"/>
        </w:rPr>
        <w:t>INF.27 (ERA)</w:t>
      </w:r>
    </w:p>
    <w:p w:rsidR="00CC315F" w:rsidRPr="00F001B0" w:rsidRDefault="00CC315F" w:rsidP="00CC315F">
      <w:pPr>
        <w:pStyle w:val="SingleTxtG"/>
        <w:tabs>
          <w:tab w:val="left" w:pos="1701"/>
          <w:tab w:val="left" w:pos="3402"/>
        </w:tabs>
        <w:spacing w:before="120"/>
        <w:rPr>
          <w:lang w:val="fr-FR"/>
        </w:rPr>
      </w:pPr>
      <w:r w:rsidRPr="00F001B0">
        <w:rPr>
          <w:lang w:val="fr-FR"/>
        </w:rPr>
        <w:t>69.</w:t>
      </w:r>
      <w:r w:rsidRPr="00F001B0">
        <w:rPr>
          <w:lang w:val="fr-FR"/>
        </w:rPr>
        <w:tab/>
        <w:t>Le représentant de l</w:t>
      </w:r>
      <w:r w:rsidR="008B6F84">
        <w:rPr>
          <w:lang w:val="fr-FR"/>
        </w:rPr>
        <w:t>’</w:t>
      </w:r>
      <w:r w:rsidRPr="00F001B0">
        <w:rPr>
          <w:lang w:val="fr-FR"/>
        </w:rPr>
        <w:t>ERA a informé la Réunion commune que la première édition des guides-cadres sur la gestion des risques liés au transport intérieur de marchandises dangereuses avait été achevée et mise à disposition et qu</w:t>
      </w:r>
      <w:r w:rsidR="008B6F84">
        <w:rPr>
          <w:lang w:val="fr-FR"/>
        </w:rPr>
        <w:t>’</w:t>
      </w:r>
      <w:r w:rsidRPr="00F001B0">
        <w:rPr>
          <w:lang w:val="fr-FR"/>
        </w:rPr>
        <w:t>elle serait bientôt publiée sur le site Web de l</w:t>
      </w:r>
      <w:r w:rsidR="008B6F84">
        <w:rPr>
          <w:lang w:val="fr-FR"/>
        </w:rPr>
        <w:t>’</w:t>
      </w:r>
      <w:r w:rsidRPr="00F001B0">
        <w:rPr>
          <w:lang w:val="fr-FR"/>
        </w:rPr>
        <w:t>ERA, dans l</w:t>
      </w:r>
      <w:r w:rsidR="008B6F84">
        <w:rPr>
          <w:lang w:val="fr-FR"/>
        </w:rPr>
        <w:t>’</w:t>
      </w:r>
      <w:r w:rsidRPr="00F001B0">
        <w:rPr>
          <w:lang w:val="fr-FR"/>
        </w:rPr>
        <w:t>attente de la création d</w:t>
      </w:r>
      <w:r w:rsidR="008B6F84">
        <w:rPr>
          <w:lang w:val="fr-FR"/>
        </w:rPr>
        <w:t>’</w:t>
      </w:r>
      <w:r w:rsidRPr="00F001B0">
        <w:rPr>
          <w:lang w:val="fr-FR"/>
        </w:rPr>
        <w:t xml:space="preserve">un site Web propre. </w:t>
      </w:r>
    </w:p>
    <w:p w:rsidR="00CC315F" w:rsidRPr="00F001B0" w:rsidRDefault="00CC315F" w:rsidP="00CC315F">
      <w:pPr>
        <w:pStyle w:val="SingleTxtG"/>
        <w:rPr>
          <w:lang w:val="fr-FR"/>
        </w:rPr>
      </w:pPr>
      <w:r w:rsidRPr="00F001B0">
        <w:rPr>
          <w:lang w:val="fr-FR"/>
        </w:rPr>
        <w:t>70.</w:t>
      </w:r>
      <w:r w:rsidRPr="00F001B0">
        <w:rPr>
          <w:lang w:val="fr-FR"/>
        </w:rPr>
        <w:tab/>
        <w:t>Les représentants de l</w:t>
      </w:r>
      <w:r w:rsidR="008B6F84">
        <w:rPr>
          <w:lang w:val="fr-FR"/>
        </w:rPr>
        <w:t>’</w:t>
      </w:r>
      <w:r w:rsidRPr="00F001B0">
        <w:rPr>
          <w:lang w:val="fr-FR"/>
        </w:rPr>
        <w:t>Espagne et du Royaume-Uni ont fait remarquer que les guides en question devaient encore être perfectionnés avant qu</w:t>
      </w:r>
      <w:r w:rsidR="008B6F84">
        <w:rPr>
          <w:lang w:val="fr-FR"/>
        </w:rPr>
        <w:t>’</w:t>
      </w:r>
      <w:r w:rsidRPr="00F001B0">
        <w:rPr>
          <w:lang w:val="fr-FR"/>
        </w:rPr>
        <w:t>ils puissent être mis en application. Selon eux, compte tenu de son stade actuel de développement, la méthode proposée ne pourrait donner des résultats fiables car les données disponibles étaient insuffisantes au regard de tous les paramètres et qu</w:t>
      </w:r>
      <w:r w:rsidR="008B6F84">
        <w:rPr>
          <w:lang w:val="fr-FR"/>
        </w:rPr>
        <w:t>’</w:t>
      </w:r>
      <w:r w:rsidRPr="00F001B0">
        <w:rPr>
          <w:lang w:val="fr-FR"/>
        </w:rPr>
        <w:t>en outre elle était difficile à comprendre et à utiliser. D</w:t>
      </w:r>
      <w:r w:rsidR="008B6F84">
        <w:rPr>
          <w:lang w:val="fr-FR"/>
        </w:rPr>
        <w:t>’</w:t>
      </w:r>
      <w:r w:rsidRPr="00F001B0">
        <w:rPr>
          <w:lang w:val="fr-FR"/>
        </w:rPr>
        <w:t>autres participants ont fait savoir que, étant donné que le document de l</w:t>
      </w:r>
      <w:r w:rsidR="008B6F84">
        <w:rPr>
          <w:lang w:val="fr-FR"/>
        </w:rPr>
        <w:t>’</w:t>
      </w:r>
      <w:r w:rsidRPr="00F001B0">
        <w:rPr>
          <w:lang w:val="fr-FR"/>
        </w:rPr>
        <w:t>ERA avait été soumis tardivement, ils n</w:t>
      </w:r>
      <w:r w:rsidR="008B6F84">
        <w:rPr>
          <w:lang w:val="fr-FR"/>
        </w:rPr>
        <w:t>’</w:t>
      </w:r>
      <w:r w:rsidRPr="00F001B0">
        <w:rPr>
          <w:lang w:val="fr-FR"/>
        </w:rPr>
        <w:t xml:space="preserve">avaient pas eu le temps de consulter leurs autorités nationales pour pouvoir faire des observations à la présente session. Ils ont souligné la nécessité que les guides leur soient soumis dans leur propre langue. </w:t>
      </w:r>
    </w:p>
    <w:p w:rsidR="00CC315F" w:rsidRPr="00F001B0" w:rsidRDefault="00CC315F" w:rsidP="00CC315F">
      <w:pPr>
        <w:pStyle w:val="SingleTxtG"/>
        <w:rPr>
          <w:lang w:val="fr-FR"/>
        </w:rPr>
      </w:pPr>
      <w:r w:rsidRPr="00F001B0">
        <w:rPr>
          <w:lang w:val="fr-FR"/>
        </w:rPr>
        <w:t>71.</w:t>
      </w:r>
      <w:r w:rsidRPr="00F001B0">
        <w:rPr>
          <w:lang w:val="fr-FR"/>
        </w:rPr>
        <w:tab/>
        <w:t>Tout en admettant les préoccupations formulées par l</w:t>
      </w:r>
      <w:r w:rsidR="008B6F84">
        <w:rPr>
          <w:lang w:val="fr-FR"/>
        </w:rPr>
        <w:t>’</w:t>
      </w:r>
      <w:r w:rsidRPr="00F001B0">
        <w:rPr>
          <w:lang w:val="fr-FR"/>
        </w:rPr>
        <w:t>Espagne et le Royaume-Uni concernant la paucité des données disponibles, le représentant de l</w:t>
      </w:r>
      <w:r w:rsidR="008B6F84">
        <w:rPr>
          <w:lang w:val="fr-FR"/>
        </w:rPr>
        <w:t>’</w:t>
      </w:r>
      <w:r w:rsidRPr="00F001B0">
        <w:rPr>
          <w:lang w:val="fr-FR"/>
        </w:rPr>
        <w:t>ERA a expliqué que cette difficulté pourrait être résolue en partie en utilisant des données de référence. Il a précisé que la France et la Suisse avaient déjà fourni des données de référence pour certains paramètres, qui pourraient être utilisées ultérieurement pour améliorer la qualité et la fiabilité des résultats ainsi que la méthode. Il a encouragé les autres pays à fournir des ensembles de données qui pourraient servir de valeurs de référence. Il a expliqué que les guides constituaient un cadre et proposaient une méthode et qu</w:t>
      </w:r>
      <w:r w:rsidR="008B6F84">
        <w:rPr>
          <w:lang w:val="fr-FR"/>
        </w:rPr>
        <w:t>’</w:t>
      </w:r>
      <w:r w:rsidRPr="00F001B0">
        <w:rPr>
          <w:lang w:val="fr-FR"/>
        </w:rPr>
        <w:t>ils seraient révisés à l</w:t>
      </w:r>
      <w:r w:rsidR="008B6F84">
        <w:rPr>
          <w:lang w:val="fr-FR"/>
        </w:rPr>
        <w:t>’</w:t>
      </w:r>
      <w:r w:rsidRPr="00F001B0">
        <w:rPr>
          <w:lang w:val="fr-FR"/>
        </w:rPr>
        <w:t>avenir pour tenir compte de l</w:t>
      </w:r>
      <w:r w:rsidR="008B6F84">
        <w:rPr>
          <w:lang w:val="fr-FR"/>
        </w:rPr>
        <w:t>’</w:t>
      </w:r>
      <w:r w:rsidRPr="00F001B0">
        <w:rPr>
          <w:lang w:val="fr-FR"/>
        </w:rPr>
        <w:t>expérience acquise dans leur mise en œuvre, de l</w:t>
      </w:r>
      <w:r w:rsidR="008B6F84">
        <w:rPr>
          <w:lang w:val="fr-FR"/>
        </w:rPr>
        <w:t>’</w:t>
      </w:r>
      <w:r w:rsidRPr="00F001B0">
        <w:rPr>
          <w:lang w:val="fr-FR"/>
        </w:rPr>
        <w:t xml:space="preserve">amélioration de la collecte des données et des informations fournies en retour par les utilisateurs. </w:t>
      </w:r>
    </w:p>
    <w:p w:rsidR="00CC315F" w:rsidRPr="00F001B0" w:rsidRDefault="00CC315F" w:rsidP="00CC315F">
      <w:pPr>
        <w:pStyle w:val="SingleTxtG"/>
        <w:rPr>
          <w:lang w:val="fr-FR"/>
        </w:rPr>
      </w:pPr>
      <w:r w:rsidRPr="00F001B0">
        <w:rPr>
          <w:lang w:val="fr-FR"/>
        </w:rPr>
        <w:t>72.</w:t>
      </w:r>
      <w:r w:rsidRPr="00F001B0">
        <w:rPr>
          <w:lang w:val="fr-FR"/>
        </w:rPr>
        <w:tab/>
        <w:t>La Réunion commune a invité le représentant de l</w:t>
      </w:r>
      <w:r w:rsidR="008B6F84">
        <w:rPr>
          <w:lang w:val="fr-FR"/>
        </w:rPr>
        <w:t>’</w:t>
      </w:r>
      <w:r w:rsidRPr="00F001B0">
        <w:rPr>
          <w:lang w:val="fr-FR"/>
        </w:rPr>
        <w:t>ERA à lui soumettre, à sa session d</w:t>
      </w:r>
      <w:r w:rsidR="008B6F84">
        <w:rPr>
          <w:lang w:val="fr-FR"/>
        </w:rPr>
        <w:t>’</w:t>
      </w:r>
      <w:r w:rsidRPr="00F001B0">
        <w:rPr>
          <w:lang w:val="fr-FR"/>
        </w:rPr>
        <w:t>automne, les guides et toute autre information connexe dans des documents pourvus d</w:t>
      </w:r>
      <w:r w:rsidR="008B6F84">
        <w:rPr>
          <w:lang w:val="fr-FR"/>
        </w:rPr>
        <w:t>’</w:t>
      </w:r>
      <w:r w:rsidRPr="00F001B0">
        <w:rPr>
          <w:lang w:val="fr-FR"/>
        </w:rPr>
        <w:t>une cote officielle. De la sorte, les délégations auraient le temps de les étudier en détail et de consulter leurs autorités nationales afin de pouvoir communiquer la position de leur pays à ce sujet lors de la session. Le représentant de l</w:t>
      </w:r>
      <w:r w:rsidR="008B6F84">
        <w:rPr>
          <w:lang w:val="fr-FR"/>
        </w:rPr>
        <w:t>’</w:t>
      </w:r>
      <w:r w:rsidRPr="00F001B0">
        <w:rPr>
          <w:lang w:val="fr-FR"/>
        </w:rPr>
        <w:t>ERA s</w:t>
      </w:r>
      <w:r w:rsidR="008B6F84">
        <w:rPr>
          <w:lang w:val="fr-FR"/>
        </w:rPr>
        <w:t>’</w:t>
      </w:r>
      <w:r w:rsidRPr="00F001B0">
        <w:rPr>
          <w:lang w:val="fr-FR"/>
        </w:rPr>
        <w:t>est proposé pour faire une présentation détaillée des guides lors de la session d</w:t>
      </w:r>
      <w:r w:rsidR="008B6F84">
        <w:rPr>
          <w:lang w:val="fr-FR"/>
        </w:rPr>
        <w:t>’</w:t>
      </w:r>
      <w:r w:rsidRPr="00F001B0">
        <w:rPr>
          <w:lang w:val="fr-FR"/>
        </w:rPr>
        <w:t xml:space="preserve">automne afin de faciliter les débats. </w:t>
      </w:r>
    </w:p>
    <w:p w:rsidR="00CC315F" w:rsidRPr="00F001B0" w:rsidRDefault="00CC315F" w:rsidP="00CC315F">
      <w:pPr>
        <w:pStyle w:val="SingleTxtG"/>
        <w:rPr>
          <w:lang w:val="fr-FR"/>
        </w:rPr>
      </w:pPr>
      <w:r w:rsidRPr="00F001B0">
        <w:rPr>
          <w:lang w:val="fr-FR"/>
        </w:rPr>
        <w:t>73.</w:t>
      </w:r>
      <w:r w:rsidRPr="00F001B0">
        <w:rPr>
          <w:lang w:val="fr-FR"/>
        </w:rPr>
        <w:tab/>
        <w:t>Pour finir, la Réunion commune a pris note que l</w:t>
      </w:r>
      <w:r w:rsidR="008B6F84">
        <w:rPr>
          <w:lang w:val="fr-FR"/>
        </w:rPr>
        <w:t>’</w:t>
      </w:r>
      <w:r w:rsidRPr="00F001B0">
        <w:rPr>
          <w:lang w:val="fr-FR"/>
        </w:rPr>
        <w:t>ERA avait l</w:t>
      </w:r>
      <w:r w:rsidR="008B6F84">
        <w:rPr>
          <w:lang w:val="fr-FR"/>
        </w:rPr>
        <w:t>’</w:t>
      </w:r>
      <w:r w:rsidRPr="00F001B0">
        <w:rPr>
          <w:lang w:val="fr-FR"/>
        </w:rPr>
        <w:t>intention de créer un groupe d</w:t>
      </w:r>
      <w:r w:rsidR="008B6F84">
        <w:rPr>
          <w:lang w:val="fr-FR"/>
        </w:rPr>
        <w:t>’</w:t>
      </w:r>
      <w:r w:rsidRPr="00F001B0">
        <w:rPr>
          <w:lang w:val="fr-FR"/>
        </w:rPr>
        <w:t>experts chargé des utilisateurs et du développement qui serait chargé de l</w:t>
      </w:r>
      <w:r w:rsidR="008B6F84">
        <w:rPr>
          <w:lang w:val="fr-FR"/>
        </w:rPr>
        <w:t>’</w:t>
      </w:r>
      <w:r w:rsidRPr="00F001B0">
        <w:rPr>
          <w:lang w:val="fr-FR"/>
        </w:rPr>
        <w:t>amélioration continue du cadre de gestion des risques dans les transports intérieurs de marchandises dangereuses. Les participants ont noté que les dates des réunions et des ateliers du groupe pour 2018 avaient déjà été fixées (voir p. 2 du document informel INF.27). Le représentant de l</w:t>
      </w:r>
      <w:r w:rsidR="008B6F84">
        <w:rPr>
          <w:lang w:val="fr-FR"/>
        </w:rPr>
        <w:t>’</w:t>
      </w:r>
      <w:r w:rsidRPr="00F001B0">
        <w:rPr>
          <w:lang w:val="fr-FR"/>
        </w:rPr>
        <w:t>ERA a indiqué que son organisation était prête à accueillir à tout moment les experts qui seraient nommés par tous les pays et organisations participant aux travaux de la Réunion commune, notamment ceux possédant une expérience dans les domaines suivants : notification des faits et statistiques des transports, modèles pour l</w:t>
      </w:r>
      <w:r w:rsidR="008B6F84">
        <w:rPr>
          <w:lang w:val="fr-FR"/>
        </w:rPr>
        <w:t>’</w:t>
      </w:r>
      <w:r w:rsidRPr="00F001B0">
        <w:rPr>
          <w:lang w:val="fr-FR"/>
        </w:rPr>
        <w:t>estimation des risques (y compris modèles physiques et physiologiques), prise de décisions (notamment critères d</w:t>
      </w:r>
      <w:r w:rsidR="008B6F84">
        <w:rPr>
          <w:lang w:val="fr-FR"/>
        </w:rPr>
        <w:t>’</w:t>
      </w:r>
      <w:r w:rsidRPr="00F001B0">
        <w:rPr>
          <w:lang w:val="fr-FR"/>
        </w:rPr>
        <w:t>acceptation) et mise au point d</w:t>
      </w:r>
      <w:r w:rsidR="008B6F84">
        <w:rPr>
          <w:lang w:val="fr-FR"/>
        </w:rPr>
        <w:t>’</w:t>
      </w:r>
      <w:r w:rsidRPr="00F001B0">
        <w:rPr>
          <w:lang w:val="fr-FR"/>
        </w:rPr>
        <w:t>outils d</w:t>
      </w:r>
      <w:r w:rsidR="008B6F84">
        <w:rPr>
          <w:lang w:val="fr-FR"/>
        </w:rPr>
        <w:t>’</w:t>
      </w:r>
      <w:r w:rsidRPr="00F001B0">
        <w:rPr>
          <w:lang w:val="fr-FR"/>
        </w:rPr>
        <w:t>information et de communication. On trouverait des formulaires de présentation des candidatures à l</w:t>
      </w:r>
      <w:r w:rsidR="008B6F84">
        <w:rPr>
          <w:lang w:val="fr-FR"/>
        </w:rPr>
        <w:t>’</w:t>
      </w:r>
      <w:r w:rsidRPr="00F001B0">
        <w:rPr>
          <w:lang w:val="fr-FR"/>
        </w:rPr>
        <w:t>appendice</w:t>
      </w:r>
      <w:r w:rsidR="008E39EA">
        <w:rPr>
          <w:lang w:val="fr-FR"/>
        </w:rPr>
        <w:t> I du document INF.27.</w:t>
      </w:r>
    </w:p>
    <w:p w:rsidR="00CC315F" w:rsidRPr="00F001B0" w:rsidRDefault="00CC315F" w:rsidP="00CC315F">
      <w:pPr>
        <w:pStyle w:val="H1G"/>
        <w:rPr>
          <w:lang w:val="fr-FR"/>
        </w:rPr>
      </w:pPr>
      <w:r w:rsidRPr="00F001B0">
        <w:rPr>
          <w:lang w:val="fr-FR"/>
        </w:rPr>
        <w:tab/>
        <w:t>B.</w:t>
      </w:r>
      <w:r w:rsidRPr="00F001B0">
        <w:rPr>
          <w:lang w:val="fr-FR"/>
        </w:rPr>
        <w:tab/>
        <w:t>Amélioration des systèmes d</w:t>
      </w:r>
      <w:r w:rsidR="008B6F84">
        <w:rPr>
          <w:lang w:val="fr-FR"/>
        </w:rPr>
        <w:t>’</w:t>
      </w:r>
      <w:r w:rsidRPr="00F001B0">
        <w:rPr>
          <w:lang w:val="fr-FR"/>
        </w:rPr>
        <w:t>information sur les incidents survenant dans les transports intérieurs de marchandises dangereuses</w:t>
      </w:r>
    </w:p>
    <w:p w:rsidR="00CC315F" w:rsidRPr="00F001B0" w:rsidRDefault="00CC315F" w:rsidP="00304EE5">
      <w:pPr>
        <w:pStyle w:val="SingleTxtG"/>
        <w:tabs>
          <w:tab w:val="left" w:pos="3402"/>
        </w:tabs>
        <w:ind w:left="3402" w:hanging="2268"/>
        <w:jc w:val="left"/>
        <w:rPr>
          <w:lang w:val="fr-FR"/>
        </w:rPr>
      </w:pPr>
      <w:r w:rsidRPr="00F001B0">
        <w:rPr>
          <w:i/>
          <w:lang w:val="fr-FR"/>
        </w:rPr>
        <w:t>Documents informels</w:t>
      </w:r>
      <w:r w:rsidR="008E39EA">
        <w:rPr>
          <w:i/>
          <w:lang w:val="fr-FR"/>
        </w:rPr>
        <w:t> </w:t>
      </w:r>
      <w:r w:rsidR="008E39EA">
        <w:rPr>
          <w:lang w:val="fr-FR"/>
        </w:rPr>
        <w:t>:</w:t>
      </w:r>
      <w:r w:rsidRPr="00F001B0">
        <w:rPr>
          <w:i/>
          <w:lang w:val="fr-FR"/>
        </w:rPr>
        <w:tab/>
      </w:r>
      <w:r w:rsidRPr="00F001B0">
        <w:rPr>
          <w:lang w:val="fr-FR"/>
        </w:rPr>
        <w:t>INF.26 (ERA)</w:t>
      </w:r>
      <w:r w:rsidR="00946124">
        <w:rPr>
          <w:lang w:val="fr-FR"/>
        </w:rPr>
        <w:br/>
      </w:r>
      <w:r w:rsidRPr="00F001B0">
        <w:rPr>
          <w:i/>
          <w:lang w:val="fr-FR"/>
        </w:rPr>
        <w:tab/>
      </w:r>
      <w:r w:rsidR="00946124">
        <w:rPr>
          <w:lang w:val="fr-FR"/>
        </w:rPr>
        <w:t>INF.42 (France)</w:t>
      </w:r>
    </w:p>
    <w:p w:rsidR="00CC315F" w:rsidRPr="00F001B0" w:rsidRDefault="00CC315F" w:rsidP="00CC315F">
      <w:pPr>
        <w:pStyle w:val="SingleTxtG"/>
        <w:tabs>
          <w:tab w:val="left" w:pos="1701"/>
        </w:tabs>
        <w:rPr>
          <w:lang w:val="fr-FR"/>
        </w:rPr>
      </w:pPr>
      <w:r w:rsidRPr="00F001B0">
        <w:rPr>
          <w:lang w:val="fr-FR"/>
        </w:rPr>
        <w:t>74.</w:t>
      </w:r>
      <w:r w:rsidRPr="00F001B0">
        <w:rPr>
          <w:lang w:val="fr-FR"/>
        </w:rPr>
        <w:tab/>
        <w:t>La Réunion commune a pris note des informations présentées dans le document de l</w:t>
      </w:r>
      <w:r w:rsidR="008B6F84">
        <w:rPr>
          <w:lang w:val="fr-FR"/>
        </w:rPr>
        <w:t>’</w:t>
      </w:r>
      <w:r w:rsidRPr="00F001B0">
        <w:rPr>
          <w:lang w:val="fr-FR"/>
        </w:rPr>
        <w:t>ERA concernant la liste de paramètres à utiliser dans la méthode harmonisée d</w:t>
      </w:r>
      <w:r w:rsidR="008B6F84">
        <w:rPr>
          <w:lang w:val="fr-FR"/>
        </w:rPr>
        <w:t>’</w:t>
      </w:r>
      <w:r w:rsidRPr="00F001B0">
        <w:rPr>
          <w:lang w:val="fr-FR"/>
        </w:rPr>
        <w:t>estimation des risques et une proposition tendant à l</w:t>
      </w:r>
      <w:r w:rsidR="008B6F84">
        <w:rPr>
          <w:lang w:val="fr-FR"/>
        </w:rPr>
        <w:t>’</w:t>
      </w:r>
      <w:r w:rsidRPr="00F001B0">
        <w:rPr>
          <w:lang w:val="fr-FR"/>
        </w:rPr>
        <w:t>élaboration d</w:t>
      </w:r>
      <w:r w:rsidR="008B6F84">
        <w:rPr>
          <w:lang w:val="fr-FR"/>
        </w:rPr>
        <w:t>’</w:t>
      </w:r>
      <w:r w:rsidRPr="00F001B0">
        <w:rPr>
          <w:lang w:val="fr-FR"/>
        </w:rPr>
        <w:t>un système commun d</w:t>
      </w:r>
      <w:r w:rsidR="008B6F84">
        <w:rPr>
          <w:lang w:val="fr-FR"/>
        </w:rPr>
        <w:t>’</w:t>
      </w:r>
      <w:r w:rsidRPr="00F001B0">
        <w:rPr>
          <w:lang w:val="fr-FR"/>
        </w:rPr>
        <w:t xml:space="preserve">information sur les incidents ferroviaires (Common Occurrence </w:t>
      </w:r>
      <w:proofErr w:type="spellStart"/>
      <w:r w:rsidRPr="00F001B0">
        <w:rPr>
          <w:lang w:val="fr-FR"/>
        </w:rPr>
        <w:t>Reporting</w:t>
      </w:r>
      <w:proofErr w:type="spellEnd"/>
      <w:r w:rsidRPr="00F001B0">
        <w:rPr>
          <w:lang w:val="fr-FR"/>
        </w:rPr>
        <w:t xml:space="preserve"> (COR) System). Le représentant de l</w:t>
      </w:r>
      <w:r w:rsidR="008B6F84">
        <w:rPr>
          <w:lang w:val="fr-FR"/>
        </w:rPr>
        <w:t>’</w:t>
      </w:r>
      <w:r w:rsidRPr="00F001B0">
        <w:rPr>
          <w:lang w:val="fr-FR"/>
        </w:rPr>
        <w:t xml:space="preserve">ERA a expliqué que le document relatif au système COR était un document de réflexion qui serait utilisé pour élaborer une méthode commune en matière de sécurité. </w:t>
      </w:r>
    </w:p>
    <w:p w:rsidR="00CC315F" w:rsidRPr="00F001B0" w:rsidRDefault="00CC315F" w:rsidP="00CC315F">
      <w:pPr>
        <w:pStyle w:val="SingleTxtG"/>
        <w:tabs>
          <w:tab w:val="left" w:pos="1701"/>
        </w:tabs>
        <w:rPr>
          <w:lang w:val="fr-FR"/>
        </w:rPr>
      </w:pPr>
      <w:r w:rsidRPr="00F001B0">
        <w:rPr>
          <w:lang w:val="fr-FR"/>
        </w:rPr>
        <w:t>75.</w:t>
      </w:r>
      <w:r w:rsidRPr="00F001B0">
        <w:rPr>
          <w:lang w:val="fr-FR"/>
        </w:rPr>
        <w:tab/>
        <w:t>Le représentant de l</w:t>
      </w:r>
      <w:r w:rsidR="008B6F84">
        <w:rPr>
          <w:lang w:val="fr-FR"/>
        </w:rPr>
        <w:t>’</w:t>
      </w:r>
      <w:r w:rsidRPr="00F001B0">
        <w:rPr>
          <w:lang w:val="fr-FR"/>
        </w:rPr>
        <w:t>ERA a indiqué que ces travaux devraient être coordonnés avec les travaux de la Réunion commune sur la section 1.8.5 du RID, de l</w:t>
      </w:r>
      <w:r w:rsidR="008B6F84">
        <w:rPr>
          <w:lang w:val="fr-FR"/>
        </w:rPr>
        <w:t>’</w:t>
      </w:r>
      <w:r w:rsidRPr="00F001B0">
        <w:rPr>
          <w:lang w:val="fr-FR"/>
        </w:rPr>
        <w:t>ADR et de l</w:t>
      </w:r>
      <w:r w:rsidR="008B6F84">
        <w:rPr>
          <w:lang w:val="fr-FR"/>
        </w:rPr>
        <w:t>’</w:t>
      </w:r>
      <w:r w:rsidRPr="00F001B0">
        <w:rPr>
          <w:lang w:val="fr-FR"/>
        </w:rPr>
        <w:t>ADN. Il a souligné qu</w:t>
      </w:r>
      <w:r w:rsidR="008B6F84">
        <w:rPr>
          <w:lang w:val="fr-FR"/>
        </w:rPr>
        <w:t>’</w:t>
      </w:r>
      <w:r w:rsidRPr="00F001B0">
        <w:rPr>
          <w:lang w:val="fr-FR"/>
        </w:rPr>
        <w:t>au cas où la Réunion commune déciderait de ne pas saisir cette occasion, l</w:t>
      </w:r>
      <w:r w:rsidR="008B6F84">
        <w:rPr>
          <w:lang w:val="fr-FR"/>
        </w:rPr>
        <w:t>’</w:t>
      </w:r>
      <w:r w:rsidRPr="00F001B0">
        <w:rPr>
          <w:lang w:val="fr-FR"/>
        </w:rPr>
        <w:t>ERA élaborerait son propre système pour le secteur ferroviaire européen, qui pourrait être entièrement harmonisé ou non avec les dispositions du 1.8.5.</w:t>
      </w:r>
    </w:p>
    <w:p w:rsidR="00CC315F" w:rsidRPr="00F001B0" w:rsidRDefault="00CC315F" w:rsidP="00CC315F">
      <w:pPr>
        <w:pStyle w:val="SingleTxtG"/>
        <w:tabs>
          <w:tab w:val="left" w:pos="1701"/>
        </w:tabs>
        <w:rPr>
          <w:lang w:val="fr-FR"/>
        </w:rPr>
      </w:pPr>
      <w:r w:rsidRPr="00F001B0">
        <w:rPr>
          <w:lang w:val="fr-FR"/>
        </w:rPr>
        <w:t>76.</w:t>
      </w:r>
      <w:r w:rsidRPr="00F001B0">
        <w:rPr>
          <w:lang w:val="fr-FR"/>
        </w:rPr>
        <w:tab/>
        <w:t>En ce qui concernait la collecte de données, certaines délégations ont déclaré que la disponibilité de certains des paramètres énumérés à l</w:t>
      </w:r>
      <w:r w:rsidR="008B6F84">
        <w:rPr>
          <w:lang w:val="fr-FR"/>
        </w:rPr>
        <w:t>’</w:t>
      </w:r>
      <w:r w:rsidRPr="00F001B0">
        <w:rPr>
          <w:lang w:val="fr-FR"/>
        </w:rPr>
        <w:t>appendice I du document informel INF.26 pourrait poser problème. Elles ont fait valoir que les données brutes n</w:t>
      </w:r>
      <w:r w:rsidR="008B6F84">
        <w:rPr>
          <w:lang w:val="fr-FR"/>
        </w:rPr>
        <w:t>’</w:t>
      </w:r>
      <w:r w:rsidRPr="00F001B0">
        <w:rPr>
          <w:lang w:val="fr-FR"/>
        </w:rPr>
        <w:t>étaient pas toujours disponibles au niveau national pour des paramètres tels que le type et la quantité de marchandises dangereuses transportées ou les types de véhicules utilisés, et qu</w:t>
      </w:r>
      <w:r w:rsidR="008B6F84">
        <w:rPr>
          <w:lang w:val="fr-FR"/>
        </w:rPr>
        <w:t>’</w:t>
      </w:r>
      <w:r w:rsidRPr="00F001B0">
        <w:rPr>
          <w:lang w:val="fr-FR"/>
        </w:rPr>
        <w:t>il serait donc impossible pour certains pays de fournir des données aussi détaillées. Selon d</w:t>
      </w:r>
      <w:r w:rsidR="008B6F84">
        <w:rPr>
          <w:lang w:val="fr-FR"/>
        </w:rPr>
        <w:t>’</w:t>
      </w:r>
      <w:r w:rsidRPr="00F001B0">
        <w:rPr>
          <w:lang w:val="fr-FR"/>
        </w:rPr>
        <w:t>autres délégations, l</w:t>
      </w:r>
      <w:r w:rsidR="008B6F84">
        <w:rPr>
          <w:lang w:val="fr-FR"/>
        </w:rPr>
        <w:t>’</w:t>
      </w:r>
      <w:r w:rsidRPr="00F001B0">
        <w:rPr>
          <w:lang w:val="fr-FR"/>
        </w:rPr>
        <w:t>expérience avait montré qu</w:t>
      </w:r>
      <w:r w:rsidR="008B6F84">
        <w:rPr>
          <w:lang w:val="fr-FR"/>
        </w:rPr>
        <w:t>’</w:t>
      </w:r>
      <w:r w:rsidRPr="00F001B0">
        <w:rPr>
          <w:lang w:val="fr-FR"/>
        </w:rPr>
        <w:t>il n</w:t>
      </w:r>
      <w:r w:rsidR="008B6F84">
        <w:rPr>
          <w:lang w:val="fr-FR"/>
        </w:rPr>
        <w:t>’</w:t>
      </w:r>
      <w:r w:rsidRPr="00F001B0">
        <w:rPr>
          <w:lang w:val="fr-FR"/>
        </w:rPr>
        <w:t>était pas toujours facile de réunir des données supplémentaires après un accident ou un incident. D</w:t>
      </w:r>
      <w:r w:rsidR="008B6F84">
        <w:rPr>
          <w:lang w:val="fr-FR"/>
        </w:rPr>
        <w:t>’</w:t>
      </w:r>
      <w:r w:rsidRPr="00F001B0">
        <w:rPr>
          <w:lang w:val="fr-FR"/>
        </w:rPr>
        <w:t>autres encore ont fait observer qu</w:t>
      </w:r>
      <w:r w:rsidR="008B6F84">
        <w:rPr>
          <w:lang w:val="fr-FR"/>
        </w:rPr>
        <w:t>’</w:t>
      </w:r>
      <w:r w:rsidRPr="00F001B0">
        <w:rPr>
          <w:lang w:val="fr-FR"/>
        </w:rPr>
        <w:t>il serait nécessaire d</w:t>
      </w:r>
      <w:r w:rsidR="008B6F84">
        <w:rPr>
          <w:lang w:val="fr-FR"/>
        </w:rPr>
        <w:t>’</w:t>
      </w:r>
      <w:r w:rsidRPr="00F001B0">
        <w:rPr>
          <w:lang w:val="fr-FR"/>
        </w:rPr>
        <w:t>étudier la manière dont les dispositions actuelles de la section 1.8.5 étaient mises en œuvre dans différents pays afin d</w:t>
      </w:r>
      <w:r w:rsidR="008B6F84">
        <w:rPr>
          <w:lang w:val="fr-FR"/>
        </w:rPr>
        <w:t>’</w:t>
      </w:r>
      <w:r w:rsidRPr="00F001B0">
        <w:rPr>
          <w:lang w:val="fr-FR"/>
        </w:rPr>
        <w:t>avoir une vue d</w:t>
      </w:r>
      <w:r w:rsidR="008B6F84">
        <w:rPr>
          <w:lang w:val="fr-FR"/>
        </w:rPr>
        <w:t>’</w:t>
      </w:r>
      <w:r w:rsidRPr="00F001B0">
        <w:rPr>
          <w:lang w:val="fr-FR"/>
        </w:rPr>
        <w:t>ensemble de la situation actuelle et des difficultés qui pourraient se poser.</w:t>
      </w:r>
    </w:p>
    <w:p w:rsidR="00CC315F" w:rsidRPr="00F001B0" w:rsidRDefault="00CC315F" w:rsidP="00CC315F">
      <w:pPr>
        <w:pStyle w:val="SingleTxtG"/>
        <w:tabs>
          <w:tab w:val="left" w:pos="1701"/>
        </w:tabs>
        <w:rPr>
          <w:lang w:val="fr-FR"/>
        </w:rPr>
      </w:pPr>
      <w:r w:rsidRPr="00F001B0">
        <w:rPr>
          <w:lang w:val="fr-FR"/>
        </w:rPr>
        <w:t>77.</w:t>
      </w:r>
      <w:r w:rsidRPr="00F001B0">
        <w:rPr>
          <w:lang w:val="fr-FR"/>
        </w:rPr>
        <w:tab/>
        <w:t>Il a toutefois été rappelé que la collecte de données sur les accidents était effectuée avec succès dans certains pays et que des travaux sur la notification des accidents avaient déjà été envisagés lors de précédentes sessions de la Réunion commune après que les ateliers de l</w:t>
      </w:r>
      <w:r w:rsidR="008B6F84">
        <w:rPr>
          <w:lang w:val="fr-FR"/>
        </w:rPr>
        <w:t>’</w:t>
      </w:r>
      <w:r w:rsidRPr="00F001B0">
        <w:rPr>
          <w:lang w:val="fr-FR"/>
        </w:rPr>
        <w:t>ERA avaient fourni la liste des données utiles (voir ECE/TRANS/WP.15/AC.1/136, par. 61, ECE/TRANS/WP.15/AC.1/138, par. 59 et 60, et ECE/TRANS/WP.15/AC.1/140, par.</w:t>
      </w:r>
      <w:r w:rsidR="00946124">
        <w:rPr>
          <w:lang w:val="fr-FR"/>
        </w:rPr>
        <w:t> </w:t>
      </w:r>
      <w:r w:rsidRPr="00F001B0">
        <w:rPr>
          <w:lang w:val="fr-FR"/>
        </w:rPr>
        <w:t>86 à 90). Il a été noté que le système COR constituait une occasion unique qu</w:t>
      </w:r>
      <w:r w:rsidR="008B6F84">
        <w:rPr>
          <w:lang w:val="fr-FR"/>
        </w:rPr>
        <w:t>’</w:t>
      </w:r>
      <w:r w:rsidRPr="00F001B0">
        <w:rPr>
          <w:lang w:val="fr-FR"/>
        </w:rPr>
        <w:t>il ne fallait pas manquer.</w:t>
      </w:r>
    </w:p>
    <w:p w:rsidR="00CC315F" w:rsidRPr="00F001B0" w:rsidRDefault="00CC315F" w:rsidP="00CC315F">
      <w:pPr>
        <w:pStyle w:val="SingleTxtG"/>
        <w:tabs>
          <w:tab w:val="left" w:pos="1701"/>
        </w:tabs>
        <w:rPr>
          <w:lang w:val="fr-FR"/>
        </w:rPr>
      </w:pPr>
      <w:r w:rsidRPr="00F001B0">
        <w:rPr>
          <w:lang w:val="fr-FR"/>
        </w:rPr>
        <w:t>78.</w:t>
      </w:r>
      <w:r w:rsidRPr="00F001B0">
        <w:rPr>
          <w:lang w:val="fr-FR"/>
        </w:rPr>
        <w:tab/>
        <w:t>Après un échange de vues, la Réunion commune a estimé que, dans un premier temps, les pays devraient s</w:t>
      </w:r>
      <w:r w:rsidR="008B6F84">
        <w:rPr>
          <w:lang w:val="fr-FR"/>
        </w:rPr>
        <w:t>’</w:t>
      </w:r>
      <w:r w:rsidRPr="00F001B0">
        <w:rPr>
          <w:lang w:val="fr-FR"/>
        </w:rPr>
        <w:t>enquérir du type de données et de statistiques disponibles aux échelons national et régional (par exemple, les données recueillies au niveau de l</w:t>
      </w:r>
      <w:r w:rsidR="008B6F84">
        <w:rPr>
          <w:lang w:val="fr-FR"/>
        </w:rPr>
        <w:t>’</w:t>
      </w:r>
      <w:r w:rsidRPr="00F001B0">
        <w:rPr>
          <w:lang w:val="fr-FR"/>
        </w:rPr>
        <w:t xml:space="preserve">Union européenne). </w:t>
      </w:r>
    </w:p>
    <w:p w:rsidR="00CC315F" w:rsidRPr="00F001B0" w:rsidRDefault="00CC315F" w:rsidP="00CC315F">
      <w:pPr>
        <w:pStyle w:val="SingleTxtG"/>
        <w:tabs>
          <w:tab w:val="left" w:pos="1701"/>
        </w:tabs>
        <w:rPr>
          <w:lang w:val="fr-FR"/>
        </w:rPr>
      </w:pPr>
      <w:r w:rsidRPr="00F001B0">
        <w:rPr>
          <w:lang w:val="fr-FR"/>
        </w:rPr>
        <w:t>79.</w:t>
      </w:r>
      <w:r w:rsidRPr="00F001B0">
        <w:rPr>
          <w:lang w:val="fr-FR"/>
        </w:rPr>
        <w:tab/>
        <w:t>En ce qui concernait le document informel INF.42, la proposition de créer un groupe de travail informel a reçu un certain appui. La Réunion commune a invité le représentant de la France à soumettre un document sous une cote officielle pour la session d</w:t>
      </w:r>
      <w:r w:rsidR="008B6F84">
        <w:rPr>
          <w:lang w:val="fr-FR"/>
        </w:rPr>
        <w:t>’</w:t>
      </w:r>
      <w:r w:rsidRPr="00F001B0">
        <w:rPr>
          <w:lang w:val="fr-FR"/>
        </w:rPr>
        <w:t>automne. Sur la question du projet de mandat figurant au paragraphe</w:t>
      </w:r>
      <w:r w:rsidR="00946124">
        <w:rPr>
          <w:lang w:val="fr-FR"/>
        </w:rPr>
        <w:t> </w:t>
      </w:r>
      <w:r w:rsidRPr="00F001B0">
        <w:rPr>
          <w:lang w:val="fr-FR"/>
        </w:rPr>
        <w:t>5 du document informel, les délégations ont été invitées à faire part de leurs observations au représentant de la France avant le 1</w:t>
      </w:r>
      <w:r w:rsidRPr="00F001B0">
        <w:rPr>
          <w:vertAlign w:val="superscript"/>
          <w:lang w:val="fr-FR"/>
        </w:rPr>
        <w:t>er</w:t>
      </w:r>
      <w:r w:rsidRPr="00F001B0">
        <w:rPr>
          <w:lang w:val="fr-FR"/>
        </w:rPr>
        <w:t xml:space="preserve"> juin 2018.</w:t>
      </w:r>
    </w:p>
    <w:p w:rsidR="00CC315F" w:rsidRPr="00F001B0" w:rsidRDefault="00CC315F" w:rsidP="00CC315F">
      <w:pPr>
        <w:pStyle w:val="HChG"/>
        <w:rPr>
          <w:lang w:val="fr-FR"/>
        </w:rPr>
      </w:pPr>
      <w:r w:rsidRPr="00F001B0">
        <w:rPr>
          <w:lang w:val="fr-FR"/>
        </w:rPr>
        <w:tab/>
        <w:t>IX.</w:t>
      </w:r>
      <w:r w:rsidRPr="00F001B0">
        <w:rPr>
          <w:lang w:val="fr-FR"/>
        </w:rPr>
        <w:tab/>
        <w:t>Travaux futurs (point 8 de l</w:t>
      </w:r>
      <w:r w:rsidR="008B6F84">
        <w:rPr>
          <w:lang w:val="fr-FR"/>
        </w:rPr>
        <w:t>’</w:t>
      </w:r>
      <w:r w:rsidRPr="00F001B0">
        <w:rPr>
          <w:lang w:val="fr-FR"/>
        </w:rPr>
        <w:t>ordre du jour)</w:t>
      </w:r>
    </w:p>
    <w:p w:rsidR="00CC315F" w:rsidRPr="00F001B0" w:rsidRDefault="00CC315F" w:rsidP="00CC315F">
      <w:pPr>
        <w:pStyle w:val="SingleTxtG"/>
        <w:rPr>
          <w:lang w:val="fr-FR"/>
        </w:rPr>
      </w:pPr>
      <w:r w:rsidRPr="00F001B0">
        <w:rPr>
          <w:lang w:val="fr-FR"/>
        </w:rPr>
        <w:t>80.</w:t>
      </w:r>
      <w:r w:rsidRPr="00F001B0">
        <w:rPr>
          <w:lang w:val="fr-FR"/>
        </w:rPr>
        <w:tab/>
      </w:r>
      <w:r w:rsidRPr="00F001B0">
        <w:rPr>
          <w:rFonts w:eastAsia="SimSun"/>
          <w:lang w:val="fr-FR" w:eastAsia="zh-CN"/>
        </w:rPr>
        <w:t>La prochaine session se tiendra à Genève du 17 au 21 septembre 2018</w:t>
      </w:r>
      <w:r w:rsidRPr="00F001B0">
        <w:rPr>
          <w:lang w:val="fr-FR"/>
        </w:rPr>
        <w:t>.</w:t>
      </w:r>
    </w:p>
    <w:p w:rsidR="00CC315F" w:rsidRPr="00F001B0" w:rsidRDefault="00CC315F" w:rsidP="00CC315F">
      <w:pPr>
        <w:pStyle w:val="HChG"/>
        <w:rPr>
          <w:lang w:val="fr-FR"/>
        </w:rPr>
      </w:pPr>
      <w:r w:rsidRPr="00F001B0">
        <w:rPr>
          <w:lang w:val="fr-FR"/>
        </w:rPr>
        <w:tab/>
        <w:t>X.</w:t>
      </w:r>
      <w:r w:rsidRPr="00F001B0">
        <w:rPr>
          <w:lang w:val="fr-FR"/>
        </w:rPr>
        <w:tab/>
        <w:t>Questions diverses (point 9 de l</w:t>
      </w:r>
      <w:r w:rsidR="008B6F84">
        <w:rPr>
          <w:lang w:val="fr-FR"/>
        </w:rPr>
        <w:t>’</w:t>
      </w:r>
      <w:r w:rsidRPr="00F001B0">
        <w:rPr>
          <w:lang w:val="fr-FR"/>
        </w:rPr>
        <w:t>ordre du jour)</w:t>
      </w:r>
    </w:p>
    <w:p w:rsidR="00CC315F" w:rsidRPr="00F001B0" w:rsidRDefault="00CC315F" w:rsidP="00CC315F">
      <w:pPr>
        <w:pStyle w:val="H1G"/>
        <w:rPr>
          <w:lang w:val="fr-FR"/>
        </w:rPr>
      </w:pPr>
      <w:r w:rsidRPr="00F001B0">
        <w:rPr>
          <w:lang w:val="fr-FR"/>
        </w:rPr>
        <w:tab/>
        <w:t>A.</w:t>
      </w:r>
      <w:r w:rsidRPr="00F001B0">
        <w:rPr>
          <w:lang w:val="fr-FR"/>
        </w:rPr>
        <w:tab/>
      </w:r>
      <w:r w:rsidRPr="00217FBC">
        <w:rPr>
          <w:rFonts w:ascii="Times New Roman Gras" w:hAnsi="Times New Roman Gras"/>
          <w:spacing w:val="-3"/>
          <w:lang w:val="fr-FR"/>
        </w:rPr>
        <w:t xml:space="preserve">Remplissage des bouteilles de GPL par des particuliers </w:t>
      </w:r>
      <w:r w:rsidR="00217FBC" w:rsidRPr="00217FBC">
        <w:rPr>
          <w:rFonts w:ascii="Times New Roman Gras" w:hAnsi="Times New Roman Gras"/>
          <w:spacing w:val="-3"/>
          <w:lang w:val="fr-FR"/>
        </w:rPr>
        <w:t>o</w:t>
      </w:r>
      <w:r w:rsidRPr="00217FBC">
        <w:rPr>
          <w:rFonts w:ascii="Times New Roman Gras" w:hAnsi="Times New Roman Gras"/>
          <w:spacing w:val="-3"/>
          <w:lang w:val="fr-FR"/>
        </w:rPr>
        <w:t>u</w:t>
      </w:r>
      <w:r w:rsidR="00217FBC" w:rsidRPr="00217FBC">
        <w:rPr>
          <w:rFonts w:ascii="Times New Roman Gras" w:hAnsi="Times New Roman Gras"/>
          <w:spacing w:val="-3"/>
          <w:lang w:val="fr-FR"/>
        </w:rPr>
        <w:t xml:space="preserve"> </w:t>
      </w:r>
      <w:r w:rsidRPr="00217FBC">
        <w:rPr>
          <w:rFonts w:ascii="Times New Roman Gras" w:hAnsi="Times New Roman Gras"/>
          <w:spacing w:val="-3"/>
          <w:lang w:val="fr-FR"/>
        </w:rPr>
        <w:t>des</w:t>
      </w:r>
      <w:r w:rsidR="00217FBC" w:rsidRPr="00217FBC">
        <w:rPr>
          <w:rFonts w:ascii="Times New Roman Gras" w:hAnsi="Times New Roman Gras"/>
          <w:spacing w:val="-3"/>
          <w:lang w:val="fr-FR"/>
        </w:rPr>
        <w:t xml:space="preserve"> </w:t>
      </w:r>
      <w:r w:rsidRPr="00217FBC">
        <w:rPr>
          <w:rFonts w:ascii="Times New Roman Gras" w:hAnsi="Times New Roman Gras"/>
          <w:spacing w:val="-3"/>
          <w:lang w:val="fr-FR"/>
        </w:rPr>
        <w:t>entreprises</w:t>
      </w:r>
      <w:r w:rsidRPr="00F001B0">
        <w:rPr>
          <w:lang w:val="fr-FR"/>
        </w:rPr>
        <w:t xml:space="preserve"> pour leur propre approvisionnement</w:t>
      </w:r>
    </w:p>
    <w:p w:rsidR="00CC315F" w:rsidRPr="00F001B0" w:rsidRDefault="00CC315F" w:rsidP="00946124">
      <w:pPr>
        <w:pStyle w:val="SingleTxtG"/>
        <w:tabs>
          <w:tab w:val="left" w:pos="3402"/>
        </w:tabs>
        <w:ind w:left="3402" w:hanging="2268"/>
        <w:jc w:val="left"/>
        <w:rPr>
          <w:lang w:val="fr-FR"/>
        </w:rPr>
      </w:pPr>
      <w:r w:rsidRPr="00F001B0">
        <w:rPr>
          <w:i/>
          <w:iCs/>
          <w:lang w:val="fr-FR"/>
        </w:rPr>
        <w:t>Document</w:t>
      </w:r>
      <w:r w:rsidR="00946124">
        <w:rPr>
          <w:i/>
          <w:iCs/>
          <w:lang w:val="fr-FR"/>
        </w:rPr>
        <w:t> </w:t>
      </w:r>
      <w:r w:rsidR="00946124" w:rsidRPr="008D1FAA">
        <w:rPr>
          <w:iCs/>
          <w:lang w:val="fr-FR"/>
        </w:rPr>
        <w:t>:</w:t>
      </w:r>
      <w:r w:rsidRPr="00F001B0">
        <w:rPr>
          <w:sz w:val="22"/>
          <w:szCs w:val="22"/>
          <w:lang w:val="fr-FR"/>
        </w:rPr>
        <w:tab/>
      </w:r>
      <w:r w:rsidRPr="00F001B0">
        <w:rPr>
          <w:lang w:val="fr-FR"/>
        </w:rPr>
        <w:t xml:space="preserve">ECE/TRANS/WP.15/AC.1/2018/4 (Suisse) </w:t>
      </w:r>
    </w:p>
    <w:p w:rsidR="00CC315F" w:rsidRPr="00F001B0" w:rsidRDefault="00CC315F" w:rsidP="00946124">
      <w:pPr>
        <w:pStyle w:val="SingleTxtG"/>
        <w:tabs>
          <w:tab w:val="left" w:pos="3402"/>
        </w:tabs>
        <w:ind w:left="3402" w:hanging="2268"/>
        <w:jc w:val="left"/>
        <w:rPr>
          <w:lang w:val="fr-FR"/>
        </w:rPr>
      </w:pPr>
      <w:r w:rsidRPr="00F001B0">
        <w:rPr>
          <w:i/>
          <w:lang w:val="fr-FR"/>
        </w:rPr>
        <w:t>Document informel</w:t>
      </w:r>
      <w:r w:rsidR="00946124">
        <w:rPr>
          <w:i/>
          <w:iCs/>
          <w:lang w:val="fr-FR"/>
        </w:rPr>
        <w:t> </w:t>
      </w:r>
      <w:r w:rsidR="00946124" w:rsidRPr="008D1FAA">
        <w:rPr>
          <w:iCs/>
          <w:lang w:val="fr-FR"/>
        </w:rPr>
        <w:t>:</w:t>
      </w:r>
      <w:r w:rsidRPr="00F001B0">
        <w:rPr>
          <w:i/>
          <w:lang w:val="fr-FR"/>
        </w:rPr>
        <w:t xml:space="preserve"> </w:t>
      </w:r>
      <w:r w:rsidRPr="00F001B0">
        <w:rPr>
          <w:i/>
          <w:lang w:val="fr-FR"/>
        </w:rPr>
        <w:tab/>
      </w:r>
      <w:r w:rsidRPr="00F001B0">
        <w:rPr>
          <w:lang w:val="fr-FR"/>
        </w:rPr>
        <w:t>INF.38 (AEGPL)</w:t>
      </w:r>
    </w:p>
    <w:p w:rsidR="00CC315F" w:rsidRPr="00F001B0" w:rsidRDefault="00CC315F" w:rsidP="00CC315F">
      <w:pPr>
        <w:pStyle w:val="SingleTxtG"/>
        <w:spacing w:before="120"/>
        <w:rPr>
          <w:lang w:val="fr-FR"/>
        </w:rPr>
      </w:pPr>
      <w:r w:rsidRPr="00F001B0">
        <w:rPr>
          <w:lang w:val="fr-FR"/>
        </w:rPr>
        <w:t>81.</w:t>
      </w:r>
      <w:r w:rsidRPr="00F001B0">
        <w:rPr>
          <w:lang w:val="fr-FR"/>
        </w:rPr>
        <w:tab/>
      </w:r>
      <w:r w:rsidRPr="00F001B0">
        <w:rPr>
          <w:lang w:val="fr-FR" w:eastAsia="zh-CN"/>
        </w:rPr>
        <w:t>À l</w:t>
      </w:r>
      <w:r w:rsidR="008B6F84">
        <w:rPr>
          <w:lang w:val="fr-FR" w:eastAsia="zh-CN"/>
        </w:rPr>
        <w:t>’</w:t>
      </w:r>
      <w:r w:rsidRPr="00F001B0">
        <w:rPr>
          <w:lang w:val="fr-FR" w:eastAsia="zh-CN"/>
        </w:rPr>
        <w:t>issue d</w:t>
      </w:r>
      <w:r w:rsidR="008B6F84">
        <w:rPr>
          <w:lang w:val="fr-FR" w:eastAsia="zh-CN"/>
        </w:rPr>
        <w:t>’</w:t>
      </w:r>
      <w:r w:rsidRPr="00F001B0">
        <w:rPr>
          <w:lang w:val="fr-FR" w:eastAsia="zh-CN"/>
        </w:rPr>
        <w:t>un débat, la Réunion commune a estimé que l</w:t>
      </w:r>
      <w:r w:rsidR="008B6F84">
        <w:rPr>
          <w:lang w:val="fr-FR" w:eastAsia="zh-CN"/>
        </w:rPr>
        <w:t>’</w:t>
      </w:r>
      <w:r w:rsidRPr="00F001B0">
        <w:rPr>
          <w:lang w:val="fr-FR" w:eastAsia="zh-CN"/>
        </w:rPr>
        <w:t>exemption prévue au point a) du 1.1.3.1 ne pouvait être envisagée que si les marchandises étaient présentées pour la vente au détail dans un système de confinement garantissant l</w:t>
      </w:r>
      <w:r w:rsidR="008B6F84">
        <w:rPr>
          <w:lang w:val="fr-FR" w:eastAsia="zh-CN"/>
        </w:rPr>
        <w:t>’</w:t>
      </w:r>
      <w:r w:rsidRPr="00F001B0">
        <w:rPr>
          <w:lang w:val="fr-FR" w:eastAsia="zh-CN"/>
        </w:rPr>
        <w:t>absence de fuite. Estimant qu</w:t>
      </w:r>
      <w:r w:rsidR="008B6F84">
        <w:rPr>
          <w:lang w:val="fr-FR" w:eastAsia="zh-CN"/>
        </w:rPr>
        <w:t>’</w:t>
      </w:r>
      <w:r w:rsidRPr="00F001B0">
        <w:rPr>
          <w:lang w:val="fr-FR" w:eastAsia="zh-CN"/>
        </w:rPr>
        <w:t>il était difficile de remplir cette condition é</w:t>
      </w:r>
      <w:r w:rsidR="0095548E">
        <w:rPr>
          <w:lang w:val="fr-FR" w:eastAsia="zh-CN"/>
        </w:rPr>
        <w:t>t</w:t>
      </w:r>
      <w:r w:rsidRPr="00F001B0">
        <w:rPr>
          <w:lang w:val="fr-FR" w:eastAsia="zh-CN"/>
        </w:rPr>
        <w:t>ait dans le cas du remplissage d</w:t>
      </w:r>
      <w:r w:rsidR="008B6F84">
        <w:rPr>
          <w:lang w:val="fr-FR" w:eastAsia="zh-CN"/>
        </w:rPr>
        <w:t>’</w:t>
      </w:r>
      <w:r w:rsidRPr="00F001B0">
        <w:rPr>
          <w:lang w:val="fr-FR" w:eastAsia="zh-CN"/>
        </w:rPr>
        <w:t>une bouteille à gaz par un particulier pour son propre usage tout en garantissant le respect des dispositions de l</w:t>
      </w:r>
      <w:r w:rsidR="008B6F84">
        <w:rPr>
          <w:lang w:val="fr-FR" w:eastAsia="zh-CN"/>
        </w:rPr>
        <w:t>’</w:t>
      </w:r>
      <w:r w:rsidRPr="00F001B0">
        <w:rPr>
          <w:lang w:val="fr-FR" w:eastAsia="zh-CN"/>
        </w:rPr>
        <w:t>instruction d</w:t>
      </w:r>
      <w:r w:rsidR="008B6F84">
        <w:rPr>
          <w:lang w:val="fr-FR" w:eastAsia="zh-CN"/>
        </w:rPr>
        <w:t>’</w:t>
      </w:r>
      <w:r w:rsidRPr="00F001B0">
        <w:rPr>
          <w:lang w:val="fr-FR" w:eastAsia="zh-CN"/>
        </w:rPr>
        <w:t>emballage P200, la Réunion commune a conclu qu</w:t>
      </w:r>
      <w:r w:rsidR="008B6F84">
        <w:rPr>
          <w:lang w:val="fr-FR" w:eastAsia="zh-CN"/>
        </w:rPr>
        <w:t>’</w:t>
      </w:r>
      <w:r w:rsidRPr="00F001B0">
        <w:rPr>
          <w:lang w:val="fr-FR" w:eastAsia="zh-CN"/>
        </w:rPr>
        <w:t>une exemption générale conformément au point a) du 1.1.3.1 ne se justifiait pas. Il a été noté que cela n</w:t>
      </w:r>
      <w:r w:rsidR="008B6F84">
        <w:rPr>
          <w:lang w:val="fr-FR" w:eastAsia="zh-CN"/>
        </w:rPr>
        <w:t>’</w:t>
      </w:r>
      <w:r w:rsidRPr="00F001B0">
        <w:rPr>
          <w:lang w:val="fr-FR" w:eastAsia="zh-CN"/>
        </w:rPr>
        <w:t>empêchait pas les autorités nationales compétentes d</w:t>
      </w:r>
      <w:r w:rsidR="008B6F84">
        <w:rPr>
          <w:lang w:val="fr-FR" w:eastAsia="zh-CN"/>
        </w:rPr>
        <w:t>’</w:t>
      </w:r>
      <w:r w:rsidRPr="00F001B0">
        <w:rPr>
          <w:lang w:val="fr-FR" w:eastAsia="zh-CN"/>
        </w:rPr>
        <w:t>autoriser le remplissage en libre</w:t>
      </w:r>
      <w:r w:rsidR="008E39EA">
        <w:rPr>
          <w:lang w:val="fr-FR" w:eastAsia="zh-CN"/>
        </w:rPr>
        <w:t>-</w:t>
      </w:r>
      <w:r w:rsidRPr="00F001B0">
        <w:rPr>
          <w:lang w:val="fr-FR" w:eastAsia="zh-CN"/>
        </w:rPr>
        <w:t>service au niveau national conformément aux dispositions portant sur des questions sans relation avec le transport (par exemple la sécurité d</w:t>
      </w:r>
      <w:r w:rsidR="008B6F84">
        <w:rPr>
          <w:lang w:val="fr-FR" w:eastAsia="zh-CN"/>
        </w:rPr>
        <w:t>’</w:t>
      </w:r>
      <w:r w:rsidRPr="00F001B0">
        <w:rPr>
          <w:lang w:val="fr-FR" w:eastAsia="zh-CN"/>
        </w:rPr>
        <w:t>utilisation) dans d</w:t>
      </w:r>
      <w:r w:rsidR="008B6F84">
        <w:rPr>
          <w:lang w:val="fr-FR" w:eastAsia="zh-CN"/>
        </w:rPr>
        <w:t>’</w:t>
      </w:r>
      <w:r w:rsidRPr="00F001B0">
        <w:rPr>
          <w:lang w:val="fr-FR" w:eastAsia="zh-CN"/>
        </w:rPr>
        <w:t>autres textes législatifs</w:t>
      </w:r>
      <w:r w:rsidRPr="00F001B0">
        <w:rPr>
          <w:lang w:val="fr-FR"/>
        </w:rPr>
        <w:t xml:space="preserve">. </w:t>
      </w:r>
    </w:p>
    <w:p w:rsidR="00CC315F" w:rsidRPr="00F001B0" w:rsidRDefault="00CC315F" w:rsidP="00CC315F">
      <w:pPr>
        <w:pStyle w:val="SingleTxtG"/>
        <w:spacing w:before="120"/>
        <w:rPr>
          <w:lang w:val="fr-FR"/>
        </w:rPr>
      </w:pPr>
      <w:r w:rsidRPr="00F001B0">
        <w:rPr>
          <w:lang w:val="fr-FR"/>
        </w:rPr>
        <w:t>82.</w:t>
      </w:r>
      <w:r w:rsidRPr="00F001B0">
        <w:rPr>
          <w:lang w:val="fr-FR"/>
        </w:rPr>
        <w:tab/>
        <w:t>Certaines délégations ont estimé que l</w:t>
      </w:r>
      <w:r w:rsidR="008B6F84">
        <w:rPr>
          <w:lang w:val="fr-FR"/>
        </w:rPr>
        <w:t>’</w:t>
      </w:r>
      <w:r w:rsidRPr="00F001B0">
        <w:rPr>
          <w:lang w:val="fr-FR"/>
        </w:rPr>
        <w:t>exemption prévue au point a) du 1.1.3.1 ne s</w:t>
      </w:r>
      <w:r w:rsidR="008B6F84">
        <w:rPr>
          <w:lang w:val="fr-FR"/>
        </w:rPr>
        <w:t>’</w:t>
      </w:r>
      <w:r w:rsidRPr="00F001B0">
        <w:rPr>
          <w:lang w:val="fr-FR"/>
        </w:rPr>
        <w:t>appliquait qu</w:t>
      </w:r>
      <w:r w:rsidR="008B6F84">
        <w:rPr>
          <w:lang w:val="fr-FR"/>
        </w:rPr>
        <w:t>’</w:t>
      </w:r>
      <w:r w:rsidRPr="00F001B0">
        <w:rPr>
          <w:lang w:val="fr-FR"/>
        </w:rPr>
        <w:t>au transport et non au remplissage. Selon elles, les dispositions de l</w:t>
      </w:r>
      <w:r w:rsidR="008B6F84">
        <w:rPr>
          <w:lang w:val="fr-FR"/>
        </w:rPr>
        <w:t>’</w:t>
      </w:r>
      <w:r w:rsidRPr="00F001B0">
        <w:rPr>
          <w:lang w:val="fr-FR"/>
        </w:rPr>
        <w:t>instruction d</w:t>
      </w:r>
      <w:r w:rsidR="008B6F84">
        <w:rPr>
          <w:lang w:val="fr-FR"/>
        </w:rPr>
        <w:t>’</w:t>
      </w:r>
      <w:r w:rsidRPr="00F001B0">
        <w:rPr>
          <w:lang w:val="fr-FR"/>
        </w:rPr>
        <w:t>emballage P200 étaient applicables dans tous les cas.</w:t>
      </w:r>
    </w:p>
    <w:p w:rsidR="00CC315F" w:rsidRPr="00F001B0" w:rsidRDefault="00CC315F" w:rsidP="00CC315F">
      <w:pPr>
        <w:pStyle w:val="SingleTxtG"/>
        <w:rPr>
          <w:lang w:val="fr-FR"/>
        </w:rPr>
      </w:pPr>
      <w:r w:rsidRPr="00F001B0">
        <w:rPr>
          <w:lang w:val="fr-FR"/>
        </w:rPr>
        <w:t>83.</w:t>
      </w:r>
      <w:r w:rsidRPr="00F001B0">
        <w:rPr>
          <w:lang w:val="fr-FR"/>
        </w:rPr>
        <w:tab/>
      </w:r>
      <w:r w:rsidRPr="00F001B0">
        <w:rPr>
          <w:lang w:val="fr-FR" w:eastAsia="zh-CN"/>
        </w:rPr>
        <w:t>La Réunion commune a indiqué qu</w:t>
      </w:r>
      <w:r w:rsidR="008B6F84">
        <w:rPr>
          <w:lang w:val="fr-FR" w:eastAsia="zh-CN"/>
        </w:rPr>
        <w:t>’</w:t>
      </w:r>
      <w:r w:rsidRPr="00F001B0">
        <w:rPr>
          <w:lang w:val="fr-FR" w:eastAsia="zh-CN"/>
        </w:rPr>
        <w:t>en cas de formulation d</w:t>
      </w:r>
      <w:r w:rsidR="008B6F84">
        <w:rPr>
          <w:lang w:val="fr-FR" w:eastAsia="zh-CN"/>
        </w:rPr>
        <w:t>’</w:t>
      </w:r>
      <w:r w:rsidRPr="00F001B0">
        <w:rPr>
          <w:lang w:val="fr-FR" w:eastAsia="zh-CN"/>
        </w:rPr>
        <w:t>une proposition tendant à étendre l</w:t>
      </w:r>
      <w:r w:rsidR="008B6F84">
        <w:rPr>
          <w:lang w:val="fr-FR" w:eastAsia="zh-CN"/>
        </w:rPr>
        <w:t>’</w:t>
      </w:r>
      <w:r w:rsidRPr="00F001B0">
        <w:rPr>
          <w:lang w:val="fr-FR" w:eastAsia="zh-CN"/>
        </w:rPr>
        <w:t>applicabilité du 1.1.3.1 aux cas décrits dans le document de la Suisse, il conviendrait de prévoir des conditions techniques garantissant le même niveau de sécurité que dans l</w:t>
      </w:r>
      <w:r w:rsidR="008B6F84">
        <w:rPr>
          <w:lang w:val="fr-FR" w:eastAsia="zh-CN"/>
        </w:rPr>
        <w:t>’</w:t>
      </w:r>
      <w:r w:rsidRPr="00F001B0">
        <w:rPr>
          <w:lang w:val="fr-FR" w:eastAsia="zh-CN"/>
        </w:rPr>
        <w:t>instruction d</w:t>
      </w:r>
      <w:r w:rsidR="008B6F84">
        <w:rPr>
          <w:lang w:val="fr-FR" w:eastAsia="zh-CN"/>
        </w:rPr>
        <w:t>’</w:t>
      </w:r>
      <w:r w:rsidRPr="00F001B0">
        <w:rPr>
          <w:lang w:val="fr-FR" w:eastAsia="zh-CN"/>
        </w:rPr>
        <w:t>emballage P200</w:t>
      </w:r>
      <w:r w:rsidRPr="00F001B0">
        <w:rPr>
          <w:lang w:val="fr-FR"/>
        </w:rPr>
        <w:t>.</w:t>
      </w:r>
    </w:p>
    <w:p w:rsidR="00CC315F" w:rsidRPr="00F001B0" w:rsidRDefault="00CC315F" w:rsidP="00CC315F">
      <w:pPr>
        <w:pStyle w:val="H1G"/>
        <w:rPr>
          <w:lang w:val="fr-FR"/>
        </w:rPr>
      </w:pPr>
      <w:r w:rsidRPr="00F001B0">
        <w:rPr>
          <w:lang w:val="fr-FR"/>
        </w:rPr>
        <w:tab/>
        <w:t>B.</w:t>
      </w:r>
      <w:r w:rsidRPr="00F001B0">
        <w:rPr>
          <w:lang w:val="fr-FR"/>
        </w:rPr>
        <w:tab/>
        <w:t>Hommages</w:t>
      </w:r>
    </w:p>
    <w:p w:rsidR="00CC315F" w:rsidRPr="00F001B0" w:rsidRDefault="00CC315F" w:rsidP="00CC315F">
      <w:pPr>
        <w:pStyle w:val="SingleTxtG"/>
        <w:rPr>
          <w:lang w:val="fr-FR"/>
        </w:rPr>
      </w:pPr>
      <w:r w:rsidRPr="00F001B0">
        <w:rPr>
          <w:lang w:val="fr-FR"/>
        </w:rPr>
        <w:t>84.</w:t>
      </w:r>
      <w:r w:rsidRPr="00F001B0">
        <w:rPr>
          <w:lang w:val="fr-FR"/>
        </w:rPr>
        <w:tab/>
      </w:r>
      <w:r w:rsidRPr="00F001B0">
        <w:rPr>
          <w:lang w:val="fr-FR" w:eastAsia="zh-CN"/>
        </w:rPr>
        <w:t xml:space="preserve">La Réunion commune a été informée que MM. K. </w:t>
      </w:r>
      <w:proofErr w:type="spellStart"/>
      <w:r w:rsidRPr="00F001B0">
        <w:rPr>
          <w:lang w:val="fr-FR" w:eastAsia="zh-CN"/>
        </w:rPr>
        <w:t>Tiemersma</w:t>
      </w:r>
      <w:proofErr w:type="spellEnd"/>
      <w:r w:rsidRPr="00F001B0">
        <w:rPr>
          <w:lang w:val="fr-FR" w:eastAsia="zh-CN"/>
        </w:rPr>
        <w:t xml:space="preserve"> (Pays-Bas) et J. </w:t>
      </w:r>
      <w:proofErr w:type="spellStart"/>
      <w:r w:rsidRPr="00F001B0">
        <w:rPr>
          <w:lang w:val="fr-FR" w:eastAsia="zh-CN"/>
        </w:rPr>
        <w:t>Mairs</w:t>
      </w:r>
      <w:proofErr w:type="spellEnd"/>
      <w:r w:rsidRPr="00F001B0">
        <w:rPr>
          <w:lang w:val="fr-FR" w:eastAsia="zh-CN"/>
        </w:rPr>
        <w:t xml:space="preserve"> (Royaume-Uni) participaient à la session pour la dernière fois car ils prendraient prochainement leur retraite. La Réunion commune les a remerciés chaleureusement pour leur dévouement et leur contribution à ses travaux et leur a souhaité une longue et heureuse retraite</w:t>
      </w:r>
      <w:r w:rsidRPr="00F001B0">
        <w:rPr>
          <w:lang w:val="fr-FR"/>
        </w:rPr>
        <w:t>.</w:t>
      </w:r>
    </w:p>
    <w:p w:rsidR="00CC315F" w:rsidRPr="00F001B0" w:rsidRDefault="00CC315F" w:rsidP="00CC315F">
      <w:pPr>
        <w:pStyle w:val="HChG"/>
        <w:rPr>
          <w:lang w:val="fr-FR"/>
        </w:rPr>
      </w:pPr>
      <w:r w:rsidRPr="00F001B0">
        <w:rPr>
          <w:lang w:val="fr-FR"/>
        </w:rPr>
        <w:tab/>
        <w:t>XI.</w:t>
      </w:r>
      <w:r w:rsidRPr="00F001B0">
        <w:rPr>
          <w:lang w:val="fr-FR"/>
        </w:rPr>
        <w:tab/>
        <w:t>Adoption du rapport (point 10 de l</w:t>
      </w:r>
      <w:r w:rsidR="008B6F84">
        <w:rPr>
          <w:lang w:val="fr-FR"/>
        </w:rPr>
        <w:t>’</w:t>
      </w:r>
      <w:r w:rsidRPr="00F001B0">
        <w:rPr>
          <w:lang w:val="fr-FR"/>
        </w:rPr>
        <w:t xml:space="preserve">ordre du jour) </w:t>
      </w:r>
    </w:p>
    <w:p w:rsidR="00CC315F" w:rsidRPr="00F001B0" w:rsidRDefault="00CC315F" w:rsidP="00CC315F">
      <w:pPr>
        <w:pStyle w:val="SingleTxtG"/>
        <w:rPr>
          <w:lang w:val="fr-FR"/>
        </w:rPr>
      </w:pPr>
      <w:r w:rsidRPr="00F001B0">
        <w:rPr>
          <w:lang w:val="fr-FR"/>
        </w:rPr>
        <w:t>85.</w:t>
      </w:r>
      <w:r w:rsidRPr="00F001B0">
        <w:rPr>
          <w:lang w:val="fr-FR"/>
        </w:rPr>
        <w:tab/>
      </w:r>
      <w:r w:rsidRPr="00F001B0">
        <w:rPr>
          <w:rFonts w:eastAsia="SimSun"/>
          <w:lang w:val="fr-FR" w:eastAsia="zh-CN"/>
        </w:rPr>
        <w:t>La Réunion commune a adopté le rapport sur sa session de printemps 2018 et ses annexes sur la base d</w:t>
      </w:r>
      <w:r w:rsidR="008B6F84">
        <w:rPr>
          <w:rFonts w:eastAsia="SimSun"/>
          <w:lang w:val="fr-FR" w:eastAsia="zh-CN"/>
        </w:rPr>
        <w:t>’</w:t>
      </w:r>
      <w:r w:rsidRPr="00F001B0">
        <w:rPr>
          <w:rFonts w:eastAsia="SimSun"/>
          <w:lang w:val="fr-FR" w:eastAsia="zh-CN"/>
        </w:rPr>
        <w:t>un projet établi par le secrétariat</w:t>
      </w:r>
      <w:r w:rsidRPr="00F001B0">
        <w:rPr>
          <w:lang w:val="fr-FR"/>
        </w:rPr>
        <w:t>.</w:t>
      </w:r>
    </w:p>
    <w:p w:rsidR="00CC315F" w:rsidRPr="00F001B0" w:rsidRDefault="00CC315F" w:rsidP="00CC315F">
      <w:pPr>
        <w:pStyle w:val="HChG"/>
        <w:rPr>
          <w:lang w:val="fr-FR"/>
        </w:rPr>
      </w:pPr>
      <w:r w:rsidRPr="00F001B0">
        <w:rPr>
          <w:lang w:val="fr-FR"/>
        </w:rPr>
        <w:br w:type="page"/>
      </w:r>
      <w:r w:rsidRPr="00F001B0">
        <w:rPr>
          <w:lang w:val="fr-FR"/>
        </w:rPr>
        <w:tab/>
        <w:t>Annexe I</w:t>
      </w:r>
    </w:p>
    <w:p w:rsidR="00CC315F" w:rsidRPr="00F001B0" w:rsidRDefault="00CC315F" w:rsidP="00CC315F">
      <w:pPr>
        <w:pStyle w:val="HChG"/>
        <w:rPr>
          <w:lang w:val="fr-FR"/>
        </w:rPr>
      </w:pPr>
      <w:r w:rsidRPr="00F001B0">
        <w:rPr>
          <w:lang w:val="fr-FR"/>
        </w:rPr>
        <w:tab/>
      </w:r>
      <w:r w:rsidRPr="00F001B0">
        <w:rPr>
          <w:lang w:val="fr-FR"/>
        </w:rPr>
        <w:tab/>
        <w:t>Rapport du Groupe de travail des citernes</w:t>
      </w:r>
    </w:p>
    <w:p w:rsidR="00CC315F" w:rsidRPr="00F001B0" w:rsidRDefault="00CC315F" w:rsidP="00CC315F">
      <w:pPr>
        <w:ind w:left="567" w:firstLine="567"/>
        <w:rPr>
          <w:lang w:val="fr-FR"/>
        </w:rPr>
      </w:pPr>
      <w:r w:rsidRPr="00F001B0">
        <w:rPr>
          <w:lang w:val="fr-FR"/>
        </w:rPr>
        <w:t>(voir ECE/TRANS/WP.15/AC.1/150/Add.1)</w:t>
      </w:r>
    </w:p>
    <w:p w:rsidR="00CC315F" w:rsidRPr="00F001B0" w:rsidRDefault="00CC315F" w:rsidP="0095548E">
      <w:pPr>
        <w:pStyle w:val="HChG"/>
        <w:rPr>
          <w:lang w:val="fr-FR"/>
        </w:rPr>
      </w:pPr>
      <w:r w:rsidRPr="00F001B0">
        <w:rPr>
          <w:lang w:val="fr-FR"/>
        </w:rPr>
        <w:br w:type="page"/>
      </w:r>
      <w:r w:rsidR="002E1524">
        <w:rPr>
          <w:lang w:val="fr-FR"/>
        </w:rPr>
        <w:tab/>
      </w:r>
      <w:r w:rsidRPr="00F001B0">
        <w:rPr>
          <w:lang w:val="fr-FR"/>
        </w:rPr>
        <w:t>Annexe II</w:t>
      </w:r>
    </w:p>
    <w:p w:rsidR="00CC315F" w:rsidRPr="00F001B0" w:rsidRDefault="00CC315F" w:rsidP="0095548E">
      <w:pPr>
        <w:pStyle w:val="HChG"/>
        <w:rPr>
          <w:lang w:val="fr-FR"/>
        </w:rPr>
      </w:pPr>
      <w:r w:rsidRPr="00F001B0">
        <w:rPr>
          <w:lang w:val="fr-FR"/>
        </w:rPr>
        <w:tab/>
      </w:r>
      <w:r w:rsidRPr="00F001B0">
        <w:rPr>
          <w:lang w:val="fr-FR"/>
        </w:rPr>
        <w:tab/>
        <w:t>Projet d</w:t>
      </w:r>
      <w:r w:rsidR="008B6F84">
        <w:rPr>
          <w:lang w:val="fr-FR"/>
        </w:rPr>
        <w:t>’</w:t>
      </w:r>
      <w:r w:rsidRPr="00F001B0">
        <w:rPr>
          <w:lang w:val="fr-FR"/>
        </w:rPr>
        <w:t>amendements au RID, à l</w:t>
      </w:r>
      <w:r w:rsidR="008B6F84">
        <w:rPr>
          <w:lang w:val="fr-FR"/>
        </w:rPr>
        <w:t>’</w:t>
      </w:r>
      <w:r w:rsidRPr="00F001B0">
        <w:rPr>
          <w:lang w:val="fr-FR"/>
        </w:rPr>
        <w:t>ADR et à l</w:t>
      </w:r>
      <w:r w:rsidR="008B6F84">
        <w:rPr>
          <w:lang w:val="fr-FR"/>
        </w:rPr>
        <w:t>’</w:t>
      </w:r>
      <w:r w:rsidRPr="00F001B0">
        <w:rPr>
          <w:lang w:val="fr-FR"/>
        </w:rPr>
        <w:t xml:space="preserve">ADN </w:t>
      </w:r>
      <w:r w:rsidR="0095548E">
        <w:rPr>
          <w:lang w:val="fr-FR"/>
        </w:rPr>
        <w:br/>
      </w:r>
      <w:r w:rsidRPr="00F001B0">
        <w:rPr>
          <w:lang w:val="fr-FR"/>
        </w:rPr>
        <w:t xml:space="preserve">pour </w:t>
      </w:r>
      <w:proofErr w:type="spellStart"/>
      <w:r w:rsidRPr="00F001B0">
        <w:rPr>
          <w:lang w:val="fr-FR"/>
        </w:rPr>
        <w:t>entrée</w:t>
      </w:r>
      <w:proofErr w:type="spellEnd"/>
      <w:r w:rsidRPr="00F001B0">
        <w:rPr>
          <w:lang w:val="fr-FR"/>
        </w:rPr>
        <w:t xml:space="preserve"> en vigueur le 1</w:t>
      </w:r>
      <w:r w:rsidRPr="00F001B0">
        <w:rPr>
          <w:vertAlign w:val="superscript"/>
          <w:lang w:val="fr-FR"/>
        </w:rPr>
        <w:t>er</w:t>
      </w:r>
      <w:r w:rsidRPr="00F001B0">
        <w:rPr>
          <w:lang w:val="fr-FR"/>
        </w:rPr>
        <w:t> janvier 2019</w:t>
      </w:r>
    </w:p>
    <w:p w:rsidR="00CC315F" w:rsidRPr="00F001B0" w:rsidRDefault="00CC315F" w:rsidP="00CC315F">
      <w:pPr>
        <w:pStyle w:val="H1G"/>
        <w:rPr>
          <w:lang w:val="fr-FR"/>
        </w:rPr>
      </w:pPr>
      <w:r w:rsidRPr="00F001B0">
        <w:rPr>
          <w:lang w:val="fr-FR"/>
        </w:rPr>
        <w:tab/>
      </w:r>
      <w:r w:rsidRPr="00F001B0">
        <w:rPr>
          <w:lang w:val="fr-FR"/>
        </w:rPr>
        <w:tab/>
        <w:t>Chapitre 1.1</w:t>
      </w:r>
    </w:p>
    <w:p w:rsidR="00CC315F" w:rsidRPr="00F001B0" w:rsidRDefault="00CC315F" w:rsidP="00CC315F">
      <w:pPr>
        <w:pStyle w:val="SingleTxtG"/>
        <w:rPr>
          <w:lang w:val="fr-FR"/>
        </w:rPr>
      </w:pPr>
      <w:r w:rsidRPr="00F001B0">
        <w:rPr>
          <w:lang w:val="fr-FR"/>
        </w:rPr>
        <w:t>1.1.3.6.3</w:t>
      </w:r>
      <w:r w:rsidRPr="00F001B0">
        <w:rPr>
          <w:lang w:val="fr-FR"/>
        </w:rPr>
        <w:tab/>
        <w:t>Dans le tableau, pour la catégorie de transport 0, pour la classe 4.3, après « 3131, », insérer : « 3132, ».</w:t>
      </w:r>
    </w:p>
    <w:p w:rsidR="00CC315F" w:rsidRPr="00F001B0" w:rsidRDefault="00CC315F" w:rsidP="00CC315F">
      <w:pPr>
        <w:pStyle w:val="SingleTxtG"/>
        <w:rPr>
          <w:i/>
          <w:lang w:val="fr-FR"/>
        </w:rPr>
      </w:pPr>
      <w:r w:rsidRPr="00F001B0">
        <w:rPr>
          <w:i/>
          <w:lang w:val="fr-FR"/>
        </w:rPr>
        <w:t>(Document de référence : document informel INF.8)</w:t>
      </w:r>
    </w:p>
    <w:p w:rsidR="00CC315F" w:rsidRPr="00F001B0" w:rsidRDefault="00CC315F" w:rsidP="00CC315F">
      <w:pPr>
        <w:pStyle w:val="H1G"/>
        <w:rPr>
          <w:lang w:val="fr-FR"/>
        </w:rPr>
      </w:pPr>
      <w:r w:rsidRPr="00F001B0">
        <w:rPr>
          <w:lang w:val="fr-FR"/>
        </w:rPr>
        <w:tab/>
      </w:r>
      <w:r w:rsidRPr="00F001B0">
        <w:rPr>
          <w:lang w:val="fr-FR"/>
        </w:rPr>
        <w:tab/>
      </w:r>
      <w:r w:rsidRPr="00F001B0">
        <w:rPr>
          <w:szCs w:val="24"/>
          <w:lang w:val="fr-FR"/>
        </w:rPr>
        <w:t xml:space="preserve">Chapitre </w:t>
      </w:r>
      <w:r w:rsidRPr="00F001B0">
        <w:rPr>
          <w:lang w:val="fr-FR"/>
        </w:rPr>
        <w:t>1.2</w:t>
      </w:r>
    </w:p>
    <w:p w:rsidR="00CC315F" w:rsidRPr="00F001B0" w:rsidRDefault="00CC315F" w:rsidP="00797490">
      <w:pPr>
        <w:pStyle w:val="SingleTxtG"/>
        <w:tabs>
          <w:tab w:val="left" w:pos="2268"/>
        </w:tabs>
        <w:rPr>
          <w:lang w:val="fr-FR"/>
        </w:rPr>
      </w:pPr>
      <w:r w:rsidRPr="00DA789D">
        <w:rPr>
          <w:lang w:val="fr-FR"/>
        </w:rPr>
        <w:t>1.2.1</w:t>
      </w:r>
      <w:r w:rsidRPr="00DA789D">
        <w:rPr>
          <w:lang w:val="fr-FR"/>
        </w:rPr>
        <w:tab/>
        <w:t>Dans la définition de « Règlement ECE », remplacer « Règlement ECE » par : « Règlement ONU ».</w:t>
      </w:r>
    </w:p>
    <w:p w:rsidR="00CC315F" w:rsidRPr="00F001B0" w:rsidRDefault="00CC315F" w:rsidP="00CC315F">
      <w:pPr>
        <w:pStyle w:val="SingleTxtG"/>
        <w:rPr>
          <w:i/>
          <w:lang w:val="fr-FR"/>
        </w:rPr>
      </w:pPr>
      <w:r w:rsidRPr="00F001B0">
        <w:rPr>
          <w:i/>
          <w:lang w:val="fr-FR"/>
        </w:rPr>
        <w:t>(Document de référence : document informel INF.30)</w:t>
      </w:r>
    </w:p>
    <w:p w:rsidR="00CC315F" w:rsidRPr="00F001B0" w:rsidRDefault="00CC315F" w:rsidP="00CC315F">
      <w:pPr>
        <w:pStyle w:val="H1G"/>
        <w:rPr>
          <w:lang w:val="fr-FR"/>
        </w:rPr>
      </w:pPr>
      <w:r w:rsidRPr="00F001B0">
        <w:rPr>
          <w:lang w:val="fr-FR"/>
        </w:rPr>
        <w:tab/>
      </w:r>
      <w:r w:rsidRPr="00F001B0">
        <w:rPr>
          <w:lang w:val="fr-FR"/>
        </w:rPr>
        <w:tab/>
        <w:t>Chapitre 1.6</w:t>
      </w:r>
    </w:p>
    <w:p w:rsidR="00CC315F" w:rsidRPr="00F001B0" w:rsidRDefault="00CC315F" w:rsidP="00081B35">
      <w:pPr>
        <w:pStyle w:val="SingleTxtG"/>
        <w:tabs>
          <w:tab w:val="left" w:pos="2268"/>
        </w:tabs>
        <w:rPr>
          <w:lang w:val="fr-FR"/>
        </w:rPr>
      </w:pPr>
      <w:r w:rsidRPr="00F001B0">
        <w:rPr>
          <w:lang w:val="fr-FR"/>
        </w:rPr>
        <w:t>1.6.1</w:t>
      </w:r>
      <w:r w:rsidRPr="00F001B0">
        <w:rPr>
          <w:lang w:val="fr-FR"/>
        </w:rPr>
        <w:tab/>
        <w:t>Ajouter la nouvelle mesure transitoire suivante :</w:t>
      </w:r>
    </w:p>
    <w:p w:rsidR="00CC315F" w:rsidRPr="00F001B0" w:rsidRDefault="00CC315F" w:rsidP="00CC315F">
      <w:pPr>
        <w:pStyle w:val="SingleTxtG"/>
        <w:rPr>
          <w:lang w:val="fr-FR"/>
        </w:rPr>
      </w:pPr>
      <w:r w:rsidRPr="00F001B0">
        <w:rPr>
          <w:lang w:val="fr-FR"/>
        </w:rPr>
        <w:t>« 1.6.1.47</w:t>
      </w:r>
      <w:r w:rsidRPr="00F001B0">
        <w:rPr>
          <w:lang w:val="fr-FR"/>
        </w:rPr>
        <w:tab/>
        <w:t>Les piles et batteries au lithium ne répondant pas aux prescriptions du 2.2.9.1.7 g) peuvent encore être transportées jusqu</w:t>
      </w:r>
      <w:r w:rsidR="008B6F84">
        <w:rPr>
          <w:lang w:val="fr-FR"/>
        </w:rPr>
        <w:t>’</w:t>
      </w:r>
      <w:r w:rsidRPr="00F001B0">
        <w:rPr>
          <w:lang w:val="fr-FR"/>
        </w:rPr>
        <w:t>au 31 décembre 2019. ».</w:t>
      </w:r>
    </w:p>
    <w:p w:rsidR="00CC315F" w:rsidRPr="00F001B0" w:rsidRDefault="00CC315F" w:rsidP="00CC315F">
      <w:pPr>
        <w:pStyle w:val="SingleTxtG"/>
        <w:rPr>
          <w:i/>
          <w:lang w:val="fr-FR"/>
        </w:rPr>
      </w:pPr>
      <w:r w:rsidRPr="00F001B0">
        <w:rPr>
          <w:i/>
          <w:lang w:val="fr-FR"/>
        </w:rPr>
        <w:t>(Document de référence : document informel INF.37)</w:t>
      </w:r>
    </w:p>
    <w:p w:rsidR="00CC315F" w:rsidRPr="00F001B0" w:rsidRDefault="00CC315F" w:rsidP="00CC315F">
      <w:pPr>
        <w:pStyle w:val="SingleTxtG"/>
        <w:rPr>
          <w:lang w:val="fr-FR"/>
        </w:rPr>
      </w:pPr>
      <w:r w:rsidRPr="00F001B0">
        <w:rPr>
          <w:lang w:val="fr-FR"/>
        </w:rPr>
        <w:t>(ADR :)</w:t>
      </w:r>
    </w:p>
    <w:p w:rsidR="00CC315F" w:rsidRPr="00F001B0" w:rsidRDefault="00CC315F" w:rsidP="00CC315F">
      <w:pPr>
        <w:pStyle w:val="SingleTxtG"/>
        <w:tabs>
          <w:tab w:val="left" w:pos="2268"/>
        </w:tabs>
        <w:rPr>
          <w:lang w:val="fr-FR"/>
        </w:rPr>
      </w:pPr>
      <w:r w:rsidRPr="00F001B0">
        <w:rPr>
          <w:lang w:val="fr-FR"/>
        </w:rPr>
        <w:t>1.6.5.7</w:t>
      </w:r>
      <w:r w:rsidRPr="00F001B0">
        <w:rPr>
          <w:lang w:val="fr-FR"/>
        </w:rPr>
        <w:tab/>
        <w:t>Dans la première phrase et dans la note de bas de page</w:t>
      </w:r>
      <w:r w:rsidR="0095548E">
        <w:rPr>
          <w:lang w:val="fr-FR"/>
        </w:rPr>
        <w:t> </w:t>
      </w:r>
      <w:r w:rsidRPr="00F001B0">
        <w:rPr>
          <w:lang w:val="fr-FR"/>
        </w:rPr>
        <w:t>1), remplacer « Règlement ECE » par : « Règlement ONU ».</w:t>
      </w:r>
    </w:p>
    <w:p w:rsidR="00CC315F" w:rsidRPr="00F001B0" w:rsidRDefault="00CC315F" w:rsidP="00CC315F">
      <w:pPr>
        <w:pStyle w:val="SingleTxtG"/>
        <w:rPr>
          <w:i/>
          <w:lang w:val="fr-FR"/>
        </w:rPr>
      </w:pPr>
      <w:r w:rsidRPr="00F001B0">
        <w:rPr>
          <w:i/>
          <w:lang w:val="fr-FR"/>
        </w:rPr>
        <w:t>(Document de référence : document informel INF.30)</w:t>
      </w:r>
    </w:p>
    <w:p w:rsidR="00CC315F" w:rsidRPr="00F001B0" w:rsidRDefault="00CC315F" w:rsidP="00CC315F">
      <w:pPr>
        <w:pStyle w:val="SingleTxtG"/>
        <w:rPr>
          <w:lang w:val="fr-FR"/>
        </w:rPr>
      </w:pPr>
      <w:r w:rsidRPr="00F001B0">
        <w:rPr>
          <w:lang w:val="fr-FR"/>
        </w:rPr>
        <w:t>1.6.5.13</w:t>
      </w:r>
      <w:r w:rsidRPr="00F001B0">
        <w:rPr>
          <w:lang w:val="fr-FR"/>
        </w:rPr>
        <w:tab/>
        <w:t>Remplacer « Règlement ECE » par : « Règlement ONU ».</w:t>
      </w:r>
    </w:p>
    <w:p w:rsidR="00CC315F" w:rsidRPr="00F001B0" w:rsidRDefault="00CC315F" w:rsidP="00CC315F">
      <w:pPr>
        <w:pStyle w:val="SingleTxtG"/>
        <w:rPr>
          <w:i/>
          <w:lang w:val="fr-FR"/>
        </w:rPr>
      </w:pPr>
      <w:r w:rsidRPr="00F001B0">
        <w:rPr>
          <w:i/>
          <w:lang w:val="fr-FR"/>
        </w:rPr>
        <w:t>(Document de référence : document informel INF.30)</w:t>
      </w:r>
    </w:p>
    <w:p w:rsidR="00CC315F" w:rsidRPr="00F001B0" w:rsidRDefault="00CC315F" w:rsidP="00CC315F">
      <w:pPr>
        <w:pStyle w:val="SingleTxtG"/>
        <w:rPr>
          <w:lang w:val="fr-FR"/>
        </w:rPr>
      </w:pPr>
      <w:r w:rsidRPr="00F001B0">
        <w:rPr>
          <w:lang w:val="fr-FR"/>
        </w:rPr>
        <w:t>1.6.5.16</w:t>
      </w:r>
      <w:r w:rsidRPr="00F001B0">
        <w:rPr>
          <w:lang w:val="fr-FR"/>
        </w:rPr>
        <w:tab/>
        <w:t>Remplacer « Règlement ECE » par : « Règlement ONU ».</w:t>
      </w:r>
    </w:p>
    <w:p w:rsidR="00CC315F" w:rsidRPr="00F001B0" w:rsidRDefault="00CC315F" w:rsidP="00CC315F">
      <w:pPr>
        <w:pStyle w:val="SingleTxtG"/>
        <w:rPr>
          <w:i/>
          <w:lang w:val="fr-FR"/>
        </w:rPr>
      </w:pPr>
      <w:r w:rsidRPr="00F001B0">
        <w:rPr>
          <w:i/>
          <w:lang w:val="fr-FR"/>
        </w:rPr>
        <w:t>(Document de référence : document informel INF.30)</w:t>
      </w:r>
    </w:p>
    <w:p w:rsidR="00CC315F" w:rsidRPr="00F001B0" w:rsidRDefault="00CC315F" w:rsidP="00CC315F">
      <w:pPr>
        <w:pStyle w:val="H1G"/>
        <w:rPr>
          <w:lang w:val="fr-FR"/>
        </w:rPr>
      </w:pPr>
      <w:r w:rsidRPr="00F001B0">
        <w:rPr>
          <w:lang w:val="fr-FR"/>
        </w:rPr>
        <w:tab/>
      </w:r>
      <w:r w:rsidRPr="00F001B0">
        <w:rPr>
          <w:lang w:val="fr-FR"/>
        </w:rPr>
        <w:tab/>
        <w:t>Chapitre 3.2</w:t>
      </w:r>
    </w:p>
    <w:p w:rsidR="00CC315F" w:rsidRPr="00F001B0" w:rsidRDefault="00CC315F" w:rsidP="00CC315F">
      <w:pPr>
        <w:pStyle w:val="H23G"/>
        <w:rPr>
          <w:lang w:val="fr-FR"/>
        </w:rPr>
      </w:pPr>
      <w:r w:rsidRPr="00F001B0">
        <w:rPr>
          <w:lang w:val="fr-FR"/>
        </w:rPr>
        <w:tab/>
      </w:r>
      <w:r w:rsidRPr="00F001B0">
        <w:rPr>
          <w:lang w:val="fr-FR"/>
        </w:rPr>
        <w:tab/>
        <w:t xml:space="preserve">3.2.1, </w:t>
      </w:r>
      <w:r w:rsidR="00081B35">
        <w:rPr>
          <w:lang w:val="fr-FR"/>
        </w:rPr>
        <w:t>T</w:t>
      </w:r>
      <w:r w:rsidRPr="00F001B0">
        <w:rPr>
          <w:lang w:val="fr-FR"/>
        </w:rPr>
        <w:t>ableau A</w:t>
      </w:r>
    </w:p>
    <w:p w:rsidR="00CC315F" w:rsidRPr="00F001B0" w:rsidRDefault="00CC315F" w:rsidP="00CC315F">
      <w:pPr>
        <w:pStyle w:val="SingleTxtG"/>
        <w:rPr>
          <w:lang w:val="fr-FR"/>
        </w:rPr>
      </w:pPr>
      <w:r w:rsidRPr="00F001B0">
        <w:rPr>
          <w:lang w:val="fr-FR"/>
        </w:rPr>
        <w:t>(RID :) Pour les Nos</w:t>
      </w:r>
      <w:r w:rsidR="000812F8">
        <w:rPr>
          <w:lang w:val="fr-FR"/>
        </w:rPr>
        <w:t> </w:t>
      </w:r>
      <w:r w:rsidRPr="00F001B0">
        <w:rPr>
          <w:lang w:val="fr-FR"/>
        </w:rPr>
        <w:t>ONU 1796 (groupe d</w:t>
      </w:r>
      <w:r w:rsidR="008B6F84">
        <w:rPr>
          <w:lang w:val="fr-FR"/>
        </w:rPr>
        <w:t>’</w:t>
      </w:r>
      <w:r w:rsidRPr="00F001B0">
        <w:rPr>
          <w:lang w:val="fr-FR"/>
        </w:rPr>
        <w:t>emballage II) et 1826 (groupe d</w:t>
      </w:r>
      <w:r w:rsidR="008B6F84">
        <w:rPr>
          <w:lang w:val="fr-FR"/>
        </w:rPr>
        <w:t>’</w:t>
      </w:r>
      <w:r w:rsidRPr="00F001B0">
        <w:rPr>
          <w:lang w:val="fr-FR"/>
        </w:rPr>
        <w:t>emballage II), dans la colonne (18), supprimer : « CW24 ».</w:t>
      </w:r>
    </w:p>
    <w:p w:rsidR="00CC315F" w:rsidRPr="00F001B0" w:rsidRDefault="00CC315F" w:rsidP="00CC315F">
      <w:pPr>
        <w:pStyle w:val="SingleTxtG"/>
        <w:rPr>
          <w:i/>
          <w:lang w:val="fr-FR"/>
        </w:rPr>
      </w:pPr>
      <w:r w:rsidRPr="00F001B0">
        <w:rPr>
          <w:i/>
          <w:lang w:val="fr-FR"/>
        </w:rPr>
        <w:t>(Document de référence : ECE/TRANS/WP.15/AC.1/2018/5)</w:t>
      </w:r>
    </w:p>
    <w:p w:rsidR="00CC315F" w:rsidRPr="00F001B0" w:rsidRDefault="00CC315F" w:rsidP="00CC315F">
      <w:pPr>
        <w:pStyle w:val="SingleTxtG"/>
        <w:rPr>
          <w:lang w:val="fr-FR"/>
        </w:rPr>
      </w:pPr>
      <w:r w:rsidRPr="00F001B0">
        <w:rPr>
          <w:lang w:val="fr-FR"/>
        </w:rPr>
        <w:t>Pour le No</w:t>
      </w:r>
      <w:r w:rsidR="00081B35">
        <w:rPr>
          <w:lang w:val="fr-FR"/>
        </w:rPr>
        <w:t> </w:t>
      </w:r>
      <w:r w:rsidRPr="00F001B0">
        <w:rPr>
          <w:lang w:val="fr-FR"/>
        </w:rPr>
        <w:t>ONU 2031, deuxième rubrique, dans la colonne (18), insérer : « CW24/CV24 ».</w:t>
      </w:r>
    </w:p>
    <w:p w:rsidR="00CC315F" w:rsidRPr="00F001B0" w:rsidRDefault="00CC315F" w:rsidP="00CC315F">
      <w:pPr>
        <w:pStyle w:val="SingleTxtG"/>
        <w:rPr>
          <w:i/>
          <w:lang w:val="fr-FR"/>
        </w:rPr>
      </w:pPr>
      <w:r w:rsidRPr="00F001B0">
        <w:rPr>
          <w:i/>
          <w:lang w:val="fr-FR"/>
        </w:rPr>
        <w:t>(Document de référence : ECE/TRANS/WP.15/AC.1/2018/5)</w:t>
      </w:r>
    </w:p>
    <w:p w:rsidR="00CC315F" w:rsidRPr="00F001B0" w:rsidRDefault="0095548E" w:rsidP="00CC315F">
      <w:pPr>
        <w:pStyle w:val="H1G"/>
        <w:rPr>
          <w:lang w:val="fr-FR"/>
        </w:rPr>
      </w:pPr>
      <w:r>
        <w:rPr>
          <w:lang w:val="fr-FR"/>
        </w:rPr>
        <w:tab/>
      </w:r>
      <w:r>
        <w:rPr>
          <w:lang w:val="fr-FR"/>
        </w:rPr>
        <w:tab/>
      </w:r>
      <w:r w:rsidR="00CC315F" w:rsidRPr="00F001B0">
        <w:rPr>
          <w:bCs/>
          <w:lang w:val="fr-FR"/>
        </w:rPr>
        <w:t xml:space="preserve">Chapitre </w:t>
      </w:r>
      <w:r w:rsidR="00CC315F" w:rsidRPr="00F001B0">
        <w:rPr>
          <w:lang w:val="fr-FR"/>
        </w:rPr>
        <w:t>4.1</w:t>
      </w:r>
    </w:p>
    <w:p w:rsidR="00CC315F" w:rsidRPr="00F001B0" w:rsidRDefault="00CC315F" w:rsidP="00CC315F">
      <w:pPr>
        <w:pStyle w:val="SingleTxtG"/>
        <w:tabs>
          <w:tab w:val="left" w:pos="2268"/>
        </w:tabs>
        <w:rPr>
          <w:lang w:val="fr-FR"/>
        </w:rPr>
      </w:pPr>
      <w:r w:rsidRPr="00F001B0">
        <w:rPr>
          <w:lang w:val="fr-FR"/>
        </w:rPr>
        <w:t>4.1.6.8</w:t>
      </w:r>
      <w:r w:rsidRPr="00F001B0">
        <w:rPr>
          <w:lang w:val="fr-FR"/>
        </w:rPr>
        <w:tab/>
      </w:r>
      <w:r w:rsidRPr="00F001B0">
        <w:rPr>
          <w:lang w:val="fr-FR"/>
        </w:rPr>
        <w:tab/>
        <w:t>Dans la première phrase, après « Les robinets », insérer : « et les autres éléments raccordés aux robinets qui doivent rester en place pendant le transport (par exemple des dispositifs de manutention ou des adaptateurs) ».</w:t>
      </w:r>
    </w:p>
    <w:p w:rsidR="00CC315F" w:rsidRPr="00F001B0" w:rsidRDefault="00CC315F" w:rsidP="00CC315F">
      <w:pPr>
        <w:pStyle w:val="SingleTxtG"/>
        <w:tabs>
          <w:tab w:val="left" w:pos="2268"/>
        </w:tabs>
        <w:rPr>
          <w:i/>
          <w:lang w:val="fr-FR"/>
        </w:rPr>
      </w:pPr>
      <w:r w:rsidRPr="00F001B0">
        <w:rPr>
          <w:i/>
          <w:lang w:val="fr-FR"/>
        </w:rPr>
        <w:t>(Document de référence : document informel INF.44)</w:t>
      </w:r>
    </w:p>
    <w:p w:rsidR="00CC315F" w:rsidRPr="00F001B0" w:rsidRDefault="00CC315F" w:rsidP="00CC315F">
      <w:pPr>
        <w:pStyle w:val="H1G"/>
        <w:rPr>
          <w:lang w:val="fr-FR"/>
        </w:rPr>
      </w:pPr>
      <w:r w:rsidRPr="00F001B0">
        <w:rPr>
          <w:lang w:val="fr-FR"/>
        </w:rPr>
        <w:tab/>
      </w:r>
      <w:r w:rsidRPr="00F001B0">
        <w:rPr>
          <w:lang w:val="fr-FR"/>
        </w:rPr>
        <w:tab/>
        <w:t>Chapitre 5.2</w:t>
      </w:r>
    </w:p>
    <w:p w:rsidR="00CC315F" w:rsidRPr="00F001B0" w:rsidRDefault="00CC315F" w:rsidP="00CC315F">
      <w:pPr>
        <w:pStyle w:val="SingleTxtG"/>
        <w:tabs>
          <w:tab w:val="left" w:pos="2268"/>
        </w:tabs>
        <w:rPr>
          <w:lang w:val="fr-FR"/>
        </w:rPr>
      </w:pPr>
      <w:r w:rsidRPr="00F001B0">
        <w:rPr>
          <w:lang w:val="fr-FR"/>
        </w:rPr>
        <w:t>5.2.1.5</w:t>
      </w:r>
      <w:r w:rsidRPr="00F001B0">
        <w:rPr>
          <w:lang w:val="fr-FR"/>
        </w:rPr>
        <w:tab/>
        <w:t>Modifier la deuxième phrase comme suit :</w:t>
      </w:r>
    </w:p>
    <w:p w:rsidR="00CC315F" w:rsidRPr="00F001B0" w:rsidRDefault="00CC315F" w:rsidP="00CC315F">
      <w:pPr>
        <w:pStyle w:val="SingleTxtG"/>
        <w:rPr>
          <w:lang w:val="fr-FR"/>
        </w:rPr>
      </w:pPr>
      <w:r w:rsidRPr="00F001B0">
        <w:rPr>
          <w:lang w:val="fr-FR"/>
        </w:rPr>
        <w:t>« La marque, bien lisible et indélébile, doit être rédigée dans une ou plusieurs langue(s), dont l</w:t>
      </w:r>
      <w:r w:rsidR="008B6F84">
        <w:rPr>
          <w:lang w:val="fr-FR"/>
        </w:rPr>
        <w:t>’</w:t>
      </w:r>
      <w:r w:rsidRPr="00F001B0">
        <w:rPr>
          <w:lang w:val="fr-FR"/>
        </w:rPr>
        <w:t>une doit être le français, l</w:t>
      </w:r>
      <w:r w:rsidR="008B6F84">
        <w:rPr>
          <w:lang w:val="fr-FR"/>
        </w:rPr>
        <w:t>’</w:t>
      </w:r>
      <w:r w:rsidRPr="00F001B0">
        <w:rPr>
          <w:lang w:val="fr-FR"/>
        </w:rPr>
        <w:t>allemand ou l</w:t>
      </w:r>
      <w:r w:rsidR="008B6F84">
        <w:rPr>
          <w:lang w:val="fr-FR"/>
        </w:rPr>
        <w:t>’</w:t>
      </w:r>
      <w:r w:rsidRPr="00F001B0">
        <w:rPr>
          <w:lang w:val="fr-FR"/>
        </w:rPr>
        <w:t>anglais, à moins que des accords conclus entre les pays intéressés au transport n</w:t>
      </w:r>
      <w:r w:rsidR="008B6F84">
        <w:rPr>
          <w:lang w:val="fr-FR"/>
        </w:rPr>
        <w:t>’</w:t>
      </w:r>
      <w:r w:rsidRPr="00F001B0">
        <w:rPr>
          <w:lang w:val="fr-FR"/>
        </w:rPr>
        <w:t>en disposent autrement. ».</w:t>
      </w:r>
    </w:p>
    <w:p w:rsidR="00CC315F" w:rsidRPr="00F001B0" w:rsidRDefault="00CC315F" w:rsidP="00CC315F">
      <w:pPr>
        <w:pStyle w:val="SingleTxtG"/>
        <w:rPr>
          <w:i/>
          <w:lang w:val="fr-FR"/>
        </w:rPr>
      </w:pPr>
      <w:r w:rsidRPr="00F001B0">
        <w:rPr>
          <w:i/>
          <w:lang w:val="fr-FR"/>
        </w:rPr>
        <w:t>(Document de référence : ECE/TRANS/WP.15/AC.1/2018/1, option 1)</w:t>
      </w:r>
    </w:p>
    <w:p w:rsidR="00CC315F" w:rsidRPr="00F001B0" w:rsidRDefault="00CC315F" w:rsidP="00CC315F">
      <w:pPr>
        <w:pStyle w:val="H1G"/>
        <w:rPr>
          <w:lang w:val="fr-FR"/>
        </w:rPr>
      </w:pPr>
      <w:r w:rsidRPr="00F001B0">
        <w:rPr>
          <w:lang w:val="fr-FR"/>
        </w:rPr>
        <w:tab/>
      </w:r>
      <w:r w:rsidRPr="00F001B0">
        <w:rPr>
          <w:lang w:val="fr-FR"/>
        </w:rPr>
        <w:tab/>
        <w:t>Chapitre 5.3</w:t>
      </w:r>
    </w:p>
    <w:p w:rsidR="00CC315F" w:rsidRPr="00F001B0" w:rsidRDefault="00CC315F" w:rsidP="00CC315F">
      <w:pPr>
        <w:pStyle w:val="SingleTxtG"/>
        <w:rPr>
          <w:lang w:val="fr-FR"/>
        </w:rPr>
      </w:pPr>
      <w:r w:rsidRPr="00F001B0">
        <w:rPr>
          <w:lang w:val="fr-FR"/>
        </w:rPr>
        <w:t>5.3.1.7.1</w:t>
      </w:r>
      <w:r w:rsidRPr="00F001B0">
        <w:rPr>
          <w:lang w:val="fr-FR"/>
        </w:rPr>
        <w:tab/>
        <w:t>Au deuxième paragraphe, remplacer « du paragraphe 5.2.2.2 » par : « du 5.2.2.2 ». Au deuxième paragraphe, remplacer « au paragraphe 5.2.2.2 » par : « au 5.2.2.2 ».</w:t>
      </w:r>
    </w:p>
    <w:p w:rsidR="00CC315F" w:rsidRPr="00F001B0" w:rsidRDefault="00CC315F" w:rsidP="00CC315F">
      <w:pPr>
        <w:pStyle w:val="SingleTxtG"/>
        <w:rPr>
          <w:lang w:val="fr-FR"/>
        </w:rPr>
      </w:pPr>
      <w:r w:rsidRPr="00F001B0">
        <w:rPr>
          <w:lang w:val="fr-FR"/>
        </w:rPr>
        <w:t>5.3.1.7.1</w:t>
      </w:r>
      <w:r w:rsidRPr="00F001B0">
        <w:rPr>
          <w:lang w:val="fr-FR"/>
        </w:rPr>
        <w:tab/>
        <w:t>À la fin, ajouter la phrase suivante : « Les variations couvertes par les 5.2.2.2.1, deuxième phrase, 5.2.2.2.1.3, troisième phrase, et 5.2.2.2.1.5 pour les étiquettes de danger s</w:t>
      </w:r>
      <w:r w:rsidR="008B6F84">
        <w:rPr>
          <w:lang w:val="fr-FR"/>
        </w:rPr>
        <w:t>’</w:t>
      </w:r>
      <w:r w:rsidRPr="00F001B0">
        <w:rPr>
          <w:lang w:val="fr-FR"/>
        </w:rPr>
        <w:t>appliquent également aux plaques-étiquettes. ».</w:t>
      </w:r>
    </w:p>
    <w:p w:rsidR="00CC315F" w:rsidRPr="00F001B0" w:rsidRDefault="00CC315F" w:rsidP="00CC315F">
      <w:pPr>
        <w:pStyle w:val="SingleTxtG"/>
        <w:rPr>
          <w:i/>
          <w:lang w:val="fr-FR"/>
        </w:rPr>
      </w:pPr>
      <w:r w:rsidRPr="00F001B0">
        <w:rPr>
          <w:i/>
          <w:lang w:val="fr-FR"/>
        </w:rPr>
        <w:t>(Document de référence : document informel INF.43)</w:t>
      </w:r>
    </w:p>
    <w:p w:rsidR="00CC315F" w:rsidRPr="00F001B0" w:rsidRDefault="00CC315F" w:rsidP="00CC315F">
      <w:pPr>
        <w:pStyle w:val="SingleTxtG"/>
        <w:rPr>
          <w:lang w:val="fr-FR"/>
        </w:rPr>
      </w:pPr>
      <w:r w:rsidRPr="00F001B0">
        <w:rPr>
          <w:lang w:val="fr-FR"/>
        </w:rPr>
        <w:t>5.3.3</w:t>
      </w:r>
      <w:r w:rsidRPr="00F001B0">
        <w:rPr>
          <w:lang w:val="fr-FR"/>
        </w:rPr>
        <w:tab/>
      </w:r>
      <w:r w:rsidRPr="00F001B0">
        <w:rPr>
          <w:lang w:val="fr-FR"/>
        </w:rPr>
        <w:tab/>
        <w:t>Dans la deuxième phrase du deuxième paragraphe, remplacer « Il » par : « Elle ».</w:t>
      </w:r>
    </w:p>
    <w:p w:rsidR="00CC315F" w:rsidRPr="00F001B0" w:rsidRDefault="00CC315F" w:rsidP="00CC315F">
      <w:pPr>
        <w:pStyle w:val="SingleTxtG"/>
        <w:rPr>
          <w:i/>
          <w:lang w:val="fr-FR"/>
        </w:rPr>
      </w:pPr>
      <w:r w:rsidRPr="00F001B0">
        <w:rPr>
          <w:i/>
          <w:lang w:val="fr-FR"/>
        </w:rPr>
        <w:t>(Document de référence : document informel INF.4)</w:t>
      </w:r>
    </w:p>
    <w:p w:rsidR="00CC315F" w:rsidRPr="00F001B0" w:rsidRDefault="00CC315F" w:rsidP="00CC315F">
      <w:pPr>
        <w:pStyle w:val="H1G"/>
        <w:rPr>
          <w:lang w:val="fr-FR"/>
        </w:rPr>
      </w:pPr>
      <w:r w:rsidRPr="00F001B0">
        <w:rPr>
          <w:lang w:val="fr-FR"/>
        </w:rPr>
        <w:tab/>
      </w:r>
      <w:r w:rsidRPr="00F001B0">
        <w:rPr>
          <w:lang w:val="fr-FR"/>
        </w:rPr>
        <w:tab/>
        <w:t>Chapitre 6.2</w:t>
      </w:r>
    </w:p>
    <w:p w:rsidR="00CC315F" w:rsidRPr="00F001B0" w:rsidRDefault="00CC315F" w:rsidP="00CC315F">
      <w:pPr>
        <w:pStyle w:val="SingleTxtG"/>
        <w:tabs>
          <w:tab w:val="left" w:pos="2268"/>
        </w:tabs>
        <w:rPr>
          <w:lang w:val="fr-FR"/>
        </w:rPr>
      </w:pPr>
      <w:r w:rsidRPr="00F001B0">
        <w:rPr>
          <w:lang w:val="fr-FR"/>
        </w:rPr>
        <w:t>6.2.4.1</w:t>
      </w:r>
      <w:r w:rsidRPr="00F001B0">
        <w:rPr>
          <w:lang w:val="fr-FR"/>
        </w:rPr>
        <w:tab/>
      </w:r>
      <w:r w:rsidRPr="00F001B0">
        <w:rPr>
          <w:lang w:val="fr-FR"/>
        </w:rPr>
        <w:tab/>
        <w:t>Dans le tableau, sous « pour la conception et la fabrication » :</w:t>
      </w:r>
    </w:p>
    <w:p w:rsidR="00CC315F" w:rsidRPr="00F001B0" w:rsidRDefault="00E52B4E" w:rsidP="00CC315F">
      <w:pPr>
        <w:pStyle w:val="SingleTxtG"/>
        <w:rPr>
          <w:lang w:val="fr-FR"/>
        </w:rPr>
      </w:pPr>
      <w:r>
        <w:rPr>
          <w:lang w:val="fr-FR"/>
        </w:rPr>
        <w:t>-</w:t>
      </w:r>
      <w:r w:rsidR="00CC315F" w:rsidRPr="00F001B0">
        <w:rPr>
          <w:lang w:val="fr-FR"/>
        </w:rPr>
        <w:tab/>
        <w:t>Pour la norme « EN 1442:2006 + A1:2008 », dans la colonne (4), remplacer « Jusqu</w:t>
      </w:r>
      <w:r w:rsidR="008B6F84">
        <w:rPr>
          <w:lang w:val="fr-FR"/>
        </w:rPr>
        <w:t>’</w:t>
      </w:r>
      <w:r w:rsidR="00CC315F" w:rsidRPr="00F001B0">
        <w:rPr>
          <w:lang w:val="fr-FR"/>
        </w:rPr>
        <w:t>à nouvel ordre » par : « Entre le 1</w:t>
      </w:r>
      <w:r w:rsidR="00CC315F" w:rsidRPr="00F001B0">
        <w:rPr>
          <w:vertAlign w:val="superscript"/>
          <w:lang w:val="fr-FR"/>
        </w:rPr>
        <w:t>er</w:t>
      </w:r>
      <w:r w:rsidR="00CC315F" w:rsidRPr="00F001B0">
        <w:rPr>
          <w:lang w:val="fr-FR"/>
        </w:rPr>
        <w:t> janvier 2009 et le 31 décembre 2020 ».</w:t>
      </w:r>
    </w:p>
    <w:p w:rsidR="00CC315F" w:rsidRPr="00F001B0" w:rsidRDefault="00CC315F" w:rsidP="00CC315F">
      <w:pPr>
        <w:pStyle w:val="SingleTxtG"/>
        <w:rPr>
          <w:i/>
          <w:lang w:val="fr-FR"/>
        </w:rPr>
      </w:pPr>
      <w:r w:rsidRPr="00F001B0">
        <w:rPr>
          <w:i/>
          <w:lang w:val="fr-FR"/>
        </w:rPr>
        <w:t>(Document de référence : document informel INF.45)</w:t>
      </w:r>
    </w:p>
    <w:p w:rsidR="00CC315F" w:rsidRPr="00F001B0" w:rsidRDefault="00E52B4E" w:rsidP="00CC315F">
      <w:pPr>
        <w:pStyle w:val="SingleTxtG"/>
        <w:rPr>
          <w:lang w:val="fr-FR"/>
        </w:rPr>
      </w:pPr>
      <w:r>
        <w:rPr>
          <w:lang w:val="fr-FR"/>
        </w:rPr>
        <w:t>-</w:t>
      </w:r>
      <w:r w:rsidR="00CC315F" w:rsidRPr="00F001B0">
        <w:rPr>
          <w:lang w:val="fr-FR"/>
        </w:rPr>
        <w:tab/>
        <w:t>Après la ligne pour la norme « EN 1442:2006 + A1:2008 », insérer la nouvelle norme suivante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25"/>
        <w:gridCol w:w="3976"/>
        <w:gridCol w:w="909"/>
        <w:gridCol w:w="1113"/>
        <w:gridCol w:w="682"/>
      </w:tblGrid>
      <w:tr w:rsidR="00CC315F" w:rsidRPr="00F001B0" w:rsidTr="0059277D">
        <w:tc>
          <w:tcPr>
            <w:tcW w:w="1825" w:type="dxa"/>
            <w:vAlign w:val="center"/>
          </w:tcPr>
          <w:p w:rsidR="00CC315F" w:rsidRPr="00F001B0" w:rsidRDefault="00CC315F" w:rsidP="00C426B3">
            <w:pPr>
              <w:widowControl w:val="0"/>
              <w:spacing w:before="60" w:after="60"/>
              <w:ind w:left="57" w:right="57"/>
              <w:rPr>
                <w:rFonts w:cs="Arial"/>
                <w:lang w:val="fr-FR"/>
              </w:rPr>
            </w:pPr>
            <w:r w:rsidRPr="00F001B0">
              <w:rPr>
                <w:rFonts w:cs="Arial"/>
                <w:lang w:val="fr-FR"/>
              </w:rPr>
              <w:t>EN 1442:2017</w:t>
            </w:r>
          </w:p>
        </w:tc>
        <w:tc>
          <w:tcPr>
            <w:tcW w:w="3976" w:type="dxa"/>
            <w:vAlign w:val="center"/>
          </w:tcPr>
          <w:p w:rsidR="00CC315F" w:rsidRPr="00F001B0" w:rsidRDefault="00CC315F" w:rsidP="00B5197A">
            <w:pPr>
              <w:widowControl w:val="0"/>
              <w:spacing w:before="60" w:after="60"/>
              <w:ind w:left="57" w:right="57"/>
              <w:rPr>
                <w:rFonts w:cs="Arial"/>
                <w:lang w:val="fr-FR"/>
              </w:rPr>
            </w:pPr>
            <w:r w:rsidRPr="00F001B0">
              <w:rPr>
                <w:rFonts w:cs="Arial"/>
                <w:bCs/>
                <w:lang w:val="fr-FR"/>
              </w:rPr>
              <w:t xml:space="preserve">Équipements pour GPL et leurs accessoires </w:t>
            </w:r>
            <w:r w:rsidR="00B5197A">
              <w:rPr>
                <w:rFonts w:cs="Arial"/>
                <w:bCs/>
                <w:lang w:val="fr-FR"/>
              </w:rPr>
              <w:t>−</w:t>
            </w:r>
            <w:r w:rsidRPr="00F001B0">
              <w:rPr>
                <w:rFonts w:cs="Arial"/>
                <w:bCs/>
                <w:lang w:val="fr-FR"/>
              </w:rPr>
              <w:t xml:space="preserve"> Bouteilles en acier soudé transportables et rechargeables pour GPL − Conception et construction</w:t>
            </w:r>
          </w:p>
        </w:tc>
        <w:tc>
          <w:tcPr>
            <w:tcW w:w="909" w:type="dxa"/>
            <w:vAlign w:val="center"/>
          </w:tcPr>
          <w:p w:rsidR="00CC315F" w:rsidRPr="00F001B0" w:rsidRDefault="00CC315F" w:rsidP="00C426B3">
            <w:pPr>
              <w:widowControl w:val="0"/>
              <w:spacing w:before="60" w:after="60"/>
              <w:ind w:left="57" w:right="57"/>
              <w:rPr>
                <w:rFonts w:cs="Arial"/>
                <w:lang w:val="fr-FR"/>
              </w:rPr>
            </w:pPr>
            <w:r w:rsidRPr="00F001B0">
              <w:rPr>
                <w:rFonts w:cs="Arial"/>
                <w:lang w:val="fr-FR"/>
              </w:rPr>
              <w:t xml:space="preserve">6.2.3.1 </w:t>
            </w:r>
            <w:r w:rsidR="00B5197A">
              <w:rPr>
                <w:rFonts w:cs="Arial"/>
                <w:lang w:val="fr-FR"/>
              </w:rPr>
              <w:br/>
            </w:r>
            <w:r w:rsidRPr="00F001B0">
              <w:rPr>
                <w:rFonts w:cs="Arial"/>
                <w:lang w:val="fr-FR"/>
              </w:rPr>
              <w:t>et 6.2.3.4</w:t>
            </w:r>
          </w:p>
        </w:tc>
        <w:tc>
          <w:tcPr>
            <w:tcW w:w="1113" w:type="dxa"/>
            <w:vAlign w:val="center"/>
          </w:tcPr>
          <w:p w:rsidR="00CC315F" w:rsidRPr="00F001B0" w:rsidRDefault="00CC315F" w:rsidP="00C426B3">
            <w:pPr>
              <w:widowControl w:val="0"/>
              <w:spacing w:before="60" w:after="60"/>
              <w:ind w:left="57" w:right="57"/>
              <w:jc w:val="center"/>
              <w:rPr>
                <w:rFonts w:cs="Arial"/>
                <w:lang w:val="fr-FR"/>
              </w:rPr>
            </w:pPr>
            <w:r w:rsidRPr="00F001B0">
              <w:rPr>
                <w:rFonts w:cs="Arial"/>
                <w:lang w:val="fr-FR"/>
              </w:rPr>
              <w:t>Jusqu</w:t>
            </w:r>
            <w:r w:rsidR="008B6F84">
              <w:rPr>
                <w:rFonts w:cs="Arial"/>
                <w:lang w:val="fr-FR"/>
              </w:rPr>
              <w:t>’</w:t>
            </w:r>
            <w:r w:rsidRPr="00F001B0">
              <w:rPr>
                <w:rFonts w:cs="Arial"/>
                <w:lang w:val="fr-FR"/>
              </w:rPr>
              <w:t>à nouvel ordre</w:t>
            </w:r>
          </w:p>
        </w:tc>
        <w:tc>
          <w:tcPr>
            <w:tcW w:w="682" w:type="dxa"/>
            <w:vAlign w:val="center"/>
          </w:tcPr>
          <w:p w:rsidR="00CC315F" w:rsidRPr="00F001B0" w:rsidRDefault="00CC315F" w:rsidP="00C426B3">
            <w:pPr>
              <w:widowControl w:val="0"/>
              <w:spacing w:before="60" w:after="60"/>
              <w:ind w:left="57" w:right="57"/>
              <w:rPr>
                <w:rFonts w:cs="Arial"/>
                <w:lang w:val="fr-FR"/>
              </w:rPr>
            </w:pPr>
          </w:p>
        </w:tc>
      </w:tr>
    </w:tbl>
    <w:p w:rsidR="00CC315F" w:rsidRPr="00F001B0" w:rsidRDefault="00CC315F" w:rsidP="00CC315F">
      <w:pPr>
        <w:pStyle w:val="SingleTxtG"/>
        <w:spacing w:before="120"/>
        <w:rPr>
          <w:i/>
          <w:lang w:val="fr-FR"/>
        </w:rPr>
      </w:pPr>
      <w:r w:rsidRPr="00F001B0">
        <w:rPr>
          <w:i/>
          <w:lang w:val="fr-FR"/>
        </w:rPr>
        <w:t>(Document de référence : document informel INF.45)</w:t>
      </w:r>
    </w:p>
    <w:p w:rsidR="00CC315F" w:rsidRPr="00F001B0" w:rsidRDefault="00E52B4E" w:rsidP="00CC315F">
      <w:pPr>
        <w:pStyle w:val="SingleTxtG"/>
        <w:rPr>
          <w:lang w:val="fr-FR"/>
        </w:rPr>
      </w:pPr>
      <w:r>
        <w:rPr>
          <w:lang w:val="fr-FR"/>
        </w:rPr>
        <w:t>-</w:t>
      </w:r>
      <w:r w:rsidR="00CC315F" w:rsidRPr="00F001B0">
        <w:rPr>
          <w:lang w:val="fr-FR"/>
        </w:rPr>
        <w:tab/>
        <w:t>Pour la norme « EN 12245:2002 », dans la colonne (5), insérer : « 31 décembre 2019, pour les bouteilles et tubes sans liner constitués de deux pièces assemblées ».</w:t>
      </w:r>
    </w:p>
    <w:p w:rsidR="00CC315F" w:rsidRPr="00F001B0" w:rsidRDefault="00CC315F" w:rsidP="00CC315F">
      <w:pPr>
        <w:pStyle w:val="SingleTxtG"/>
        <w:rPr>
          <w:lang w:val="fr-FR"/>
        </w:rPr>
      </w:pPr>
      <w:r w:rsidRPr="00F001B0">
        <w:rPr>
          <w:i/>
          <w:iCs/>
          <w:lang w:val="fr-FR"/>
        </w:rPr>
        <w:t>(</w:t>
      </w:r>
      <w:r w:rsidRPr="00F001B0">
        <w:rPr>
          <w:i/>
          <w:lang w:val="fr-FR"/>
        </w:rPr>
        <w:t xml:space="preserve">Documents </w:t>
      </w:r>
      <w:r w:rsidRPr="00F001B0">
        <w:rPr>
          <w:i/>
          <w:iCs/>
          <w:lang w:val="fr-FR"/>
        </w:rPr>
        <w:t>de référence : documents informels INF.28 et INF.45)</w:t>
      </w:r>
    </w:p>
    <w:p w:rsidR="00CC315F" w:rsidRPr="00F001B0" w:rsidRDefault="00E52B4E" w:rsidP="00CC315F">
      <w:pPr>
        <w:pStyle w:val="SingleTxtG"/>
        <w:rPr>
          <w:lang w:val="fr-FR"/>
        </w:rPr>
      </w:pPr>
      <w:r>
        <w:rPr>
          <w:lang w:val="fr-FR"/>
        </w:rPr>
        <w:t>-</w:t>
      </w:r>
      <w:r w:rsidR="00CC315F" w:rsidRPr="00F001B0">
        <w:rPr>
          <w:lang w:val="fr-FR"/>
        </w:rPr>
        <w:tab/>
        <w:t xml:space="preserve">Pour la norme « EN 12245:2009 + A1:2011 », dans la colonne (2), ajouter le </w:t>
      </w:r>
      <w:r w:rsidR="00B93DC7">
        <w:rPr>
          <w:lang w:val="fr-FR"/>
        </w:rPr>
        <w:t>nota</w:t>
      </w:r>
      <w:r w:rsidR="00CC315F" w:rsidRPr="00F001B0">
        <w:rPr>
          <w:lang w:val="fr-FR"/>
        </w:rPr>
        <w:t xml:space="preserve"> suivant : </w:t>
      </w:r>
    </w:p>
    <w:p w:rsidR="00CC315F" w:rsidRPr="00F001B0" w:rsidRDefault="00CC315F" w:rsidP="00CC315F">
      <w:pPr>
        <w:pStyle w:val="SingleTxtG"/>
        <w:rPr>
          <w:lang w:val="fr-FR"/>
        </w:rPr>
      </w:pPr>
      <w:r w:rsidRPr="00F001B0">
        <w:rPr>
          <w:lang w:val="fr-FR"/>
        </w:rPr>
        <w:t>« </w:t>
      </w:r>
      <w:r w:rsidRPr="00F001B0">
        <w:rPr>
          <w:b/>
          <w:i/>
          <w:lang w:val="fr-FR"/>
        </w:rPr>
        <w:t>NOTA</w:t>
      </w:r>
      <w:r w:rsidR="009D067F">
        <w:rPr>
          <w:b/>
          <w:i/>
          <w:lang w:val="fr-FR"/>
        </w:rPr>
        <w:t> </w:t>
      </w:r>
      <w:r w:rsidRPr="006D28ED">
        <w:rPr>
          <w:i/>
          <w:lang w:val="fr-FR"/>
        </w:rPr>
        <w:t>:</w:t>
      </w:r>
      <w:r w:rsidRPr="00F001B0">
        <w:rPr>
          <w:i/>
          <w:lang w:val="fr-FR"/>
        </w:rPr>
        <w:tab/>
        <w:t>Cette norme ne doit pas être utilisée pour les bouteilles et tubes sans liner constitués de deux pièces assemblées.</w:t>
      </w:r>
      <w:r w:rsidRPr="00F001B0">
        <w:rPr>
          <w:lang w:val="fr-FR"/>
        </w:rPr>
        <w:t> »</w:t>
      </w:r>
    </w:p>
    <w:p w:rsidR="00CC315F" w:rsidRPr="00F001B0" w:rsidRDefault="00CC315F" w:rsidP="00CC315F">
      <w:pPr>
        <w:pStyle w:val="SingleTxtG"/>
        <w:rPr>
          <w:i/>
          <w:iCs/>
          <w:lang w:val="fr-FR"/>
        </w:rPr>
      </w:pPr>
      <w:r w:rsidRPr="00F001B0">
        <w:rPr>
          <w:i/>
          <w:iCs/>
          <w:lang w:val="fr-FR"/>
        </w:rPr>
        <w:t>(</w:t>
      </w:r>
      <w:r w:rsidRPr="00F001B0">
        <w:rPr>
          <w:i/>
          <w:lang w:val="fr-FR"/>
        </w:rPr>
        <w:t xml:space="preserve">Documents </w:t>
      </w:r>
      <w:r w:rsidRPr="00F001B0">
        <w:rPr>
          <w:i/>
          <w:iCs/>
          <w:lang w:val="fr-FR"/>
        </w:rPr>
        <w:t>de référence : documents informels INF.28 et INF.45)</w:t>
      </w:r>
    </w:p>
    <w:p w:rsidR="00CC315F" w:rsidRPr="00F001B0" w:rsidRDefault="00E52B4E" w:rsidP="00CC315F">
      <w:pPr>
        <w:pStyle w:val="SingleTxtG"/>
        <w:rPr>
          <w:lang w:val="fr-FR"/>
        </w:rPr>
      </w:pPr>
      <w:r>
        <w:rPr>
          <w:lang w:val="fr-FR"/>
        </w:rPr>
        <w:t>-</w:t>
      </w:r>
      <w:r w:rsidR="00CC315F" w:rsidRPr="00F001B0">
        <w:rPr>
          <w:lang w:val="fr-FR"/>
        </w:rPr>
        <w:tab/>
        <w:t>Pour la norme « EN 12245:2009 + A1:2011 », dans la colonne (5), insérer : « 31 décembre 2019, pour les bouteilles et tubes sans liner constitués de deux pièces assemblées ».</w:t>
      </w:r>
    </w:p>
    <w:p w:rsidR="00CC315F" w:rsidRPr="00F001B0" w:rsidRDefault="00CC315F" w:rsidP="00CC315F">
      <w:pPr>
        <w:pStyle w:val="SingleTxtG"/>
        <w:rPr>
          <w:lang w:val="fr-FR"/>
        </w:rPr>
      </w:pPr>
      <w:r w:rsidRPr="00F001B0">
        <w:rPr>
          <w:i/>
          <w:iCs/>
          <w:lang w:val="fr-FR"/>
        </w:rPr>
        <w:t>(</w:t>
      </w:r>
      <w:r w:rsidRPr="00F001B0">
        <w:rPr>
          <w:i/>
          <w:lang w:val="fr-FR"/>
        </w:rPr>
        <w:t xml:space="preserve">Documents </w:t>
      </w:r>
      <w:r w:rsidRPr="00F001B0">
        <w:rPr>
          <w:i/>
          <w:iCs/>
          <w:lang w:val="fr-FR"/>
        </w:rPr>
        <w:t>de référence : documents informels INF.28 et INF.45)</w:t>
      </w:r>
    </w:p>
    <w:p w:rsidR="00CC315F" w:rsidRPr="00F001B0" w:rsidRDefault="00CC315F" w:rsidP="00CC315F">
      <w:pPr>
        <w:pStyle w:val="SingleTxtG"/>
        <w:rPr>
          <w:bCs/>
          <w:lang w:val="fr-FR"/>
        </w:rPr>
      </w:pPr>
      <w:r w:rsidRPr="00F001B0">
        <w:rPr>
          <w:lang w:val="fr-FR"/>
        </w:rPr>
        <w:t>6.2.4.1</w:t>
      </w:r>
      <w:r w:rsidRPr="00F001B0">
        <w:rPr>
          <w:lang w:val="fr-FR"/>
        </w:rPr>
        <w:tab/>
      </w:r>
      <w:r w:rsidRPr="00F001B0">
        <w:rPr>
          <w:lang w:val="fr-FR"/>
        </w:rPr>
        <w:tab/>
        <w:t>Modifier le tableau sous « </w:t>
      </w:r>
      <w:r w:rsidRPr="009D067F">
        <w:rPr>
          <w:iCs/>
          <w:lang w:val="fr-FR"/>
        </w:rPr>
        <w:t>pour les fermetures</w:t>
      </w:r>
      <w:r w:rsidRPr="00F001B0">
        <w:rPr>
          <w:i/>
          <w:iCs/>
          <w:lang w:val="fr-FR"/>
        </w:rPr>
        <w:t> </w:t>
      </w:r>
      <w:r w:rsidRPr="00F001B0">
        <w:rPr>
          <w:lang w:val="fr-FR"/>
        </w:rPr>
        <w:t>»</w:t>
      </w:r>
      <w:r w:rsidR="009D067F">
        <w:rPr>
          <w:lang w:val="fr-FR"/>
        </w:rPr>
        <w:t xml:space="preserve"> </w:t>
      </w:r>
      <w:r w:rsidRPr="00F001B0">
        <w:rPr>
          <w:lang w:val="fr-FR"/>
        </w:rPr>
        <w:t>comme suit</w:t>
      </w:r>
      <w:r w:rsidR="008E39EA">
        <w:rPr>
          <w:lang w:val="fr-FR"/>
        </w:rPr>
        <w:t> </w:t>
      </w:r>
      <w:r w:rsidRPr="00F001B0">
        <w:rPr>
          <w:lang w:val="fr-FR"/>
        </w:rPr>
        <w:t>:</w:t>
      </w:r>
    </w:p>
    <w:p w:rsidR="00CC315F" w:rsidRPr="00F001B0" w:rsidRDefault="00E52B4E" w:rsidP="00CC315F">
      <w:pPr>
        <w:pStyle w:val="SingleTxtG"/>
        <w:rPr>
          <w:lang w:val="fr-FR"/>
        </w:rPr>
      </w:pPr>
      <w:r>
        <w:rPr>
          <w:lang w:val="fr-FR"/>
        </w:rPr>
        <w:t>-</w:t>
      </w:r>
      <w:r w:rsidR="00CC315F" w:rsidRPr="00F001B0">
        <w:rPr>
          <w:lang w:val="fr-FR"/>
        </w:rPr>
        <w:tab/>
      </w:r>
      <w:r w:rsidR="00CC315F" w:rsidRPr="00F001B0">
        <w:rPr>
          <w:rFonts w:cs="Arial"/>
          <w:szCs w:val="22"/>
          <w:lang w:val="fr-FR"/>
        </w:rPr>
        <w:t>Pour</w:t>
      </w:r>
      <w:r w:rsidR="00CC315F" w:rsidRPr="00F001B0">
        <w:rPr>
          <w:rFonts w:cs="Arial"/>
          <w:bCs/>
          <w:szCs w:val="22"/>
          <w:lang w:val="fr-FR"/>
        </w:rPr>
        <w:t xml:space="preserve"> la norme « EN ISO 14246:</w:t>
      </w:r>
      <w:r w:rsidR="00CC315F" w:rsidRPr="00F001B0">
        <w:rPr>
          <w:rFonts w:cs="Arial"/>
          <w:szCs w:val="22"/>
          <w:lang w:val="fr-FR"/>
        </w:rPr>
        <w:t>2014 </w:t>
      </w:r>
      <w:r w:rsidR="00CC315F" w:rsidRPr="00F001B0">
        <w:rPr>
          <w:rFonts w:cs="Arial"/>
          <w:bCs/>
          <w:szCs w:val="22"/>
          <w:lang w:val="fr-FR"/>
        </w:rPr>
        <w:t xml:space="preserve">», </w:t>
      </w:r>
      <w:r w:rsidR="00CC315F" w:rsidRPr="00F001B0">
        <w:rPr>
          <w:lang w:val="fr-FR"/>
        </w:rPr>
        <w:t>dans la colonne (4), remplacer « Jusqu</w:t>
      </w:r>
      <w:r w:rsidR="008B6F84">
        <w:rPr>
          <w:lang w:val="fr-FR"/>
        </w:rPr>
        <w:t>’</w:t>
      </w:r>
      <w:r w:rsidR="00CC315F" w:rsidRPr="00F001B0">
        <w:rPr>
          <w:lang w:val="fr-FR"/>
        </w:rPr>
        <w:t>à nouvel ordre » par : « Entre le 1</w:t>
      </w:r>
      <w:r w:rsidR="00CC315F" w:rsidRPr="00F001B0">
        <w:rPr>
          <w:vertAlign w:val="superscript"/>
          <w:lang w:val="fr-FR"/>
        </w:rPr>
        <w:t>er</w:t>
      </w:r>
      <w:r w:rsidR="00CC315F" w:rsidRPr="00F001B0">
        <w:rPr>
          <w:lang w:val="fr-FR"/>
        </w:rPr>
        <w:t> janvier 2015 et le 31 décembre 2020 ».</w:t>
      </w:r>
    </w:p>
    <w:p w:rsidR="00CC315F" w:rsidRPr="00F001B0" w:rsidRDefault="00CC315F" w:rsidP="00CC315F">
      <w:pPr>
        <w:pStyle w:val="SingleTxtG"/>
        <w:rPr>
          <w:i/>
          <w:iCs/>
          <w:lang w:val="fr-FR"/>
        </w:rPr>
      </w:pPr>
      <w:r w:rsidRPr="00F001B0">
        <w:rPr>
          <w:i/>
          <w:iCs/>
          <w:lang w:val="fr-FR"/>
        </w:rPr>
        <w:t>(</w:t>
      </w:r>
      <w:r w:rsidRPr="00F001B0">
        <w:rPr>
          <w:i/>
          <w:lang w:val="fr-FR"/>
        </w:rPr>
        <w:t xml:space="preserve">Document </w:t>
      </w:r>
      <w:r w:rsidRPr="00F001B0">
        <w:rPr>
          <w:i/>
          <w:iCs/>
          <w:lang w:val="fr-FR"/>
        </w:rPr>
        <w:t>de référence : document informel INF.45)</w:t>
      </w:r>
    </w:p>
    <w:p w:rsidR="00CC315F" w:rsidRPr="00F001B0" w:rsidRDefault="00E52B4E" w:rsidP="00CC315F">
      <w:pPr>
        <w:pStyle w:val="SingleTxtG"/>
        <w:rPr>
          <w:lang w:val="fr-FR"/>
        </w:rPr>
      </w:pPr>
      <w:r>
        <w:rPr>
          <w:lang w:val="fr-FR"/>
        </w:rPr>
        <w:t>-</w:t>
      </w:r>
      <w:r w:rsidR="00CC315F" w:rsidRPr="00F001B0">
        <w:rPr>
          <w:lang w:val="fr-FR"/>
        </w:rPr>
        <w:tab/>
        <w:t>Après la ligne pour la norme « </w:t>
      </w:r>
      <w:r w:rsidR="00CC315F" w:rsidRPr="00F001B0">
        <w:rPr>
          <w:rFonts w:cs="Arial"/>
          <w:bCs/>
          <w:szCs w:val="22"/>
          <w:lang w:val="fr-FR"/>
        </w:rPr>
        <w:t>EN ISO 14246:</w:t>
      </w:r>
      <w:r w:rsidR="00CC315F" w:rsidRPr="00F001B0">
        <w:rPr>
          <w:rFonts w:cs="Arial"/>
          <w:szCs w:val="22"/>
          <w:lang w:val="fr-FR"/>
        </w:rPr>
        <w:t>2014 </w:t>
      </w:r>
      <w:r w:rsidR="00CC315F" w:rsidRPr="00F001B0">
        <w:rPr>
          <w:lang w:val="fr-FR"/>
        </w:rPr>
        <w:t>», insérer la nouvelle norme suivante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25"/>
        <w:gridCol w:w="3976"/>
        <w:gridCol w:w="909"/>
        <w:gridCol w:w="1113"/>
        <w:gridCol w:w="682"/>
      </w:tblGrid>
      <w:tr w:rsidR="00CC315F" w:rsidRPr="00F001B0" w:rsidTr="0059277D">
        <w:tc>
          <w:tcPr>
            <w:tcW w:w="1825" w:type="dxa"/>
            <w:vAlign w:val="center"/>
          </w:tcPr>
          <w:p w:rsidR="00CC315F" w:rsidRPr="00F001B0" w:rsidRDefault="00CC315F" w:rsidP="004B3C8F">
            <w:pPr>
              <w:widowControl w:val="0"/>
              <w:spacing w:before="60" w:after="60"/>
              <w:ind w:left="57" w:right="57"/>
              <w:rPr>
                <w:rFonts w:cs="Arial"/>
                <w:lang w:val="fr-FR"/>
              </w:rPr>
            </w:pPr>
            <w:r w:rsidRPr="00F001B0">
              <w:rPr>
                <w:rFonts w:cs="Arial"/>
                <w:lang w:val="fr-FR"/>
              </w:rPr>
              <w:t>EN ISO 14246:2014 + A1:2017</w:t>
            </w:r>
          </w:p>
        </w:tc>
        <w:tc>
          <w:tcPr>
            <w:tcW w:w="3976" w:type="dxa"/>
            <w:vAlign w:val="center"/>
          </w:tcPr>
          <w:p w:rsidR="00CC315F" w:rsidRPr="00F001B0" w:rsidRDefault="00CC315F" w:rsidP="00B5197A">
            <w:pPr>
              <w:widowControl w:val="0"/>
              <w:spacing w:before="60" w:after="60"/>
              <w:ind w:left="57" w:right="57"/>
              <w:rPr>
                <w:rFonts w:cs="Arial"/>
                <w:lang w:val="fr-FR"/>
              </w:rPr>
            </w:pPr>
            <w:r w:rsidRPr="00F001B0">
              <w:rPr>
                <w:rFonts w:cs="Arial"/>
                <w:bCs/>
                <w:lang w:val="fr-FR"/>
              </w:rPr>
              <w:t xml:space="preserve">Bouteilles à gaz </w:t>
            </w:r>
            <w:r w:rsidR="00B5197A">
              <w:rPr>
                <w:rFonts w:cs="Arial"/>
                <w:bCs/>
                <w:lang w:val="fr-FR"/>
              </w:rPr>
              <w:t>−</w:t>
            </w:r>
            <w:r w:rsidRPr="00F001B0">
              <w:rPr>
                <w:rFonts w:cs="Arial"/>
                <w:bCs/>
                <w:lang w:val="fr-FR"/>
              </w:rPr>
              <w:t xml:space="preserve"> Robinets de bouteilles à gaz </w:t>
            </w:r>
            <w:r w:rsidR="00B5197A">
              <w:rPr>
                <w:rFonts w:cs="Arial"/>
                <w:bCs/>
                <w:lang w:val="fr-FR"/>
              </w:rPr>
              <w:t>−</w:t>
            </w:r>
            <w:r w:rsidRPr="00F001B0">
              <w:rPr>
                <w:rFonts w:cs="Arial"/>
                <w:bCs/>
                <w:lang w:val="fr-FR"/>
              </w:rPr>
              <w:t xml:space="preserve"> Essais de fabrication et contrôles</w:t>
            </w:r>
          </w:p>
        </w:tc>
        <w:tc>
          <w:tcPr>
            <w:tcW w:w="909" w:type="dxa"/>
            <w:vAlign w:val="center"/>
          </w:tcPr>
          <w:p w:rsidR="00CC315F" w:rsidRPr="00F001B0" w:rsidRDefault="00CC315F" w:rsidP="004B3C8F">
            <w:pPr>
              <w:widowControl w:val="0"/>
              <w:spacing w:before="60" w:after="60"/>
              <w:ind w:left="57" w:right="57"/>
              <w:rPr>
                <w:rFonts w:cs="Arial"/>
                <w:lang w:val="fr-FR"/>
              </w:rPr>
            </w:pPr>
            <w:r w:rsidRPr="00F001B0">
              <w:rPr>
                <w:rFonts w:cs="Arial"/>
                <w:lang w:val="fr-FR"/>
              </w:rPr>
              <w:t xml:space="preserve">6.2.3.1 </w:t>
            </w:r>
            <w:r w:rsidR="00B5197A">
              <w:rPr>
                <w:rFonts w:cs="Arial"/>
                <w:lang w:val="fr-FR"/>
              </w:rPr>
              <w:br/>
            </w:r>
            <w:r w:rsidRPr="00F001B0">
              <w:rPr>
                <w:rFonts w:cs="Arial"/>
                <w:lang w:val="fr-FR"/>
              </w:rPr>
              <w:t>et 6.2.3.4</w:t>
            </w:r>
          </w:p>
        </w:tc>
        <w:tc>
          <w:tcPr>
            <w:tcW w:w="1113" w:type="dxa"/>
            <w:vAlign w:val="center"/>
          </w:tcPr>
          <w:p w:rsidR="00CC315F" w:rsidRPr="00F001B0" w:rsidRDefault="00CC315F" w:rsidP="004B3C8F">
            <w:pPr>
              <w:widowControl w:val="0"/>
              <w:spacing w:before="60" w:after="60"/>
              <w:ind w:left="57" w:right="57"/>
              <w:jc w:val="center"/>
              <w:rPr>
                <w:rFonts w:cs="Arial"/>
                <w:lang w:val="fr-FR"/>
              </w:rPr>
            </w:pPr>
            <w:r w:rsidRPr="00F001B0">
              <w:rPr>
                <w:rFonts w:cs="Arial"/>
                <w:lang w:val="fr-FR"/>
              </w:rPr>
              <w:t>Jusqu</w:t>
            </w:r>
            <w:r w:rsidR="008B6F84">
              <w:rPr>
                <w:rFonts w:cs="Arial"/>
                <w:lang w:val="fr-FR"/>
              </w:rPr>
              <w:t>’</w:t>
            </w:r>
            <w:r w:rsidRPr="00F001B0">
              <w:rPr>
                <w:rFonts w:cs="Arial"/>
                <w:lang w:val="fr-FR"/>
              </w:rPr>
              <w:t>à nouvel ordre</w:t>
            </w:r>
          </w:p>
        </w:tc>
        <w:tc>
          <w:tcPr>
            <w:tcW w:w="682" w:type="dxa"/>
            <w:vAlign w:val="center"/>
          </w:tcPr>
          <w:p w:rsidR="00CC315F" w:rsidRPr="00F001B0" w:rsidRDefault="00CC315F" w:rsidP="004B3C8F">
            <w:pPr>
              <w:widowControl w:val="0"/>
              <w:spacing w:before="60" w:after="60"/>
              <w:ind w:left="57" w:right="57"/>
              <w:rPr>
                <w:rFonts w:cs="Arial"/>
                <w:lang w:val="fr-FR"/>
              </w:rPr>
            </w:pPr>
          </w:p>
        </w:tc>
      </w:tr>
    </w:tbl>
    <w:p w:rsidR="00CC315F" w:rsidRPr="00F001B0" w:rsidRDefault="00CC315F" w:rsidP="00CC315F">
      <w:pPr>
        <w:pStyle w:val="SingleTxtG"/>
        <w:spacing w:before="120"/>
        <w:rPr>
          <w:i/>
          <w:iCs/>
          <w:lang w:val="fr-FR"/>
        </w:rPr>
      </w:pPr>
      <w:r w:rsidRPr="00F001B0">
        <w:rPr>
          <w:i/>
          <w:iCs/>
          <w:lang w:val="fr-FR"/>
        </w:rPr>
        <w:t>(</w:t>
      </w:r>
      <w:r w:rsidRPr="00F001B0">
        <w:rPr>
          <w:i/>
          <w:lang w:val="fr-FR"/>
        </w:rPr>
        <w:t xml:space="preserve">Document </w:t>
      </w:r>
      <w:r w:rsidRPr="00F001B0">
        <w:rPr>
          <w:i/>
          <w:iCs/>
          <w:lang w:val="fr-FR"/>
        </w:rPr>
        <w:t>de référence : document informel INF.45)</w:t>
      </w:r>
    </w:p>
    <w:p w:rsidR="00CC315F" w:rsidRPr="00F001B0" w:rsidRDefault="00CC315F" w:rsidP="00CC315F">
      <w:pPr>
        <w:pStyle w:val="H1G"/>
        <w:rPr>
          <w:lang w:val="fr-FR"/>
        </w:rPr>
      </w:pPr>
      <w:r w:rsidRPr="00F001B0">
        <w:rPr>
          <w:lang w:val="fr-FR"/>
        </w:rPr>
        <w:tab/>
      </w:r>
      <w:r w:rsidRPr="00F001B0">
        <w:rPr>
          <w:lang w:val="fr-FR"/>
        </w:rPr>
        <w:tab/>
      </w:r>
      <w:r w:rsidRPr="00F001B0">
        <w:rPr>
          <w:szCs w:val="24"/>
          <w:lang w:val="fr-FR"/>
        </w:rPr>
        <w:t xml:space="preserve">Chapitre </w:t>
      </w:r>
      <w:r w:rsidRPr="00F001B0">
        <w:rPr>
          <w:lang w:val="fr-FR"/>
        </w:rPr>
        <w:t>6.8</w:t>
      </w:r>
    </w:p>
    <w:p w:rsidR="00CC315F" w:rsidRPr="00F001B0" w:rsidRDefault="00CC315F" w:rsidP="00CC315F">
      <w:pPr>
        <w:pStyle w:val="SingleTxtG"/>
        <w:rPr>
          <w:lang w:val="fr-FR"/>
        </w:rPr>
      </w:pPr>
      <w:r w:rsidRPr="00F001B0">
        <w:rPr>
          <w:lang w:val="fr-FR"/>
        </w:rPr>
        <w:t>6.8.2.1.2</w:t>
      </w:r>
      <w:r w:rsidRPr="00F001B0">
        <w:rPr>
          <w:lang w:val="fr-FR"/>
        </w:rPr>
        <w:tab/>
        <w:t>Dans la colonne de droite, après « Les conteneurs-citernes », insérer la nouvelle note de bas de page 2/1 libellée comme suit :</w:t>
      </w:r>
    </w:p>
    <w:p w:rsidR="00CC315F" w:rsidRPr="00F001B0" w:rsidRDefault="00CC315F" w:rsidP="00CC315F">
      <w:pPr>
        <w:pStyle w:val="SingleTxtG"/>
        <w:rPr>
          <w:lang w:val="fr-FR"/>
        </w:rPr>
      </w:pPr>
      <w:r w:rsidRPr="00F001B0">
        <w:rPr>
          <w:lang w:val="fr-FR"/>
        </w:rPr>
        <w:t>« </w:t>
      </w:r>
      <w:r w:rsidRPr="00F001B0">
        <w:rPr>
          <w:vertAlign w:val="superscript"/>
          <w:lang w:val="fr-FR"/>
        </w:rPr>
        <w:t>2/1</w:t>
      </w:r>
      <w:r w:rsidRPr="009D067F">
        <w:rPr>
          <w:lang w:val="fr-FR"/>
        </w:rPr>
        <w:tab/>
      </w:r>
      <w:r w:rsidRPr="00F001B0">
        <w:rPr>
          <w:lang w:val="fr-FR"/>
        </w:rPr>
        <w:t>Voir aussi 7.1.3 ».</w:t>
      </w:r>
    </w:p>
    <w:p w:rsidR="00CC315F" w:rsidRPr="00F001B0" w:rsidRDefault="00CC315F" w:rsidP="00CC315F">
      <w:pPr>
        <w:pStyle w:val="SingleTxtG"/>
        <w:rPr>
          <w:lang w:val="fr-FR"/>
        </w:rPr>
      </w:pPr>
      <w:r w:rsidRPr="00F001B0">
        <w:rPr>
          <w:lang w:val="fr-FR"/>
        </w:rPr>
        <w:t>Renuméroter les notes de bas de page 2/1 à 21/18 en tant que 3/2 à 22/19.</w:t>
      </w:r>
    </w:p>
    <w:p w:rsidR="00CC315F" w:rsidRPr="00F001B0" w:rsidRDefault="00CC315F" w:rsidP="00CC315F">
      <w:pPr>
        <w:pStyle w:val="SingleTxtG"/>
        <w:rPr>
          <w:i/>
          <w:lang w:val="fr-FR"/>
        </w:rPr>
      </w:pPr>
      <w:r w:rsidRPr="00F001B0">
        <w:rPr>
          <w:i/>
          <w:lang w:val="fr-FR"/>
        </w:rPr>
        <w:t>(Documents de référence : documents informels INF.19 et INF.47)</w:t>
      </w:r>
    </w:p>
    <w:p w:rsidR="00CC315F" w:rsidRPr="00F001B0" w:rsidRDefault="00CC315F" w:rsidP="00CC315F">
      <w:pPr>
        <w:pStyle w:val="SingleTxtG"/>
        <w:rPr>
          <w:lang w:val="fr-FR"/>
        </w:rPr>
      </w:pPr>
      <w:r w:rsidRPr="00F001B0">
        <w:rPr>
          <w:lang w:val="fr-FR"/>
        </w:rPr>
        <w:t>6.8.2.3.4</w:t>
      </w:r>
      <w:r w:rsidRPr="00F001B0">
        <w:rPr>
          <w:lang w:val="fr-FR"/>
        </w:rPr>
        <w:tab/>
        <w:t>Remplacer « modification » par : « transformation » (six fois).</w:t>
      </w:r>
    </w:p>
    <w:p w:rsidR="00CC315F" w:rsidRPr="00F001B0" w:rsidRDefault="00CC315F" w:rsidP="00CC315F">
      <w:pPr>
        <w:pStyle w:val="SingleTxtG"/>
        <w:rPr>
          <w:i/>
          <w:lang w:val="fr-FR"/>
        </w:rPr>
      </w:pPr>
      <w:r w:rsidRPr="00F001B0">
        <w:rPr>
          <w:i/>
          <w:lang w:val="fr-FR"/>
        </w:rPr>
        <w:t>(Documents de référence : documents informels INF.</w:t>
      </w:r>
      <w:r w:rsidR="009D067F">
        <w:rPr>
          <w:i/>
          <w:lang w:val="fr-FR"/>
        </w:rPr>
        <w:t>19</w:t>
      </w:r>
      <w:r w:rsidRPr="00F001B0">
        <w:rPr>
          <w:i/>
          <w:lang w:val="fr-FR"/>
        </w:rPr>
        <w:t xml:space="preserve"> et INF.47)</w:t>
      </w:r>
    </w:p>
    <w:p w:rsidR="00CC315F" w:rsidRPr="00F001B0" w:rsidRDefault="00CC315F" w:rsidP="00CC315F">
      <w:pPr>
        <w:pStyle w:val="SingleTxtG"/>
        <w:rPr>
          <w:i/>
          <w:lang w:val="fr-FR"/>
        </w:rPr>
      </w:pPr>
      <w:r w:rsidRPr="00F001B0">
        <w:rPr>
          <w:lang w:val="fr-FR"/>
        </w:rPr>
        <w:t>[6.8.2.6.1</w:t>
      </w:r>
      <w:r w:rsidRPr="00F001B0">
        <w:rPr>
          <w:lang w:val="fr-FR"/>
        </w:rPr>
        <w:tab/>
        <w:t>Dans le tableau, sous « Pour la conception et la construction des citernes » :</w:t>
      </w:r>
    </w:p>
    <w:p w:rsidR="00CC315F" w:rsidRPr="00F001B0" w:rsidRDefault="009D067F" w:rsidP="00CC315F">
      <w:pPr>
        <w:pStyle w:val="SingleTxtG"/>
        <w:rPr>
          <w:lang w:val="fr-FR"/>
        </w:rPr>
      </w:pPr>
      <w:r>
        <w:rPr>
          <w:lang w:val="fr-FR"/>
        </w:rPr>
        <w:t>-</w:t>
      </w:r>
      <w:r w:rsidR="00CC315F" w:rsidRPr="00F001B0">
        <w:rPr>
          <w:lang w:val="fr-FR"/>
        </w:rPr>
        <w:tab/>
        <w:t>Pour la norme « EN 14025:2013 + A1:2016 », dans la colonne (4), remplacer « Jusqu</w:t>
      </w:r>
      <w:r w:rsidR="008B6F84">
        <w:rPr>
          <w:lang w:val="fr-FR"/>
        </w:rPr>
        <w:t>’</w:t>
      </w:r>
      <w:r w:rsidR="00CC315F" w:rsidRPr="00F001B0">
        <w:rPr>
          <w:lang w:val="fr-FR"/>
        </w:rPr>
        <w:t>à nouvel ordre » par : « Entre le 1</w:t>
      </w:r>
      <w:r w:rsidR="00CC315F" w:rsidRPr="00F001B0">
        <w:rPr>
          <w:vertAlign w:val="superscript"/>
          <w:lang w:val="fr-FR"/>
        </w:rPr>
        <w:t>er</w:t>
      </w:r>
      <w:r w:rsidR="00CC315F" w:rsidRPr="00F001B0">
        <w:rPr>
          <w:lang w:val="fr-FR"/>
        </w:rPr>
        <w:t> janvier 2017 et le 31 décembre 2020 ».</w:t>
      </w:r>
    </w:p>
    <w:p w:rsidR="00CC315F" w:rsidRPr="00F001B0" w:rsidRDefault="00CC315F" w:rsidP="00CC315F">
      <w:pPr>
        <w:pStyle w:val="SingleTxtG"/>
        <w:rPr>
          <w:i/>
          <w:lang w:val="fr-FR"/>
        </w:rPr>
      </w:pPr>
      <w:r w:rsidRPr="00F001B0">
        <w:rPr>
          <w:i/>
          <w:lang w:val="fr-FR"/>
        </w:rPr>
        <w:t>(Document de référence : document informel INF.45)</w:t>
      </w:r>
    </w:p>
    <w:p w:rsidR="00CC315F" w:rsidRPr="00F001B0" w:rsidRDefault="009D067F" w:rsidP="00CC315F">
      <w:pPr>
        <w:pStyle w:val="SingleTxtG"/>
        <w:rPr>
          <w:lang w:val="fr-FR"/>
        </w:rPr>
      </w:pPr>
      <w:r>
        <w:rPr>
          <w:lang w:val="fr-FR"/>
        </w:rPr>
        <w:t>-</w:t>
      </w:r>
      <w:r w:rsidR="00CC315F" w:rsidRPr="00F001B0">
        <w:rPr>
          <w:lang w:val="fr-FR"/>
        </w:rPr>
        <w:tab/>
        <w:t>Après la ligne pour la norme « EN 14025:2013 + A1:2016 », insérer la nouvelle norme suivante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25"/>
        <w:gridCol w:w="3704"/>
        <w:gridCol w:w="915"/>
        <w:gridCol w:w="1494"/>
        <w:gridCol w:w="567"/>
      </w:tblGrid>
      <w:tr w:rsidR="00CC315F" w:rsidRPr="00F001B0" w:rsidTr="00786074">
        <w:tc>
          <w:tcPr>
            <w:tcW w:w="1825" w:type="dxa"/>
            <w:vAlign w:val="center"/>
          </w:tcPr>
          <w:p w:rsidR="00CC315F" w:rsidRPr="00F001B0" w:rsidRDefault="00CC315F" w:rsidP="00A87EBB">
            <w:pPr>
              <w:widowControl w:val="0"/>
              <w:spacing w:before="60" w:after="60"/>
              <w:ind w:left="57" w:right="57"/>
              <w:rPr>
                <w:rFonts w:cs="Arial"/>
                <w:lang w:val="fr-FR"/>
              </w:rPr>
            </w:pPr>
            <w:r w:rsidRPr="00F001B0">
              <w:rPr>
                <w:rFonts w:cs="Arial"/>
                <w:lang w:val="fr-FR"/>
              </w:rPr>
              <w:t>EN 14025:2018</w:t>
            </w:r>
          </w:p>
        </w:tc>
        <w:tc>
          <w:tcPr>
            <w:tcW w:w="3704" w:type="dxa"/>
            <w:vAlign w:val="center"/>
          </w:tcPr>
          <w:p w:rsidR="00CC315F" w:rsidRPr="00F001B0" w:rsidRDefault="00CC315F" w:rsidP="00B5197A">
            <w:pPr>
              <w:widowControl w:val="0"/>
              <w:spacing w:before="60" w:after="60"/>
              <w:ind w:left="57" w:right="57"/>
              <w:rPr>
                <w:rFonts w:cs="Arial"/>
                <w:lang w:val="fr-FR"/>
              </w:rPr>
            </w:pPr>
            <w:r w:rsidRPr="00F001B0">
              <w:rPr>
                <w:rFonts w:cs="Arial"/>
                <w:bCs/>
                <w:lang w:val="fr-FR"/>
              </w:rPr>
              <w:t xml:space="preserve">Citernes destinées au transport de matières dangereuses </w:t>
            </w:r>
            <w:r w:rsidR="00B5197A">
              <w:rPr>
                <w:rFonts w:cs="Arial"/>
                <w:bCs/>
                <w:lang w:val="fr-FR"/>
              </w:rPr>
              <w:t>−</w:t>
            </w:r>
            <w:r w:rsidRPr="00F001B0">
              <w:rPr>
                <w:rFonts w:cs="Arial"/>
                <w:bCs/>
                <w:lang w:val="fr-FR"/>
              </w:rPr>
              <w:t xml:space="preserve"> Citernes métalliques sous pression </w:t>
            </w:r>
            <w:r w:rsidR="00B5197A">
              <w:rPr>
                <w:rFonts w:cs="Arial"/>
                <w:bCs/>
                <w:lang w:val="fr-FR"/>
              </w:rPr>
              <w:t>−</w:t>
            </w:r>
            <w:r w:rsidRPr="00F001B0">
              <w:rPr>
                <w:rFonts w:cs="Arial"/>
                <w:bCs/>
                <w:lang w:val="fr-FR"/>
              </w:rPr>
              <w:t xml:space="preserve"> Conception et fabrication</w:t>
            </w:r>
          </w:p>
        </w:tc>
        <w:tc>
          <w:tcPr>
            <w:tcW w:w="915" w:type="dxa"/>
            <w:vAlign w:val="center"/>
          </w:tcPr>
          <w:p w:rsidR="00CC315F" w:rsidRPr="00F001B0" w:rsidRDefault="00CC315F" w:rsidP="00093301">
            <w:pPr>
              <w:widowControl w:val="0"/>
              <w:spacing w:before="60" w:after="60"/>
              <w:ind w:left="57" w:right="57"/>
              <w:rPr>
                <w:rFonts w:cs="Arial"/>
                <w:lang w:val="fr-FR"/>
              </w:rPr>
            </w:pPr>
            <w:r w:rsidRPr="00F001B0">
              <w:rPr>
                <w:rFonts w:cs="Arial"/>
                <w:lang w:val="fr-FR"/>
              </w:rPr>
              <w:t>6.8.2.1 et 6.8.2.3</w:t>
            </w:r>
          </w:p>
        </w:tc>
        <w:tc>
          <w:tcPr>
            <w:tcW w:w="1494" w:type="dxa"/>
            <w:vAlign w:val="center"/>
          </w:tcPr>
          <w:p w:rsidR="00CC315F" w:rsidRPr="00F001B0" w:rsidRDefault="00CC315F" w:rsidP="00A87EBB">
            <w:pPr>
              <w:widowControl w:val="0"/>
              <w:spacing w:before="60" w:after="60"/>
              <w:ind w:left="57" w:right="57"/>
              <w:jc w:val="center"/>
              <w:rPr>
                <w:rFonts w:cs="Arial"/>
                <w:lang w:val="fr-FR"/>
              </w:rPr>
            </w:pPr>
            <w:r w:rsidRPr="00F001B0">
              <w:rPr>
                <w:rFonts w:cs="Arial"/>
                <w:lang w:val="fr-FR"/>
              </w:rPr>
              <w:t>Jusqu</w:t>
            </w:r>
            <w:r w:rsidR="008B6F84">
              <w:rPr>
                <w:rFonts w:cs="Arial"/>
                <w:lang w:val="fr-FR"/>
              </w:rPr>
              <w:t>’</w:t>
            </w:r>
            <w:r w:rsidRPr="00F001B0">
              <w:rPr>
                <w:rFonts w:cs="Arial"/>
                <w:lang w:val="fr-FR"/>
              </w:rPr>
              <w:t>à nouvel ordre</w:t>
            </w:r>
          </w:p>
        </w:tc>
        <w:tc>
          <w:tcPr>
            <w:tcW w:w="567" w:type="dxa"/>
            <w:vAlign w:val="center"/>
          </w:tcPr>
          <w:p w:rsidR="00CC315F" w:rsidRPr="00F001B0" w:rsidRDefault="00CC315F" w:rsidP="00A87EBB">
            <w:pPr>
              <w:widowControl w:val="0"/>
              <w:spacing w:before="60" w:after="60"/>
              <w:ind w:left="57" w:right="57"/>
              <w:rPr>
                <w:rFonts w:cs="Arial"/>
                <w:lang w:val="fr-FR"/>
              </w:rPr>
            </w:pPr>
          </w:p>
        </w:tc>
      </w:tr>
    </w:tbl>
    <w:p w:rsidR="00CC315F" w:rsidRPr="00F001B0" w:rsidRDefault="00CC315F" w:rsidP="00CC315F">
      <w:pPr>
        <w:pStyle w:val="SingleTxtG"/>
        <w:spacing w:before="120"/>
        <w:rPr>
          <w:i/>
          <w:lang w:val="fr-FR"/>
        </w:rPr>
      </w:pPr>
      <w:r w:rsidRPr="00F001B0">
        <w:rPr>
          <w:i/>
          <w:lang w:val="fr-FR"/>
        </w:rPr>
        <w:t>(Document de référence : document informel INF.45)</w:t>
      </w:r>
    </w:p>
    <w:p w:rsidR="00CC315F" w:rsidRPr="00FF663B" w:rsidRDefault="009D067F" w:rsidP="00CC315F">
      <w:pPr>
        <w:pStyle w:val="SingleTxtG"/>
        <w:rPr>
          <w:spacing w:val="-2"/>
          <w:lang w:val="fr-FR"/>
        </w:rPr>
      </w:pPr>
      <w:r>
        <w:rPr>
          <w:lang w:val="fr-FR"/>
        </w:rPr>
        <w:t>-</w:t>
      </w:r>
      <w:r w:rsidR="00CC315F" w:rsidRPr="00F001B0">
        <w:rPr>
          <w:lang w:val="fr-FR"/>
        </w:rPr>
        <w:tab/>
      </w:r>
      <w:r w:rsidR="00CC315F" w:rsidRPr="00FF663B">
        <w:rPr>
          <w:spacing w:val="-2"/>
          <w:lang w:val="fr-FR"/>
        </w:rPr>
        <w:t>Après la ligne pour la nouvelle norme « </w:t>
      </w:r>
      <w:r w:rsidR="00CC315F" w:rsidRPr="00FF663B">
        <w:rPr>
          <w:rFonts w:cs="Arial"/>
          <w:spacing w:val="-2"/>
          <w:lang w:val="fr-FR"/>
        </w:rPr>
        <w:t>EN 14025:2018</w:t>
      </w:r>
      <w:r w:rsidR="00CC315F" w:rsidRPr="00FF663B">
        <w:rPr>
          <w:spacing w:val="-2"/>
          <w:lang w:val="fr-FR"/>
        </w:rPr>
        <w:t> », insérer la nouvelle norme suivante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25"/>
        <w:gridCol w:w="3695"/>
        <w:gridCol w:w="924"/>
        <w:gridCol w:w="1494"/>
        <w:gridCol w:w="567"/>
      </w:tblGrid>
      <w:tr w:rsidR="00CC315F" w:rsidRPr="00EC6379" w:rsidTr="0059277D">
        <w:tc>
          <w:tcPr>
            <w:tcW w:w="1825" w:type="dxa"/>
            <w:vAlign w:val="center"/>
          </w:tcPr>
          <w:p w:rsidR="00CC315F" w:rsidRPr="00F001B0" w:rsidRDefault="00CC315F" w:rsidP="00E75C10">
            <w:pPr>
              <w:widowControl w:val="0"/>
              <w:spacing w:before="60" w:after="60"/>
              <w:ind w:left="57" w:right="57"/>
              <w:rPr>
                <w:rFonts w:cs="Arial"/>
                <w:lang w:val="fr-FR"/>
              </w:rPr>
            </w:pPr>
            <w:r w:rsidRPr="00F001B0">
              <w:rPr>
                <w:rFonts w:cs="Arial"/>
                <w:lang w:val="fr-FR"/>
              </w:rPr>
              <w:t>EN 12972:2018</w:t>
            </w:r>
          </w:p>
        </w:tc>
        <w:tc>
          <w:tcPr>
            <w:tcW w:w="3695" w:type="dxa"/>
            <w:vAlign w:val="center"/>
          </w:tcPr>
          <w:p w:rsidR="00CC315F" w:rsidRPr="00F001B0" w:rsidRDefault="00CC315F" w:rsidP="00B5197A">
            <w:pPr>
              <w:widowControl w:val="0"/>
              <w:spacing w:before="60" w:after="60"/>
              <w:ind w:left="57" w:right="57"/>
              <w:rPr>
                <w:rFonts w:cs="Arial"/>
                <w:lang w:val="fr-FR"/>
              </w:rPr>
            </w:pPr>
            <w:r w:rsidRPr="00F001B0">
              <w:rPr>
                <w:rFonts w:cs="Arial"/>
                <w:bCs/>
                <w:lang w:val="fr-FR"/>
              </w:rPr>
              <w:t xml:space="preserve">Citernes destinées au transport de matières dangereuses </w:t>
            </w:r>
            <w:r w:rsidR="00B5197A">
              <w:rPr>
                <w:rFonts w:cs="Arial"/>
                <w:bCs/>
                <w:lang w:val="fr-FR"/>
              </w:rPr>
              <w:t>−</w:t>
            </w:r>
            <w:r w:rsidRPr="00F001B0">
              <w:rPr>
                <w:rFonts w:cs="Arial"/>
                <w:bCs/>
                <w:lang w:val="fr-FR"/>
              </w:rPr>
              <w:t xml:space="preserve"> </w:t>
            </w:r>
            <w:r w:rsidRPr="00F001B0">
              <w:rPr>
                <w:rStyle w:val="st"/>
                <w:lang w:val="fr-FR"/>
              </w:rPr>
              <w:t>Épreuve, contrôle et marquage des citernes métalliques</w:t>
            </w:r>
          </w:p>
        </w:tc>
        <w:tc>
          <w:tcPr>
            <w:tcW w:w="924" w:type="dxa"/>
            <w:vAlign w:val="center"/>
          </w:tcPr>
          <w:p w:rsidR="00CC315F" w:rsidRPr="00F001B0" w:rsidRDefault="00CC315F" w:rsidP="00E75C10">
            <w:pPr>
              <w:widowControl w:val="0"/>
              <w:spacing w:before="60" w:after="60"/>
              <w:ind w:left="57" w:right="57"/>
              <w:rPr>
                <w:rFonts w:cs="Arial"/>
                <w:lang w:val="fr-FR"/>
              </w:rPr>
            </w:pPr>
            <w:r w:rsidRPr="00F001B0">
              <w:rPr>
                <w:rFonts w:cs="Arial"/>
                <w:lang w:val="fr-FR"/>
              </w:rPr>
              <w:t>6.8.2.3</w:t>
            </w:r>
          </w:p>
        </w:tc>
        <w:tc>
          <w:tcPr>
            <w:tcW w:w="1494" w:type="dxa"/>
            <w:vAlign w:val="center"/>
          </w:tcPr>
          <w:p w:rsidR="00CC315F" w:rsidRPr="00F001B0" w:rsidRDefault="00CC315F" w:rsidP="00E75C10">
            <w:pPr>
              <w:widowControl w:val="0"/>
              <w:spacing w:before="60" w:after="60"/>
              <w:ind w:left="57" w:right="57"/>
              <w:jc w:val="center"/>
              <w:rPr>
                <w:rFonts w:cs="Arial"/>
                <w:lang w:val="fr-FR"/>
              </w:rPr>
            </w:pPr>
            <w:r w:rsidRPr="00F001B0">
              <w:rPr>
                <w:rFonts w:cs="Arial"/>
                <w:lang w:val="fr-FR"/>
              </w:rPr>
              <w:t xml:space="preserve">Obligatoirement à partir du </w:t>
            </w:r>
            <w:r w:rsidR="00E75C10">
              <w:rPr>
                <w:rFonts w:cs="Arial"/>
                <w:lang w:val="fr-FR"/>
              </w:rPr>
              <w:br/>
            </w:r>
            <w:r w:rsidRPr="00F001B0">
              <w:rPr>
                <w:rFonts w:cs="Arial"/>
                <w:lang w:val="fr-FR"/>
              </w:rPr>
              <w:t>1</w:t>
            </w:r>
            <w:r w:rsidRPr="00F001B0">
              <w:rPr>
                <w:rFonts w:cs="Arial"/>
                <w:vertAlign w:val="superscript"/>
                <w:lang w:val="fr-FR"/>
              </w:rPr>
              <w:t>er</w:t>
            </w:r>
            <w:r w:rsidRPr="00F001B0">
              <w:rPr>
                <w:rFonts w:cs="Arial"/>
                <w:lang w:val="fr-FR"/>
              </w:rPr>
              <w:t xml:space="preserve"> janvier 2021</w:t>
            </w:r>
          </w:p>
        </w:tc>
        <w:tc>
          <w:tcPr>
            <w:tcW w:w="567" w:type="dxa"/>
            <w:vAlign w:val="center"/>
          </w:tcPr>
          <w:p w:rsidR="00CC315F" w:rsidRPr="00F001B0" w:rsidRDefault="00CC315F" w:rsidP="00E75C10">
            <w:pPr>
              <w:widowControl w:val="0"/>
              <w:spacing w:before="60" w:after="60"/>
              <w:ind w:left="57" w:right="57"/>
              <w:rPr>
                <w:rFonts w:cs="Arial"/>
                <w:lang w:val="fr-FR"/>
              </w:rPr>
            </w:pPr>
          </w:p>
        </w:tc>
      </w:tr>
    </w:tbl>
    <w:p w:rsidR="00CC315F" w:rsidRPr="00F001B0" w:rsidRDefault="00CC315F" w:rsidP="00CC315F">
      <w:pPr>
        <w:pStyle w:val="SingleTxtG"/>
        <w:spacing w:before="120"/>
        <w:rPr>
          <w:lang w:val="fr-FR"/>
        </w:rPr>
      </w:pPr>
      <w:r w:rsidRPr="00F001B0">
        <w:rPr>
          <w:lang w:val="fr-FR"/>
        </w:rPr>
        <w:t>]</w:t>
      </w:r>
    </w:p>
    <w:p w:rsidR="00CC315F" w:rsidRPr="00F001B0" w:rsidRDefault="00CC315F" w:rsidP="00CC315F">
      <w:pPr>
        <w:pStyle w:val="SingleTxtG"/>
        <w:spacing w:before="120"/>
        <w:rPr>
          <w:i/>
          <w:lang w:val="fr-FR"/>
        </w:rPr>
      </w:pPr>
      <w:r w:rsidRPr="00F001B0">
        <w:rPr>
          <w:i/>
          <w:lang w:val="fr-FR"/>
        </w:rPr>
        <w:t>(Document de référence : document informel INF.45)</w:t>
      </w:r>
    </w:p>
    <w:p w:rsidR="00CC315F" w:rsidRPr="00F001B0" w:rsidRDefault="00CC315F" w:rsidP="00CC315F">
      <w:pPr>
        <w:pStyle w:val="SingleTxtG"/>
        <w:rPr>
          <w:lang w:val="fr-FR"/>
        </w:rPr>
      </w:pPr>
      <w:r w:rsidRPr="00F001B0">
        <w:rPr>
          <w:lang w:val="fr-FR"/>
        </w:rPr>
        <w:t>(ADR :)</w:t>
      </w:r>
    </w:p>
    <w:p w:rsidR="00CC315F" w:rsidRPr="00F001B0" w:rsidRDefault="00BB3244" w:rsidP="00CC315F">
      <w:pPr>
        <w:pStyle w:val="SingleTxtG"/>
        <w:rPr>
          <w:lang w:val="fr-FR"/>
        </w:rPr>
      </w:pPr>
      <w:r>
        <w:rPr>
          <w:lang w:val="fr-FR"/>
        </w:rPr>
        <w:t>-</w:t>
      </w:r>
      <w:r w:rsidR="00CC315F" w:rsidRPr="00F001B0">
        <w:rPr>
          <w:lang w:val="fr-FR"/>
        </w:rPr>
        <w:tab/>
        <w:t xml:space="preserve">Pour la norme « EN 13094:2015 », dans la colonne (2), ajouter le </w:t>
      </w:r>
      <w:r w:rsidR="009D067F">
        <w:rPr>
          <w:lang w:val="fr-FR"/>
        </w:rPr>
        <w:t>nota</w:t>
      </w:r>
      <w:r w:rsidR="00CC315F" w:rsidRPr="00F001B0">
        <w:rPr>
          <w:lang w:val="fr-FR"/>
        </w:rPr>
        <w:t xml:space="preserve"> suivant :</w:t>
      </w:r>
    </w:p>
    <w:p w:rsidR="00CC315F" w:rsidRPr="00F001B0" w:rsidRDefault="00CC315F" w:rsidP="00CC315F">
      <w:pPr>
        <w:pStyle w:val="SingleTxtG"/>
        <w:rPr>
          <w:lang w:val="fr-FR"/>
        </w:rPr>
      </w:pPr>
      <w:r w:rsidRPr="00F001B0">
        <w:rPr>
          <w:lang w:val="fr-FR"/>
        </w:rPr>
        <w:t>« </w:t>
      </w:r>
      <w:r w:rsidRPr="00F001B0">
        <w:rPr>
          <w:b/>
          <w:i/>
          <w:lang w:val="fr-FR"/>
        </w:rPr>
        <w:t>NOTA</w:t>
      </w:r>
      <w:r w:rsidR="00BB3244">
        <w:rPr>
          <w:b/>
          <w:i/>
          <w:lang w:val="fr-FR"/>
        </w:rPr>
        <w:t> </w:t>
      </w:r>
      <w:r w:rsidRPr="006D28ED">
        <w:rPr>
          <w:i/>
          <w:lang w:val="fr-FR"/>
        </w:rPr>
        <w:t>:</w:t>
      </w:r>
      <w:r w:rsidR="006D28ED">
        <w:rPr>
          <w:b/>
          <w:i/>
          <w:lang w:val="fr-FR"/>
        </w:rPr>
        <w:tab/>
      </w:r>
      <w:r w:rsidRPr="00F001B0">
        <w:rPr>
          <w:i/>
          <w:lang w:val="fr-FR"/>
        </w:rPr>
        <w:t>Voir aussi la ligne directrice sur le site internet du secrétariat de la Commission économique des Nations Unies pour l</w:t>
      </w:r>
      <w:r w:rsidR="008B6F84">
        <w:rPr>
          <w:i/>
          <w:lang w:val="fr-FR"/>
        </w:rPr>
        <w:t>’</w:t>
      </w:r>
      <w:r w:rsidRPr="00F001B0">
        <w:rPr>
          <w:i/>
          <w:lang w:val="fr-FR"/>
        </w:rPr>
        <w:t>Europe (http://www.unece.org/trans/</w:t>
      </w:r>
      <w:r w:rsidR="00221D43">
        <w:rPr>
          <w:i/>
          <w:lang w:val="fr-FR"/>
        </w:rPr>
        <w:br/>
      </w:r>
      <w:r w:rsidRPr="00F001B0">
        <w:rPr>
          <w:i/>
          <w:lang w:val="fr-FR"/>
        </w:rPr>
        <w:t>danger/danger.html)</w:t>
      </w:r>
      <w:r w:rsidRPr="00F001B0">
        <w:rPr>
          <w:lang w:val="fr-FR"/>
        </w:rPr>
        <w:t>. ».</w:t>
      </w:r>
    </w:p>
    <w:p w:rsidR="00CC315F" w:rsidRPr="00221D43" w:rsidRDefault="00CC315F" w:rsidP="00CC315F">
      <w:pPr>
        <w:pStyle w:val="SingleTxtG"/>
        <w:rPr>
          <w:i/>
          <w:spacing w:val="-2"/>
          <w:lang w:val="fr-FR"/>
        </w:rPr>
      </w:pPr>
      <w:r w:rsidRPr="00221D43">
        <w:rPr>
          <w:i/>
          <w:spacing w:val="-2"/>
          <w:lang w:val="fr-FR"/>
        </w:rPr>
        <w:t>(Documents de référence : ECE/TRANS/WP.15/AC.1/2018/12 et document informel INF.47)</w:t>
      </w:r>
    </w:p>
    <w:p w:rsidR="00CC315F" w:rsidRPr="00F001B0" w:rsidRDefault="00221D43" w:rsidP="00221D43">
      <w:pPr>
        <w:pStyle w:val="SingleTxtG"/>
        <w:keepNext/>
        <w:rPr>
          <w:lang w:val="fr-FR"/>
        </w:rPr>
      </w:pPr>
      <w:r>
        <w:rPr>
          <w:lang w:val="fr-FR"/>
        </w:rPr>
        <w:t>(RID/ADR :)</w:t>
      </w:r>
    </w:p>
    <w:p w:rsidR="00CC315F" w:rsidRPr="00F001B0" w:rsidRDefault="00CC315F" w:rsidP="00CC315F">
      <w:pPr>
        <w:pStyle w:val="SingleTxtG"/>
        <w:rPr>
          <w:b/>
          <w:lang w:val="fr-FR"/>
        </w:rPr>
      </w:pPr>
      <w:r w:rsidRPr="00F001B0">
        <w:rPr>
          <w:lang w:val="fr-FR"/>
        </w:rPr>
        <w:t>6.8.2.6.1</w:t>
      </w:r>
      <w:r w:rsidRPr="00F001B0">
        <w:rPr>
          <w:lang w:val="fr-FR"/>
        </w:rPr>
        <w:tab/>
        <w:t>Modifier le tableau sous « </w:t>
      </w:r>
      <w:r w:rsidRPr="00D730A9">
        <w:rPr>
          <w:lang w:val="fr-FR"/>
        </w:rPr>
        <w:t>Pour les équipements</w:t>
      </w:r>
      <w:r w:rsidRPr="00F001B0">
        <w:rPr>
          <w:lang w:val="fr-FR"/>
        </w:rPr>
        <w:t> »</w:t>
      </w:r>
      <w:r w:rsidR="00D730A9">
        <w:rPr>
          <w:lang w:val="fr-FR"/>
        </w:rPr>
        <w:t xml:space="preserve"> </w:t>
      </w:r>
      <w:r w:rsidRPr="00F001B0">
        <w:rPr>
          <w:lang w:val="fr-FR"/>
        </w:rPr>
        <w:t>comme suit</w:t>
      </w:r>
      <w:r w:rsidR="00661B41">
        <w:rPr>
          <w:lang w:val="fr-FR"/>
        </w:rPr>
        <w:t> </w:t>
      </w:r>
      <w:r w:rsidRPr="00F001B0">
        <w:rPr>
          <w:lang w:val="fr-FR"/>
        </w:rPr>
        <w:t>:</w:t>
      </w:r>
    </w:p>
    <w:p w:rsidR="00CC315F" w:rsidRPr="00221D43" w:rsidRDefault="00BB3244" w:rsidP="00CC315F">
      <w:pPr>
        <w:pStyle w:val="SingleTxtG"/>
        <w:rPr>
          <w:spacing w:val="-2"/>
          <w:lang w:val="fr-FR"/>
        </w:rPr>
      </w:pPr>
      <w:r>
        <w:rPr>
          <w:lang w:val="fr-FR"/>
        </w:rPr>
        <w:t>-</w:t>
      </w:r>
      <w:r w:rsidR="00CC315F" w:rsidRPr="00F001B0">
        <w:rPr>
          <w:lang w:val="fr-FR"/>
        </w:rPr>
        <w:tab/>
      </w:r>
      <w:r w:rsidR="00CC315F" w:rsidRPr="00221D43">
        <w:rPr>
          <w:spacing w:val="-2"/>
          <w:lang w:val="fr-FR"/>
        </w:rPr>
        <w:t xml:space="preserve">Pour la norme « EN 14432:2014 », dans la colonne (2), modifier le </w:t>
      </w:r>
      <w:r w:rsidR="00221D43" w:rsidRPr="00221D43">
        <w:rPr>
          <w:spacing w:val="-2"/>
          <w:lang w:val="fr-FR"/>
        </w:rPr>
        <w:t>nota</w:t>
      </w:r>
      <w:r w:rsidR="00CC315F" w:rsidRPr="00221D43">
        <w:rPr>
          <w:spacing w:val="-2"/>
          <w:lang w:val="fr-FR"/>
        </w:rPr>
        <w:t xml:space="preserve"> comme suit :</w:t>
      </w:r>
    </w:p>
    <w:p w:rsidR="00CC315F" w:rsidRPr="00F001B0" w:rsidRDefault="00CC315F" w:rsidP="00CC315F">
      <w:pPr>
        <w:pStyle w:val="SingleTxtG"/>
        <w:rPr>
          <w:lang w:val="fr-FR"/>
        </w:rPr>
      </w:pPr>
      <w:r w:rsidRPr="00F001B0">
        <w:rPr>
          <w:lang w:val="fr-FR"/>
        </w:rPr>
        <w:t>« </w:t>
      </w:r>
      <w:r w:rsidRPr="00F001B0">
        <w:rPr>
          <w:b/>
          <w:i/>
          <w:lang w:val="fr-FR"/>
        </w:rPr>
        <w:t>NOTA</w:t>
      </w:r>
      <w:r w:rsidR="00BB3244">
        <w:rPr>
          <w:b/>
          <w:i/>
          <w:lang w:val="fr-FR"/>
        </w:rPr>
        <w:t> </w:t>
      </w:r>
      <w:r w:rsidRPr="006D28ED">
        <w:rPr>
          <w:i/>
          <w:lang w:val="fr-FR"/>
        </w:rPr>
        <w:t>:</w:t>
      </w:r>
      <w:r w:rsidRPr="00F001B0">
        <w:rPr>
          <w:i/>
          <w:lang w:val="fr-FR"/>
        </w:rPr>
        <w:tab/>
        <w:t>Cette norme peut également être appliquée aux citernes à vidange par gravité.</w:t>
      </w:r>
      <w:r w:rsidRPr="00F001B0">
        <w:rPr>
          <w:lang w:val="fr-FR"/>
        </w:rPr>
        <w:t> ».</w:t>
      </w:r>
    </w:p>
    <w:p w:rsidR="00CC315F" w:rsidRPr="00F001B0" w:rsidRDefault="00CC315F" w:rsidP="00CC315F">
      <w:pPr>
        <w:pStyle w:val="SingleTxtG"/>
        <w:rPr>
          <w:i/>
          <w:iCs/>
          <w:lang w:val="fr-FR"/>
        </w:rPr>
      </w:pPr>
      <w:r w:rsidRPr="00F001B0">
        <w:rPr>
          <w:i/>
          <w:iCs/>
          <w:lang w:val="fr-FR"/>
        </w:rPr>
        <w:t>(</w:t>
      </w:r>
      <w:r w:rsidRPr="00F001B0">
        <w:rPr>
          <w:i/>
          <w:lang w:val="fr-FR"/>
        </w:rPr>
        <w:t xml:space="preserve">Documents </w:t>
      </w:r>
      <w:r w:rsidRPr="00F001B0">
        <w:rPr>
          <w:i/>
          <w:iCs/>
          <w:lang w:val="fr-FR"/>
        </w:rPr>
        <w:t>de référence : documents informels INF.40 et INF.47)</w:t>
      </w:r>
    </w:p>
    <w:p w:rsidR="00CC315F" w:rsidRPr="00221D43" w:rsidRDefault="00BB3244" w:rsidP="00CC315F">
      <w:pPr>
        <w:pStyle w:val="SingleTxtG"/>
        <w:rPr>
          <w:spacing w:val="-2"/>
          <w:lang w:val="fr-FR"/>
        </w:rPr>
      </w:pPr>
      <w:r>
        <w:rPr>
          <w:lang w:val="fr-FR"/>
        </w:rPr>
        <w:t>-</w:t>
      </w:r>
      <w:r w:rsidR="00CC315F" w:rsidRPr="00F001B0">
        <w:rPr>
          <w:lang w:val="fr-FR"/>
        </w:rPr>
        <w:tab/>
      </w:r>
      <w:r w:rsidR="00CC315F" w:rsidRPr="00221D43">
        <w:rPr>
          <w:spacing w:val="-2"/>
          <w:lang w:val="fr-FR"/>
        </w:rPr>
        <w:t xml:space="preserve">Pour la norme « EN 14433:2014 », dans la colonne (2), modifier le </w:t>
      </w:r>
      <w:r w:rsidR="00221D43" w:rsidRPr="00221D43">
        <w:rPr>
          <w:spacing w:val="-2"/>
          <w:lang w:val="fr-FR"/>
        </w:rPr>
        <w:t>nota</w:t>
      </w:r>
      <w:r w:rsidR="00CC315F" w:rsidRPr="00221D43">
        <w:rPr>
          <w:spacing w:val="-2"/>
          <w:lang w:val="fr-FR"/>
        </w:rPr>
        <w:t xml:space="preserve"> comme suit :</w:t>
      </w:r>
    </w:p>
    <w:p w:rsidR="00CC315F" w:rsidRPr="00F001B0" w:rsidRDefault="00CC315F" w:rsidP="00CC315F">
      <w:pPr>
        <w:pStyle w:val="SingleTxtG"/>
        <w:rPr>
          <w:lang w:val="fr-FR"/>
        </w:rPr>
      </w:pPr>
      <w:r w:rsidRPr="00F001B0">
        <w:rPr>
          <w:lang w:val="fr-FR"/>
        </w:rPr>
        <w:t>« </w:t>
      </w:r>
      <w:r w:rsidRPr="00F001B0">
        <w:rPr>
          <w:b/>
          <w:i/>
          <w:lang w:val="fr-FR"/>
        </w:rPr>
        <w:t>NOTA</w:t>
      </w:r>
      <w:r w:rsidR="00BB3244">
        <w:rPr>
          <w:b/>
          <w:i/>
          <w:lang w:val="fr-FR"/>
        </w:rPr>
        <w:t> </w:t>
      </w:r>
      <w:r w:rsidRPr="006D28ED">
        <w:rPr>
          <w:i/>
          <w:lang w:val="fr-FR"/>
        </w:rPr>
        <w:t>:</w:t>
      </w:r>
      <w:r w:rsidRPr="00F001B0">
        <w:rPr>
          <w:i/>
          <w:lang w:val="fr-FR"/>
        </w:rPr>
        <w:tab/>
        <w:t>Cette norme peut également être appliquée aux citernes à vidange par gravité.</w:t>
      </w:r>
      <w:r w:rsidRPr="00F001B0">
        <w:rPr>
          <w:lang w:val="fr-FR"/>
        </w:rPr>
        <w:t> ».</w:t>
      </w:r>
    </w:p>
    <w:p w:rsidR="00CC315F" w:rsidRPr="00F001B0" w:rsidRDefault="00CC315F" w:rsidP="00CC315F">
      <w:pPr>
        <w:pStyle w:val="SingleTxtG"/>
        <w:rPr>
          <w:i/>
          <w:iCs/>
          <w:lang w:val="fr-FR"/>
        </w:rPr>
      </w:pPr>
      <w:r w:rsidRPr="00F001B0">
        <w:rPr>
          <w:i/>
          <w:iCs/>
          <w:lang w:val="fr-FR"/>
        </w:rPr>
        <w:t>(</w:t>
      </w:r>
      <w:r w:rsidRPr="00F001B0">
        <w:rPr>
          <w:i/>
          <w:lang w:val="fr-FR"/>
        </w:rPr>
        <w:t xml:space="preserve">Documents </w:t>
      </w:r>
      <w:r w:rsidRPr="00F001B0">
        <w:rPr>
          <w:i/>
          <w:iCs/>
          <w:lang w:val="fr-FR"/>
        </w:rPr>
        <w:t>de référence : documents informels INF.40 et INF.47)</w:t>
      </w:r>
    </w:p>
    <w:p w:rsidR="00CC315F" w:rsidRPr="00F001B0" w:rsidRDefault="00CC315F" w:rsidP="00CC315F">
      <w:pPr>
        <w:pStyle w:val="SingleTxtG"/>
        <w:rPr>
          <w:lang w:val="fr-FR"/>
        </w:rPr>
      </w:pPr>
      <w:r w:rsidRPr="00F001B0">
        <w:rPr>
          <w:lang w:val="fr-FR"/>
        </w:rPr>
        <w:t>[6.8.2.6.2</w:t>
      </w:r>
      <w:r w:rsidRPr="00F001B0">
        <w:rPr>
          <w:lang w:val="fr-FR"/>
        </w:rPr>
        <w:tab/>
        <w:t>Modifier le tableau comme suit</w:t>
      </w:r>
      <w:r w:rsidR="00661B41">
        <w:rPr>
          <w:lang w:val="fr-FR"/>
        </w:rPr>
        <w:t> </w:t>
      </w:r>
      <w:r w:rsidRPr="00F001B0">
        <w:rPr>
          <w:lang w:val="fr-FR"/>
        </w:rPr>
        <w:t>:</w:t>
      </w:r>
    </w:p>
    <w:p w:rsidR="00CC315F" w:rsidRPr="00F001B0" w:rsidRDefault="00BB3244" w:rsidP="00CC315F">
      <w:pPr>
        <w:pStyle w:val="SingleTxtG"/>
        <w:rPr>
          <w:lang w:val="fr-FR"/>
        </w:rPr>
      </w:pPr>
      <w:r>
        <w:rPr>
          <w:lang w:val="fr-FR"/>
        </w:rPr>
        <w:t>-</w:t>
      </w:r>
      <w:r w:rsidR="00CC315F" w:rsidRPr="00F001B0">
        <w:rPr>
          <w:lang w:val="fr-FR"/>
        </w:rPr>
        <w:tab/>
        <w:t>Pour la norme « EN 12972:2007 », dans la colonne (4), remplacer « Jusqu</w:t>
      </w:r>
      <w:r w:rsidR="008B6F84">
        <w:rPr>
          <w:lang w:val="fr-FR"/>
        </w:rPr>
        <w:t>’</w:t>
      </w:r>
      <w:r w:rsidR="00CC315F" w:rsidRPr="00F001B0">
        <w:rPr>
          <w:lang w:val="fr-FR"/>
        </w:rPr>
        <w:t>à nouvel ordre » par : « Jusqu</w:t>
      </w:r>
      <w:r w:rsidR="008B6F84">
        <w:rPr>
          <w:lang w:val="fr-FR"/>
        </w:rPr>
        <w:t>’</w:t>
      </w:r>
      <w:r w:rsidR="00CC315F" w:rsidRPr="00F001B0">
        <w:rPr>
          <w:lang w:val="fr-FR"/>
        </w:rPr>
        <w:t>au 30 juin 2019 ».</w:t>
      </w:r>
    </w:p>
    <w:p w:rsidR="00CC315F" w:rsidRPr="00F001B0" w:rsidRDefault="00CC315F" w:rsidP="00CC315F">
      <w:pPr>
        <w:pStyle w:val="SingleTxtG"/>
        <w:rPr>
          <w:i/>
          <w:lang w:val="fr-FR"/>
        </w:rPr>
      </w:pPr>
      <w:r w:rsidRPr="00F001B0">
        <w:rPr>
          <w:i/>
          <w:lang w:val="fr-FR"/>
        </w:rPr>
        <w:t>(Document de référence : document informel INF.45)</w:t>
      </w:r>
    </w:p>
    <w:p w:rsidR="00CC315F" w:rsidRPr="00F001B0" w:rsidRDefault="00BB3244" w:rsidP="00CC315F">
      <w:pPr>
        <w:pStyle w:val="SingleTxtG"/>
        <w:rPr>
          <w:lang w:val="fr-FR"/>
        </w:rPr>
      </w:pPr>
      <w:r>
        <w:rPr>
          <w:lang w:val="fr-FR"/>
        </w:rPr>
        <w:t>-</w:t>
      </w:r>
      <w:r w:rsidR="00CC315F" w:rsidRPr="00F001B0">
        <w:rPr>
          <w:lang w:val="fr-FR"/>
        </w:rPr>
        <w:tab/>
        <w:t>Après la ligne pour la norme « EN 12972:2007 », insérer la nouvelle norme suivante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25"/>
        <w:gridCol w:w="3420"/>
        <w:gridCol w:w="905"/>
        <w:gridCol w:w="1673"/>
        <w:gridCol w:w="682"/>
      </w:tblGrid>
      <w:tr w:rsidR="00CC315F" w:rsidRPr="00EC6379" w:rsidTr="00786074">
        <w:tc>
          <w:tcPr>
            <w:tcW w:w="1825" w:type="dxa"/>
            <w:vAlign w:val="center"/>
          </w:tcPr>
          <w:p w:rsidR="00CC315F" w:rsidRPr="00F001B0" w:rsidRDefault="00CC315F" w:rsidP="00BC21E8">
            <w:pPr>
              <w:widowControl w:val="0"/>
              <w:spacing w:before="60" w:after="60"/>
              <w:ind w:left="57" w:right="57"/>
              <w:rPr>
                <w:rFonts w:cs="Arial"/>
                <w:lang w:val="fr-FR"/>
              </w:rPr>
            </w:pPr>
            <w:r w:rsidRPr="00F001B0">
              <w:rPr>
                <w:rFonts w:cs="Arial"/>
                <w:lang w:val="fr-FR"/>
              </w:rPr>
              <w:t>EN 12972:2018</w:t>
            </w:r>
          </w:p>
        </w:tc>
        <w:tc>
          <w:tcPr>
            <w:tcW w:w="3420" w:type="dxa"/>
            <w:vAlign w:val="center"/>
          </w:tcPr>
          <w:p w:rsidR="00CC315F" w:rsidRPr="00F001B0" w:rsidRDefault="00CC315F" w:rsidP="00B5197A">
            <w:pPr>
              <w:widowControl w:val="0"/>
              <w:spacing w:before="60" w:after="60"/>
              <w:ind w:left="57" w:right="57"/>
              <w:rPr>
                <w:rFonts w:cs="Arial"/>
                <w:lang w:val="fr-FR"/>
              </w:rPr>
            </w:pPr>
            <w:r w:rsidRPr="00F001B0">
              <w:rPr>
                <w:rFonts w:cs="Arial"/>
                <w:bCs/>
                <w:lang w:val="fr-FR"/>
              </w:rPr>
              <w:t xml:space="preserve">Citernes destinées au transport de matières dangereuses </w:t>
            </w:r>
            <w:r w:rsidR="00B5197A">
              <w:rPr>
                <w:rFonts w:cs="Arial"/>
                <w:bCs/>
                <w:lang w:val="fr-FR"/>
              </w:rPr>
              <w:t>−</w:t>
            </w:r>
            <w:r w:rsidRPr="00F001B0">
              <w:rPr>
                <w:rFonts w:cs="Arial"/>
                <w:bCs/>
                <w:lang w:val="fr-FR"/>
              </w:rPr>
              <w:t xml:space="preserve"> </w:t>
            </w:r>
            <w:r w:rsidRPr="00F001B0">
              <w:rPr>
                <w:rStyle w:val="st"/>
                <w:lang w:val="fr-FR"/>
              </w:rPr>
              <w:t>Épreuve, contrôle et marquage des citernes métalliques</w:t>
            </w:r>
          </w:p>
        </w:tc>
        <w:tc>
          <w:tcPr>
            <w:tcW w:w="905" w:type="dxa"/>
            <w:vAlign w:val="center"/>
          </w:tcPr>
          <w:p w:rsidR="00CC315F" w:rsidRPr="00F001B0" w:rsidRDefault="00CC315F" w:rsidP="00BC21E8">
            <w:pPr>
              <w:widowControl w:val="0"/>
              <w:spacing w:before="60" w:after="60"/>
              <w:ind w:left="57" w:right="57"/>
              <w:rPr>
                <w:rFonts w:cs="Arial"/>
                <w:lang w:val="fr-FR"/>
              </w:rPr>
            </w:pPr>
            <w:r w:rsidRPr="00F001B0">
              <w:rPr>
                <w:rFonts w:cs="Arial"/>
                <w:lang w:val="fr-FR"/>
              </w:rPr>
              <w:t xml:space="preserve">6.8.2.4 </w:t>
            </w:r>
            <w:r w:rsidR="00786074">
              <w:rPr>
                <w:rFonts w:cs="Arial"/>
                <w:lang w:val="fr-FR"/>
              </w:rPr>
              <w:br/>
            </w:r>
            <w:r w:rsidRPr="00F001B0">
              <w:rPr>
                <w:rFonts w:cs="Arial"/>
                <w:lang w:val="fr-FR"/>
              </w:rPr>
              <w:t>et 6.8.3.4</w:t>
            </w:r>
          </w:p>
        </w:tc>
        <w:tc>
          <w:tcPr>
            <w:tcW w:w="1673" w:type="dxa"/>
            <w:vAlign w:val="center"/>
          </w:tcPr>
          <w:p w:rsidR="00CC315F" w:rsidRPr="00F001B0" w:rsidRDefault="00CC315F" w:rsidP="00B5197A">
            <w:pPr>
              <w:widowControl w:val="0"/>
              <w:spacing w:before="60" w:after="60"/>
              <w:ind w:left="57" w:right="57"/>
              <w:jc w:val="center"/>
              <w:rPr>
                <w:rFonts w:cs="Arial"/>
                <w:lang w:val="fr-FR"/>
              </w:rPr>
            </w:pPr>
            <w:r w:rsidRPr="00F001B0">
              <w:rPr>
                <w:rFonts w:cs="Arial"/>
                <w:lang w:val="fr-FR"/>
              </w:rPr>
              <w:t>Obligatoirement</w:t>
            </w:r>
            <w:r w:rsidR="00B5197A">
              <w:rPr>
                <w:rFonts w:cs="Arial"/>
                <w:lang w:val="fr-FR"/>
              </w:rPr>
              <w:br/>
            </w:r>
            <w:r w:rsidRPr="00F001B0">
              <w:rPr>
                <w:rFonts w:cs="Arial"/>
                <w:lang w:val="fr-FR"/>
              </w:rPr>
              <w:t xml:space="preserve">à partir </w:t>
            </w:r>
            <w:r w:rsidR="00B5197A">
              <w:rPr>
                <w:rFonts w:cs="Arial"/>
                <w:lang w:val="fr-FR"/>
              </w:rPr>
              <w:br/>
            </w:r>
            <w:r w:rsidRPr="00F001B0">
              <w:rPr>
                <w:rFonts w:cs="Arial"/>
                <w:lang w:val="fr-FR"/>
              </w:rPr>
              <w:t>du 1</w:t>
            </w:r>
            <w:r w:rsidRPr="00F001B0">
              <w:rPr>
                <w:rFonts w:cs="Arial"/>
                <w:vertAlign w:val="superscript"/>
                <w:lang w:val="fr-FR"/>
              </w:rPr>
              <w:t>er</w:t>
            </w:r>
            <w:r w:rsidRPr="00F001B0">
              <w:rPr>
                <w:rFonts w:cs="Arial"/>
                <w:lang w:val="fr-FR"/>
              </w:rPr>
              <w:t> juillet 2019</w:t>
            </w:r>
          </w:p>
        </w:tc>
        <w:tc>
          <w:tcPr>
            <w:tcW w:w="682" w:type="dxa"/>
            <w:vAlign w:val="center"/>
          </w:tcPr>
          <w:p w:rsidR="00CC315F" w:rsidRPr="00F001B0" w:rsidRDefault="00CC315F" w:rsidP="00BC21E8">
            <w:pPr>
              <w:widowControl w:val="0"/>
              <w:spacing w:before="60" w:after="60"/>
              <w:ind w:left="57" w:right="57"/>
              <w:rPr>
                <w:rFonts w:cs="Arial"/>
                <w:lang w:val="fr-FR"/>
              </w:rPr>
            </w:pPr>
          </w:p>
        </w:tc>
      </w:tr>
    </w:tbl>
    <w:p w:rsidR="00CC315F" w:rsidRPr="00F001B0" w:rsidRDefault="00CC315F" w:rsidP="00CC315F">
      <w:pPr>
        <w:pStyle w:val="SingleTxtG"/>
        <w:spacing w:before="120"/>
        <w:rPr>
          <w:lang w:val="fr-FR"/>
        </w:rPr>
      </w:pPr>
      <w:r w:rsidRPr="00F001B0">
        <w:rPr>
          <w:lang w:val="fr-FR"/>
        </w:rPr>
        <w:t>]</w:t>
      </w:r>
    </w:p>
    <w:p w:rsidR="00CC315F" w:rsidRPr="00F001B0" w:rsidRDefault="00CC315F" w:rsidP="00CC315F">
      <w:pPr>
        <w:pStyle w:val="SingleTxtG"/>
        <w:spacing w:before="120"/>
        <w:rPr>
          <w:i/>
          <w:lang w:val="fr-FR"/>
        </w:rPr>
      </w:pPr>
      <w:r w:rsidRPr="00F001B0">
        <w:rPr>
          <w:i/>
          <w:lang w:val="fr-FR"/>
        </w:rPr>
        <w:t>(Document de référence : document informel INF.45)</w:t>
      </w:r>
    </w:p>
    <w:p w:rsidR="00CC315F" w:rsidRPr="00F001B0" w:rsidRDefault="00CC315F" w:rsidP="00CC315F">
      <w:pPr>
        <w:pStyle w:val="SingleTxtG"/>
        <w:rPr>
          <w:lang w:val="fr-FR"/>
        </w:rPr>
      </w:pPr>
      <w:r w:rsidRPr="00F001B0">
        <w:rPr>
          <w:lang w:val="fr-FR"/>
        </w:rPr>
        <w:t>[(ADR :)</w:t>
      </w:r>
    </w:p>
    <w:p w:rsidR="00CC315F" w:rsidRPr="00F001B0" w:rsidRDefault="00CC315F" w:rsidP="00CC315F">
      <w:pPr>
        <w:pStyle w:val="SingleTxtG"/>
        <w:tabs>
          <w:tab w:val="left" w:pos="2268"/>
        </w:tabs>
        <w:rPr>
          <w:lang w:val="fr-FR"/>
        </w:rPr>
      </w:pPr>
      <w:r w:rsidRPr="00F001B0">
        <w:rPr>
          <w:lang w:val="fr-FR"/>
        </w:rPr>
        <w:t>6.8.4 d), TT11</w:t>
      </w:r>
      <w:r w:rsidRPr="00F001B0">
        <w:rPr>
          <w:lang w:val="fr-FR"/>
        </w:rPr>
        <w:tab/>
        <w:t>Dans le paragraphe après le tableau, remplacer « EN 14025:2013 + A1:2016 » par : « EN 14025:2018 ».]</w:t>
      </w:r>
    </w:p>
    <w:p w:rsidR="00CC315F" w:rsidRPr="00F001B0" w:rsidRDefault="00CC315F" w:rsidP="00CC315F">
      <w:pPr>
        <w:pStyle w:val="SingleTxtG"/>
        <w:rPr>
          <w:i/>
          <w:lang w:val="fr-FR"/>
        </w:rPr>
      </w:pPr>
      <w:r w:rsidRPr="00F001B0">
        <w:rPr>
          <w:i/>
          <w:lang w:val="fr-FR"/>
        </w:rPr>
        <w:t>(Document de référence : document informel INF.45, modification de conséquence)</w:t>
      </w:r>
    </w:p>
    <w:p w:rsidR="00CC315F" w:rsidRPr="00F001B0" w:rsidRDefault="00CC315F" w:rsidP="00CC315F">
      <w:pPr>
        <w:pStyle w:val="SingleTxtG"/>
        <w:rPr>
          <w:rStyle w:val="st"/>
          <w:lang w:val="fr-FR"/>
        </w:rPr>
      </w:pPr>
      <w:r w:rsidRPr="00F001B0">
        <w:rPr>
          <w:lang w:val="fr-FR"/>
        </w:rPr>
        <w:t>[6.8.5.4</w:t>
      </w:r>
      <w:r w:rsidRPr="00F001B0">
        <w:rPr>
          <w:lang w:val="fr-FR"/>
        </w:rPr>
        <w:tab/>
        <w:t xml:space="preserve">Remplacer « EN 1252-2:2001 Récipients cryogéniques </w:t>
      </w:r>
      <w:r w:rsidR="00552846">
        <w:rPr>
          <w:lang w:val="fr-FR"/>
        </w:rPr>
        <w:t>−</w:t>
      </w:r>
      <w:r w:rsidRPr="00F001B0">
        <w:rPr>
          <w:lang w:val="fr-FR"/>
        </w:rPr>
        <w:t xml:space="preserve"> Matériaux</w:t>
      </w:r>
      <w:r w:rsidR="00552846">
        <w:rPr>
          <w:lang w:val="fr-FR"/>
        </w:rPr>
        <w:t xml:space="preserve"> −</w:t>
      </w:r>
      <w:r w:rsidRPr="00F001B0">
        <w:rPr>
          <w:lang w:val="fr-FR"/>
        </w:rPr>
        <w:t xml:space="preserve"> Partie 2 : Exigences de ténacité pour les températures comprises entre </w:t>
      </w:r>
      <w:r w:rsidR="00552846">
        <w:rPr>
          <w:lang w:val="fr-FR"/>
        </w:rPr>
        <w:t>-</w:t>
      </w:r>
      <w:r w:rsidRPr="00F001B0">
        <w:rPr>
          <w:lang w:val="fr-FR"/>
        </w:rPr>
        <w:t xml:space="preserve">80 °C et </w:t>
      </w:r>
      <w:r w:rsidR="00552846">
        <w:rPr>
          <w:lang w:val="fr-FR"/>
        </w:rPr>
        <w:t>-</w:t>
      </w:r>
      <w:r w:rsidRPr="00F001B0">
        <w:rPr>
          <w:lang w:val="fr-FR"/>
        </w:rPr>
        <w:t xml:space="preserve">20 °C » par : « EN ISO 21028-2:2018 </w:t>
      </w:r>
      <w:r w:rsidRPr="00F001B0">
        <w:rPr>
          <w:rStyle w:val="st"/>
          <w:lang w:val="fr-FR"/>
        </w:rPr>
        <w:t xml:space="preserve">Récipients cryogéniques </w:t>
      </w:r>
      <w:r w:rsidR="001C1D0F">
        <w:rPr>
          <w:rStyle w:val="st"/>
          <w:lang w:val="fr-FR"/>
        </w:rPr>
        <w:t>−</w:t>
      </w:r>
      <w:r w:rsidRPr="00F001B0">
        <w:rPr>
          <w:rStyle w:val="st"/>
          <w:lang w:val="fr-FR"/>
        </w:rPr>
        <w:t xml:space="preserve"> Exigences de ténacité pour les matériaux à température cryogénique </w:t>
      </w:r>
      <w:r w:rsidR="001C1D0F">
        <w:rPr>
          <w:rStyle w:val="st"/>
          <w:lang w:val="fr-FR"/>
        </w:rPr>
        <w:t>−</w:t>
      </w:r>
      <w:r w:rsidRPr="00F001B0">
        <w:rPr>
          <w:rStyle w:val="st"/>
          <w:lang w:val="fr-FR"/>
        </w:rPr>
        <w:t xml:space="preserve"> Partie 2</w:t>
      </w:r>
      <w:r w:rsidR="00D730A9">
        <w:rPr>
          <w:rStyle w:val="st"/>
          <w:lang w:val="fr-FR"/>
        </w:rPr>
        <w:t> </w:t>
      </w:r>
      <w:r w:rsidRPr="00F001B0">
        <w:rPr>
          <w:rStyle w:val="st"/>
          <w:lang w:val="fr-FR"/>
        </w:rPr>
        <w:t xml:space="preserve">: températures comprises entre </w:t>
      </w:r>
      <w:r w:rsidR="00552846">
        <w:rPr>
          <w:rStyle w:val="st"/>
          <w:lang w:val="fr-FR"/>
        </w:rPr>
        <w:t>-</w:t>
      </w:r>
      <w:r w:rsidRPr="00F001B0">
        <w:rPr>
          <w:rStyle w:val="st"/>
          <w:lang w:val="fr-FR"/>
        </w:rPr>
        <w:t xml:space="preserve">80 °C et </w:t>
      </w:r>
      <w:r w:rsidR="00D730A9">
        <w:rPr>
          <w:rStyle w:val="st"/>
          <w:lang w:val="fr-FR"/>
        </w:rPr>
        <w:noBreakHyphen/>
      </w:r>
      <w:r w:rsidRPr="00F001B0">
        <w:rPr>
          <w:rStyle w:val="st"/>
          <w:lang w:val="fr-FR"/>
        </w:rPr>
        <w:t>20 °C ».]</w:t>
      </w:r>
    </w:p>
    <w:p w:rsidR="00CC315F" w:rsidRPr="00F001B0" w:rsidRDefault="00CC315F" w:rsidP="00CC315F">
      <w:pPr>
        <w:pStyle w:val="SingleTxtG"/>
        <w:rPr>
          <w:i/>
          <w:lang w:val="fr-FR"/>
        </w:rPr>
      </w:pPr>
      <w:r w:rsidRPr="00F001B0">
        <w:rPr>
          <w:i/>
          <w:lang w:val="fr-FR"/>
        </w:rPr>
        <w:t>(Document de référence : document informel INF.45)</w:t>
      </w:r>
    </w:p>
    <w:p w:rsidR="00CC315F" w:rsidRPr="00F001B0" w:rsidRDefault="00CC315F" w:rsidP="00CC315F">
      <w:pPr>
        <w:pStyle w:val="H1G"/>
        <w:rPr>
          <w:szCs w:val="24"/>
          <w:lang w:val="fr-FR"/>
        </w:rPr>
      </w:pPr>
      <w:r w:rsidRPr="00F001B0">
        <w:rPr>
          <w:lang w:val="fr-FR"/>
        </w:rPr>
        <w:tab/>
      </w:r>
      <w:r w:rsidRPr="00F001B0">
        <w:rPr>
          <w:lang w:val="fr-FR"/>
        </w:rPr>
        <w:tab/>
        <w:t xml:space="preserve">(ADR :) </w:t>
      </w:r>
      <w:r w:rsidRPr="00F001B0">
        <w:rPr>
          <w:szCs w:val="24"/>
          <w:lang w:val="fr-FR"/>
        </w:rPr>
        <w:t>Chapitre 7.5</w:t>
      </w:r>
    </w:p>
    <w:p w:rsidR="00CC315F" w:rsidRPr="00F001B0" w:rsidRDefault="00CC315F" w:rsidP="00CC315F">
      <w:pPr>
        <w:pStyle w:val="SingleTxtG"/>
        <w:rPr>
          <w:lang w:val="fr-FR"/>
        </w:rPr>
      </w:pPr>
      <w:r w:rsidRPr="00F001B0">
        <w:rPr>
          <w:lang w:val="fr-FR"/>
        </w:rPr>
        <w:t>7.5.7.6.1</w:t>
      </w:r>
      <w:r w:rsidRPr="00F001B0">
        <w:rPr>
          <w:lang w:val="fr-FR"/>
        </w:rPr>
        <w:tab/>
        <w:t>Dans la note de bas de page</w:t>
      </w:r>
      <w:r w:rsidR="003C5D36">
        <w:rPr>
          <w:lang w:val="fr-FR"/>
        </w:rPr>
        <w:t> </w:t>
      </w:r>
      <w:r w:rsidRPr="00F001B0">
        <w:rPr>
          <w:lang w:val="fr-FR"/>
        </w:rPr>
        <w:t>2), remplacer «</w:t>
      </w:r>
      <w:r w:rsidR="003C5D36">
        <w:rPr>
          <w:lang w:val="fr-FR"/>
        </w:rPr>
        <w:t> </w:t>
      </w:r>
      <w:r w:rsidRPr="00F001B0">
        <w:rPr>
          <w:lang w:val="fr-FR"/>
        </w:rPr>
        <w:t>Règlement ECE</w:t>
      </w:r>
      <w:r w:rsidR="003C5D36">
        <w:rPr>
          <w:lang w:val="fr-FR"/>
        </w:rPr>
        <w:t> </w:t>
      </w:r>
      <w:r w:rsidRPr="00F001B0">
        <w:rPr>
          <w:lang w:val="fr-FR"/>
        </w:rPr>
        <w:t>» par : « Règlement ONU ».</w:t>
      </w:r>
    </w:p>
    <w:p w:rsidR="00CC315F" w:rsidRPr="00F001B0" w:rsidRDefault="00CC315F" w:rsidP="00CC315F">
      <w:pPr>
        <w:pStyle w:val="SingleTxtG"/>
        <w:rPr>
          <w:i/>
          <w:iCs/>
          <w:lang w:val="fr-FR"/>
        </w:rPr>
      </w:pPr>
      <w:r w:rsidRPr="00F001B0">
        <w:rPr>
          <w:i/>
          <w:iCs/>
          <w:lang w:val="fr-FR"/>
        </w:rPr>
        <w:t>(</w:t>
      </w:r>
      <w:r w:rsidRPr="00F001B0">
        <w:rPr>
          <w:i/>
          <w:lang w:val="fr-FR"/>
        </w:rPr>
        <w:t xml:space="preserve">Document </w:t>
      </w:r>
      <w:r w:rsidRPr="00F001B0">
        <w:rPr>
          <w:i/>
          <w:iCs/>
          <w:lang w:val="fr-FR"/>
        </w:rPr>
        <w:t>de référence : document informel INF.30)</w:t>
      </w:r>
    </w:p>
    <w:p w:rsidR="00CC315F" w:rsidRPr="00F001B0" w:rsidRDefault="00CC315F" w:rsidP="00CC315F">
      <w:pPr>
        <w:pStyle w:val="H1G"/>
        <w:rPr>
          <w:szCs w:val="24"/>
          <w:lang w:val="fr-FR"/>
        </w:rPr>
      </w:pPr>
      <w:r w:rsidRPr="00F001B0">
        <w:rPr>
          <w:lang w:val="fr-FR"/>
        </w:rPr>
        <w:tab/>
      </w:r>
      <w:r w:rsidRPr="00F001B0">
        <w:rPr>
          <w:lang w:val="fr-FR"/>
        </w:rPr>
        <w:tab/>
        <w:t xml:space="preserve">(ADR :) </w:t>
      </w:r>
      <w:r w:rsidRPr="00F001B0">
        <w:rPr>
          <w:szCs w:val="24"/>
          <w:lang w:val="fr-FR"/>
        </w:rPr>
        <w:t>Chapitre 9.1</w:t>
      </w:r>
    </w:p>
    <w:p w:rsidR="00CC315F" w:rsidRPr="00F001B0" w:rsidRDefault="00CC315F" w:rsidP="00CC315F">
      <w:pPr>
        <w:pStyle w:val="SingleTxtG"/>
        <w:tabs>
          <w:tab w:val="left" w:pos="2268"/>
        </w:tabs>
        <w:rPr>
          <w:lang w:val="fr-FR"/>
        </w:rPr>
      </w:pPr>
      <w:r w:rsidRPr="00F001B0">
        <w:rPr>
          <w:lang w:val="fr-FR"/>
        </w:rPr>
        <w:t>9.1.1.2</w:t>
      </w:r>
      <w:r w:rsidRPr="00F001B0">
        <w:rPr>
          <w:lang w:val="fr-FR"/>
        </w:rPr>
        <w:tab/>
        <w:t>Sous « Véhicule homologué par type » et dans la note de bas de page 2), remplacer « Règlement ECE » par : « Règlement ONU ».</w:t>
      </w:r>
    </w:p>
    <w:p w:rsidR="00CC315F" w:rsidRPr="00F001B0" w:rsidRDefault="00CC315F" w:rsidP="00CC315F">
      <w:pPr>
        <w:pStyle w:val="SingleTxtG"/>
        <w:rPr>
          <w:i/>
          <w:iCs/>
          <w:lang w:val="fr-FR"/>
        </w:rPr>
      </w:pPr>
      <w:r w:rsidRPr="00F001B0">
        <w:rPr>
          <w:i/>
          <w:iCs/>
          <w:lang w:val="fr-FR"/>
        </w:rPr>
        <w:t>(</w:t>
      </w:r>
      <w:r w:rsidRPr="00F001B0">
        <w:rPr>
          <w:i/>
          <w:lang w:val="fr-FR"/>
        </w:rPr>
        <w:t xml:space="preserve">Document </w:t>
      </w:r>
      <w:r w:rsidRPr="00F001B0">
        <w:rPr>
          <w:i/>
          <w:iCs/>
          <w:lang w:val="fr-FR"/>
        </w:rPr>
        <w:t>de référence : document informel INF.30)</w:t>
      </w:r>
    </w:p>
    <w:p w:rsidR="00CC315F" w:rsidRPr="00F001B0" w:rsidRDefault="00CC315F" w:rsidP="00041281">
      <w:pPr>
        <w:pStyle w:val="SingleTxtG"/>
        <w:keepNext/>
        <w:tabs>
          <w:tab w:val="left" w:pos="2268"/>
        </w:tabs>
        <w:rPr>
          <w:lang w:val="fr-FR"/>
        </w:rPr>
      </w:pPr>
      <w:r w:rsidRPr="00F001B0">
        <w:rPr>
          <w:lang w:val="fr-FR"/>
        </w:rPr>
        <w:t>9.1.2.1</w:t>
      </w:r>
      <w:r w:rsidRPr="00F001B0">
        <w:rPr>
          <w:lang w:val="fr-FR"/>
        </w:rPr>
        <w:tab/>
        <w:t>Dans le dernier paragraphe et dans la note de bas de page 3), remplacer « Règlement ECE » par : « Règlement ONU ».</w:t>
      </w:r>
    </w:p>
    <w:p w:rsidR="00CC315F" w:rsidRPr="00F001B0" w:rsidRDefault="00CC315F" w:rsidP="00CC315F">
      <w:pPr>
        <w:pStyle w:val="SingleTxtG"/>
        <w:rPr>
          <w:lang w:val="fr-FR"/>
        </w:rPr>
      </w:pPr>
      <w:r w:rsidRPr="00F001B0">
        <w:rPr>
          <w:i/>
          <w:iCs/>
          <w:lang w:val="fr-FR"/>
        </w:rPr>
        <w:t>(</w:t>
      </w:r>
      <w:r w:rsidRPr="00F001B0">
        <w:rPr>
          <w:i/>
          <w:lang w:val="fr-FR"/>
        </w:rPr>
        <w:t xml:space="preserve">Document </w:t>
      </w:r>
      <w:r w:rsidRPr="00F001B0">
        <w:rPr>
          <w:i/>
          <w:iCs/>
          <w:lang w:val="fr-FR"/>
        </w:rPr>
        <w:t>de référence : document informel INF.30)</w:t>
      </w:r>
    </w:p>
    <w:p w:rsidR="00CC315F" w:rsidRPr="00F001B0" w:rsidRDefault="00CC315F" w:rsidP="00CC315F">
      <w:pPr>
        <w:pStyle w:val="SingleTxtG"/>
        <w:tabs>
          <w:tab w:val="left" w:pos="2268"/>
        </w:tabs>
        <w:rPr>
          <w:lang w:val="fr-FR"/>
        </w:rPr>
      </w:pPr>
      <w:r w:rsidRPr="00F001B0">
        <w:rPr>
          <w:lang w:val="fr-FR"/>
        </w:rPr>
        <w:t>9.1.2.2</w:t>
      </w:r>
      <w:r w:rsidRPr="00F001B0">
        <w:rPr>
          <w:lang w:val="fr-FR"/>
        </w:rPr>
        <w:tab/>
        <w:t>Dans le premier paragraphe et dans la note de bas de page 2), remplacer « Règlement ECE » par : « Règlement ONU » (deux fois).</w:t>
      </w:r>
    </w:p>
    <w:p w:rsidR="00CC315F" w:rsidRPr="00F001B0" w:rsidRDefault="00CC315F" w:rsidP="00CC315F">
      <w:pPr>
        <w:pStyle w:val="SingleTxtG"/>
        <w:rPr>
          <w:lang w:val="fr-FR"/>
        </w:rPr>
      </w:pPr>
      <w:r w:rsidRPr="00F001B0">
        <w:rPr>
          <w:i/>
          <w:iCs/>
          <w:lang w:val="fr-FR"/>
        </w:rPr>
        <w:t>(</w:t>
      </w:r>
      <w:r w:rsidRPr="00F001B0">
        <w:rPr>
          <w:i/>
          <w:lang w:val="fr-FR"/>
        </w:rPr>
        <w:t xml:space="preserve">Document </w:t>
      </w:r>
      <w:r w:rsidRPr="00F001B0">
        <w:rPr>
          <w:i/>
          <w:iCs/>
          <w:lang w:val="fr-FR"/>
        </w:rPr>
        <w:t>de référence : document informel INF.30)</w:t>
      </w:r>
    </w:p>
    <w:p w:rsidR="00CC315F" w:rsidRPr="00F001B0" w:rsidRDefault="00CC315F" w:rsidP="00CC315F">
      <w:pPr>
        <w:pStyle w:val="H1G"/>
        <w:rPr>
          <w:szCs w:val="24"/>
          <w:lang w:val="fr-FR"/>
        </w:rPr>
      </w:pPr>
      <w:r w:rsidRPr="00F001B0">
        <w:rPr>
          <w:lang w:val="fr-FR"/>
        </w:rPr>
        <w:tab/>
      </w:r>
      <w:r w:rsidRPr="00F001B0">
        <w:rPr>
          <w:lang w:val="fr-FR"/>
        </w:rPr>
        <w:tab/>
        <w:t xml:space="preserve">(ADR :) </w:t>
      </w:r>
      <w:r w:rsidRPr="00F001B0">
        <w:rPr>
          <w:szCs w:val="24"/>
          <w:lang w:val="fr-FR"/>
        </w:rPr>
        <w:t>Chapitre 9.2</w:t>
      </w:r>
    </w:p>
    <w:p w:rsidR="00CC315F" w:rsidRPr="00F001B0" w:rsidRDefault="00CC315F" w:rsidP="00CC315F">
      <w:pPr>
        <w:pStyle w:val="SingleTxtG"/>
        <w:tabs>
          <w:tab w:val="left" w:pos="2268"/>
        </w:tabs>
        <w:rPr>
          <w:lang w:val="fr-FR"/>
        </w:rPr>
      </w:pPr>
      <w:r w:rsidRPr="00F001B0">
        <w:rPr>
          <w:lang w:val="fr-FR"/>
        </w:rPr>
        <w:t>9.2.1.1</w:t>
      </w:r>
      <w:r w:rsidRPr="00F001B0">
        <w:rPr>
          <w:lang w:val="fr-FR"/>
        </w:rPr>
        <w:tab/>
        <w:t>Remplacer « Règlement ECE » par : « Règlement ONU » (deux fois).</w:t>
      </w:r>
    </w:p>
    <w:p w:rsidR="00CC315F" w:rsidRPr="00F001B0" w:rsidRDefault="00CC315F" w:rsidP="00CC315F">
      <w:pPr>
        <w:pStyle w:val="SingleTxtG"/>
        <w:rPr>
          <w:i/>
          <w:iCs/>
          <w:lang w:val="fr-FR"/>
        </w:rPr>
      </w:pPr>
      <w:r w:rsidRPr="00F001B0">
        <w:rPr>
          <w:i/>
          <w:iCs/>
          <w:lang w:val="fr-FR"/>
        </w:rPr>
        <w:t>(</w:t>
      </w:r>
      <w:r w:rsidRPr="00F001B0">
        <w:rPr>
          <w:i/>
          <w:lang w:val="fr-FR"/>
        </w:rPr>
        <w:t xml:space="preserve">Document </w:t>
      </w:r>
      <w:r w:rsidRPr="00F001B0">
        <w:rPr>
          <w:i/>
          <w:iCs/>
          <w:lang w:val="fr-FR"/>
        </w:rPr>
        <w:t>de référence : document informel INF.30)</w:t>
      </w:r>
    </w:p>
    <w:p w:rsidR="00CC315F" w:rsidRPr="00F001B0" w:rsidRDefault="00CC315F" w:rsidP="00CC315F">
      <w:pPr>
        <w:pStyle w:val="SingleTxtG"/>
        <w:rPr>
          <w:lang w:val="fr-FR"/>
        </w:rPr>
      </w:pPr>
      <w:r w:rsidRPr="00F001B0">
        <w:rPr>
          <w:lang w:val="fr-FR"/>
        </w:rPr>
        <w:t>9.2.2.6.2</w:t>
      </w:r>
      <w:r w:rsidRPr="00F001B0">
        <w:rPr>
          <w:lang w:val="fr-FR"/>
        </w:rPr>
        <w:tab/>
        <w:t>Au deuxième tiret et dans la note de bas de page 2), remplacer « Règlement ECE » par : « Règlement ONU ».</w:t>
      </w:r>
    </w:p>
    <w:p w:rsidR="00CC315F" w:rsidRPr="00F001B0" w:rsidRDefault="00CC315F" w:rsidP="00CC315F">
      <w:pPr>
        <w:pStyle w:val="SingleTxtG"/>
        <w:rPr>
          <w:lang w:val="fr-FR"/>
        </w:rPr>
      </w:pPr>
      <w:r w:rsidRPr="00F001B0">
        <w:rPr>
          <w:i/>
          <w:iCs/>
          <w:lang w:val="fr-FR"/>
        </w:rPr>
        <w:t>(</w:t>
      </w:r>
      <w:r w:rsidRPr="00F001B0">
        <w:rPr>
          <w:i/>
          <w:lang w:val="fr-FR"/>
        </w:rPr>
        <w:t xml:space="preserve">Document </w:t>
      </w:r>
      <w:r w:rsidRPr="00F001B0">
        <w:rPr>
          <w:i/>
          <w:iCs/>
          <w:lang w:val="fr-FR"/>
        </w:rPr>
        <w:t>de référence : document informel INF.30)</w:t>
      </w:r>
    </w:p>
    <w:p w:rsidR="00CC315F" w:rsidRPr="00F001B0" w:rsidRDefault="00CC315F" w:rsidP="00CC315F">
      <w:pPr>
        <w:pStyle w:val="SingleTxtG"/>
        <w:rPr>
          <w:lang w:val="fr-FR"/>
        </w:rPr>
      </w:pPr>
      <w:r w:rsidRPr="00F001B0">
        <w:rPr>
          <w:lang w:val="fr-FR"/>
        </w:rPr>
        <w:t>9.2.2.9.1</w:t>
      </w:r>
      <w:r w:rsidRPr="00F001B0">
        <w:rPr>
          <w:lang w:val="fr-FR"/>
        </w:rPr>
        <w:tab/>
        <w:t>À l</w:t>
      </w:r>
      <w:r w:rsidR="008B6F84">
        <w:rPr>
          <w:lang w:val="fr-FR"/>
        </w:rPr>
        <w:t>’</w:t>
      </w:r>
      <w:r w:rsidRPr="00F001B0">
        <w:rPr>
          <w:lang w:val="fr-FR"/>
        </w:rPr>
        <w:t>alinéa a), remplacer « partie 143 » par « partie 14 », ajouter à la suite l</w:t>
      </w:r>
      <w:r w:rsidR="008B6F84">
        <w:rPr>
          <w:lang w:val="fr-FR"/>
        </w:rPr>
        <w:t>’</w:t>
      </w:r>
      <w:r w:rsidRPr="00F001B0">
        <w:rPr>
          <w:lang w:val="fr-FR"/>
        </w:rPr>
        <w:t>appel de note de bas de page « </w:t>
      </w:r>
      <w:r w:rsidRPr="00F001B0">
        <w:rPr>
          <w:vertAlign w:val="superscript"/>
          <w:lang w:val="fr-FR"/>
        </w:rPr>
        <w:t>3</w:t>
      </w:r>
      <w:r w:rsidRPr="00F001B0">
        <w:rPr>
          <w:lang w:val="fr-FR"/>
        </w:rPr>
        <w:t> » et ajouter le texte suivant de la note de bas de page 3) : « </w:t>
      </w:r>
      <w:r w:rsidRPr="00F001B0">
        <w:rPr>
          <w:i/>
          <w:lang w:val="fr-FR"/>
        </w:rPr>
        <w:t>Les prescriptions de la norme CEI 60079 partie 14 ne prévalent pas sur les prescriptions de la présente partie.</w:t>
      </w:r>
      <w:r w:rsidRPr="00F001B0">
        <w:rPr>
          <w:lang w:val="fr-FR"/>
        </w:rPr>
        <w:t xml:space="preserve"> ». </w:t>
      </w:r>
    </w:p>
    <w:p w:rsidR="00CC315F" w:rsidRPr="00F001B0" w:rsidRDefault="00CC315F" w:rsidP="00CC315F">
      <w:pPr>
        <w:pStyle w:val="SingleTxtG"/>
        <w:ind w:left="1701" w:firstLine="567"/>
        <w:rPr>
          <w:lang w:val="fr-FR"/>
        </w:rPr>
      </w:pPr>
      <w:r w:rsidRPr="00F001B0">
        <w:rPr>
          <w:lang w:val="fr-FR"/>
        </w:rPr>
        <w:t>À l</w:t>
      </w:r>
      <w:r w:rsidR="008B6F84">
        <w:rPr>
          <w:lang w:val="fr-FR"/>
        </w:rPr>
        <w:t>’</w:t>
      </w:r>
      <w:r w:rsidRPr="00F001B0">
        <w:rPr>
          <w:lang w:val="fr-FR"/>
        </w:rPr>
        <w:t>alinéa b), remplacer « partie 143 » par « partie 14</w:t>
      </w:r>
      <w:r w:rsidRPr="00F001B0">
        <w:rPr>
          <w:vertAlign w:val="superscript"/>
          <w:lang w:val="fr-FR"/>
        </w:rPr>
        <w:t>3</w:t>
      </w:r>
      <w:r w:rsidRPr="00F001B0">
        <w:rPr>
          <w:lang w:val="fr-FR"/>
        </w:rPr>
        <w:t xml:space="preserve"> ». </w:t>
      </w:r>
    </w:p>
    <w:p w:rsidR="00CC315F" w:rsidRPr="00F001B0" w:rsidRDefault="00CC315F" w:rsidP="00CC315F">
      <w:pPr>
        <w:pStyle w:val="SingleTxtG"/>
        <w:rPr>
          <w:lang w:val="fr-FR"/>
        </w:rPr>
      </w:pPr>
      <w:r w:rsidRPr="00F001B0">
        <w:rPr>
          <w:lang w:val="fr-FR"/>
        </w:rPr>
        <w:t>9.2.3.1.1</w:t>
      </w:r>
      <w:r w:rsidRPr="00F001B0">
        <w:rPr>
          <w:lang w:val="fr-FR"/>
        </w:rPr>
        <w:tab/>
        <w:t>Dans le texte du paragraphe et dans la note de bas de page 3, renumérotée 4), remplacer « Règlement ECE » par : « Règlement</w:t>
      </w:r>
      <w:r w:rsidR="00CB7A46">
        <w:rPr>
          <w:lang w:val="fr-FR"/>
        </w:rPr>
        <w:t xml:space="preserve"> </w:t>
      </w:r>
      <w:r w:rsidRPr="00F001B0">
        <w:rPr>
          <w:lang w:val="fr-FR"/>
        </w:rPr>
        <w:t xml:space="preserve">ONU ». </w:t>
      </w:r>
    </w:p>
    <w:p w:rsidR="00CC315F" w:rsidRPr="00F001B0" w:rsidRDefault="00CC315F" w:rsidP="00CC315F">
      <w:pPr>
        <w:pStyle w:val="SingleTxtG"/>
        <w:ind w:left="1701" w:firstLine="567"/>
        <w:rPr>
          <w:lang w:val="fr-FR"/>
        </w:rPr>
      </w:pPr>
      <w:r w:rsidRPr="00F001B0">
        <w:rPr>
          <w:lang w:val="fr-FR"/>
        </w:rPr>
        <w:t>À l</w:t>
      </w:r>
      <w:r w:rsidR="008B6F84">
        <w:rPr>
          <w:lang w:val="fr-FR"/>
        </w:rPr>
        <w:t>’</w:t>
      </w:r>
      <w:r w:rsidRPr="00F001B0">
        <w:rPr>
          <w:lang w:val="fr-FR"/>
        </w:rPr>
        <w:t xml:space="preserve">alinéa b), remplacer </w:t>
      </w:r>
      <w:bookmarkStart w:id="2" w:name="_Hlk515971178"/>
      <w:r w:rsidRPr="00F001B0">
        <w:rPr>
          <w:lang w:val="fr-FR"/>
        </w:rPr>
        <w:t>« No 13</w:t>
      </w:r>
      <w:r w:rsidRPr="00F001B0">
        <w:rPr>
          <w:vertAlign w:val="superscript"/>
          <w:lang w:val="fr-FR"/>
        </w:rPr>
        <w:t>3</w:t>
      </w:r>
      <w:r w:rsidRPr="00F001B0">
        <w:rPr>
          <w:lang w:val="fr-FR"/>
        </w:rPr>
        <w:t> »</w:t>
      </w:r>
      <w:bookmarkEnd w:id="2"/>
      <w:r w:rsidRPr="00F001B0">
        <w:rPr>
          <w:lang w:val="fr-FR"/>
        </w:rPr>
        <w:t xml:space="preserve"> par « No 13</w:t>
      </w:r>
      <w:r w:rsidRPr="00F001B0">
        <w:rPr>
          <w:vertAlign w:val="superscript"/>
          <w:lang w:val="fr-FR"/>
        </w:rPr>
        <w:t>4</w:t>
      </w:r>
      <w:r w:rsidRPr="00F001B0">
        <w:rPr>
          <w:lang w:val="fr-FR"/>
        </w:rPr>
        <w:t> ».</w:t>
      </w:r>
    </w:p>
    <w:p w:rsidR="00CC315F" w:rsidRPr="00F001B0" w:rsidRDefault="00CC315F" w:rsidP="00CC315F">
      <w:pPr>
        <w:pStyle w:val="SingleTxtG"/>
        <w:rPr>
          <w:lang w:val="fr-FR"/>
        </w:rPr>
      </w:pPr>
      <w:r w:rsidRPr="00F001B0">
        <w:rPr>
          <w:i/>
          <w:iCs/>
          <w:lang w:val="fr-FR"/>
        </w:rPr>
        <w:t>(</w:t>
      </w:r>
      <w:r w:rsidRPr="00F001B0">
        <w:rPr>
          <w:i/>
          <w:lang w:val="fr-FR"/>
        </w:rPr>
        <w:t xml:space="preserve">Document </w:t>
      </w:r>
      <w:r w:rsidRPr="00F001B0">
        <w:rPr>
          <w:i/>
          <w:iCs/>
          <w:lang w:val="fr-FR"/>
        </w:rPr>
        <w:t>de référence : document informel INF.30)</w:t>
      </w:r>
    </w:p>
    <w:p w:rsidR="00CC315F" w:rsidRPr="00F001B0" w:rsidRDefault="00CC315F" w:rsidP="00CC315F">
      <w:pPr>
        <w:pStyle w:val="SingleTxtG"/>
        <w:rPr>
          <w:lang w:val="fr-FR"/>
        </w:rPr>
      </w:pPr>
      <w:r w:rsidRPr="00F001B0">
        <w:rPr>
          <w:lang w:val="fr-FR"/>
        </w:rPr>
        <w:t>9.2.3.1.2</w:t>
      </w:r>
      <w:r w:rsidRPr="00F001B0">
        <w:rPr>
          <w:lang w:val="fr-FR"/>
        </w:rPr>
        <w:tab/>
        <w:t>Remplacer « Règlement ECE » par : « Règlement ONU ».</w:t>
      </w:r>
    </w:p>
    <w:p w:rsidR="00CC315F" w:rsidRPr="00F001B0" w:rsidRDefault="00CC315F" w:rsidP="00CC315F">
      <w:pPr>
        <w:pStyle w:val="SingleTxtG"/>
        <w:rPr>
          <w:i/>
          <w:iCs/>
          <w:lang w:val="fr-FR"/>
        </w:rPr>
      </w:pPr>
      <w:r w:rsidRPr="00F001B0">
        <w:rPr>
          <w:i/>
          <w:iCs/>
          <w:lang w:val="fr-FR"/>
        </w:rPr>
        <w:t>(</w:t>
      </w:r>
      <w:r w:rsidRPr="00F001B0">
        <w:rPr>
          <w:i/>
          <w:lang w:val="fr-FR"/>
        </w:rPr>
        <w:t xml:space="preserve">Document </w:t>
      </w:r>
      <w:r w:rsidRPr="00F001B0">
        <w:rPr>
          <w:i/>
          <w:iCs/>
          <w:lang w:val="fr-FR"/>
        </w:rPr>
        <w:t>de référence : document informel INF.30)</w:t>
      </w:r>
    </w:p>
    <w:p w:rsidR="00CC315F" w:rsidRPr="00F001B0" w:rsidRDefault="00CC315F" w:rsidP="00CC315F">
      <w:pPr>
        <w:pStyle w:val="SingleTxtG"/>
        <w:tabs>
          <w:tab w:val="left" w:pos="2268"/>
        </w:tabs>
        <w:rPr>
          <w:lang w:val="fr-FR"/>
        </w:rPr>
      </w:pPr>
      <w:r w:rsidRPr="00F001B0">
        <w:rPr>
          <w:lang w:val="fr-FR"/>
        </w:rPr>
        <w:t>9.2.4.3</w:t>
      </w:r>
      <w:r w:rsidRPr="00F001B0">
        <w:rPr>
          <w:lang w:val="fr-FR"/>
        </w:rPr>
        <w:tab/>
        <w:t>À l</w:t>
      </w:r>
      <w:r w:rsidR="008B6F84">
        <w:rPr>
          <w:lang w:val="fr-FR"/>
        </w:rPr>
        <w:t>’</w:t>
      </w:r>
      <w:r w:rsidRPr="00F001B0">
        <w:rPr>
          <w:lang w:val="fr-FR"/>
        </w:rPr>
        <w:t>alinéa b) (trois fois) et dans les notes de bas de page 4), 5) et 6), respectivement renumérotées 5), 6) et 7), remplacer « Règlement ECE » par : « Règlement</w:t>
      </w:r>
      <w:r w:rsidR="00CB7A46">
        <w:rPr>
          <w:lang w:val="fr-FR"/>
        </w:rPr>
        <w:t xml:space="preserve"> </w:t>
      </w:r>
      <w:r w:rsidRPr="00F001B0">
        <w:rPr>
          <w:lang w:val="fr-FR"/>
        </w:rPr>
        <w:t>ONU ».</w:t>
      </w:r>
    </w:p>
    <w:p w:rsidR="00CC315F" w:rsidRPr="00F001B0" w:rsidRDefault="00CC315F" w:rsidP="00CC315F">
      <w:pPr>
        <w:pStyle w:val="SingleTxtG"/>
        <w:rPr>
          <w:lang w:val="fr-FR"/>
        </w:rPr>
      </w:pPr>
      <w:r w:rsidRPr="00F001B0">
        <w:rPr>
          <w:i/>
          <w:iCs/>
          <w:lang w:val="fr-FR"/>
        </w:rPr>
        <w:t>(</w:t>
      </w:r>
      <w:r w:rsidRPr="00F001B0">
        <w:rPr>
          <w:i/>
          <w:lang w:val="fr-FR"/>
        </w:rPr>
        <w:t xml:space="preserve">Document </w:t>
      </w:r>
      <w:r w:rsidRPr="00F001B0">
        <w:rPr>
          <w:i/>
          <w:iCs/>
          <w:lang w:val="fr-FR"/>
        </w:rPr>
        <w:t>de référence : document informel INF.30)</w:t>
      </w:r>
    </w:p>
    <w:p w:rsidR="00CC315F" w:rsidRPr="00F001B0" w:rsidRDefault="00CC315F" w:rsidP="00CC315F">
      <w:pPr>
        <w:pStyle w:val="SingleTxtG"/>
        <w:tabs>
          <w:tab w:val="left" w:pos="2268"/>
        </w:tabs>
        <w:rPr>
          <w:lang w:val="fr-FR"/>
        </w:rPr>
      </w:pPr>
      <w:r w:rsidRPr="00F001B0">
        <w:rPr>
          <w:lang w:val="fr-FR"/>
        </w:rPr>
        <w:t>9.2.4.4</w:t>
      </w:r>
      <w:r w:rsidRPr="00F001B0">
        <w:rPr>
          <w:lang w:val="fr-FR"/>
        </w:rPr>
        <w:tab/>
        <w:t xml:space="preserve">Remplacer « Règlement ECE » par : « Règlement ONU » (quatre fois). </w:t>
      </w:r>
    </w:p>
    <w:p w:rsidR="00CC315F" w:rsidRPr="00F001B0" w:rsidRDefault="00CC315F" w:rsidP="00CC315F">
      <w:pPr>
        <w:pStyle w:val="SingleTxtG"/>
        <w:tabs>
          <w:tab w:val="left" w:pos="2268"/>
        </w:tabs>
        <w:rPr>
          <w:lang w:val="fr-FR"/>
        </w:rPr>
      </w:pPr>
      <w:r w:rsidRPr="00F001B0">
        <w:rPr>
          <w:lang w:val="fr-FR"/>
        </w:rPr>
        <w:tab/>
        <w:t>Renuméroter les rappels de note 5) et 6) en rappels 6) et 7), respectivement (deux fois chacun).</w:t>
      </w:r>
    </w:p>
    <w:p w:rsidR="00CC315F" w:rsidRPr="00F001B0" w:rsidRDefault="00CC315F" w:rsidP="00CC315F">
      <w:pPr>
        <w:pStyle w:val="SingleTxtG"/>
        <w:rPr>
          <w:i/>
          <w:iCs/>
          <w:lang w:val="fr-FR"/>
        </w:rPr>
      </w:pPr>
      <w:r w:rsidRPr="00F001B0">
        <w:rPr>
          <w:i/>
          <w:iCs/>
          <w:lang w:val="fr-FR"/>
        </w:rPr>
        <w:t>(</w:t>
      </w:r>
      <w:r w:rsidRPr="00F001B0">
        <w:rPr>
          <w:i/>
          <w:lang w:val="fr-FR"/>
        </w:rPr>
        <w:t xml:space="preserve">Document </w:t>
      </w:r>
      <w:r w:rsidRPr="00F001B0">
        <w:rPr>
          <w:i/>
          <w:iCs/>
          <w:lang w:val="fr-FR"/>
        </w:rPr>
        <w:t>de référence : document informel INF.30)</w:t>
      </w:r>
    </w:p>
    <w:p w:rsidR="00CC315F" w:rsidRPr="00F001B0" w:rsidRDefault="00CC315F" w:rsidP="00CC315F">
      <w:pPr>
        <w:pStyle w:val="SingleTxtG"/>
        <w:rPr>
          <w:lang w:val="fr-FR"/>
        </w:rPr>
      </w:pPr>
      <w:r w:rsidRPr="00F001B0">
        <w:rPr>
          <w:lang w:val="fr-FR"/>
        </w:rPr>
        <w:t>9.2.4.7.1</w:t>
      </w:r>
      <w:r w:rsidRPr="00F001B0">
        <w:rPr>
          <w:lang w:val="fr-FR"/>
        </w:rPr>
        <w:tab/>
        <w:t>Dans le texte du paragraphe et dans la note de bas de page 7, renumérotée 8), remplacer « Règlement ECE » par : « Règlement ONU ».</w:t>
      </w:r>
    </w:p>
    <w:p w:rsidR="00CC315F" w:rsidRPr="00F001B0" w:rsidRDefault="00CC315F" w:rsidP="00CC315F">
      <w:pPr>
        <w:pStyle w:val="SingleTxtG"/>
        <w:rPr>
          <w:lang w:val="fr-FR"/>
        </w:rPr>
      </w:pPr>
      <w:r w:rsidRPr="00F001B0">
        <w:rPr>
          <w:i/>
          <w:iCs/>
          <w:lang w:val="fr-FR"/>
        </w:rPr>
        <w:t>(</w:t>
      </w:r>
      <w:r w:rsidRPr="00F001B0">
        <w:rPr>
          <w:i/>
          <w:lang w:val="fr-FR"/>
        </w:rPr>
        <w:t xml:space="preserve">Document </w:t>
      </w:r>
      <w:r w:rsidRPr="00F001B0">
        <w:rPr>
          <w:i/>
          <w:iCs/>
          <w:lang w:val="fr-FR"/>
        </w:rPr>
        <w:t>de référence : document informel INF.30)</w:t>
      </w:r>
    </w:p>
    <w:p w:rsidR="00CC315F" w:rsidRPr="00F001B0" w:rsidRDefault="00CC315F" w:rsidP="00CC315F">
      <w:pPr>
        <w:pStyle w:val="SingleTxtG"/>
        <w:tabs>
          <w:tab w:val="left" w:pos="2268"/>
        </w:tabs>
        <w:rPr>
          <w:lang w:val="fr-FR"/>
        </w:rPr>
      </w:pPr>
      <w:r w:rsidRPr="00F001B0">
        <w:rPr>
          <w:lang w:val="fr-FR"/>
        </w:rPr>
        <w:t>9.2.5</w:t>
      </w:r>
      <w:r w:rsidRPr="00F001B0">
        <w:rPr>
          <w:lang w:val="fr-FR"/>
        </w:rPr>
        <w:tab/>
        <w:t>Dans la première phrase et dans la note de bas de page 8, renumérotée 9), remplacer « Règlement ECE » par : « Règlement ONU ».</w:t>
      </w:r>
    </w:p>
    <w:p w:rsidR="00CC315F" w:rsidRPr="00F001B0" w:rsidRDefault="00CC315F" w:rsidP="00CC315F">
      <w:pPr>
        <w:pStyle w:val="SingleTxtG"/>
        <w:rPr>
          <w:i/>
          <w:iCs/>
          <w:lang w:val="fr-FR"/>
        </w:rPr>
      </w:pPr>
      <w:r w:rsidRPr="00F001B0">
        <w:rPr>
          <w:i/>
          <w:iCs/>
          <w:lang w:val="fr-FR"/>
        </w:rPr>
        <w:t>(</w:t>
      </w:r>
      <w:r w:rsidRPr="00F001B0">
        <w:rPr>
          <w:i/>
          <w:lang w:val="fr-FR"/>
        </w:rPr>
        <w:t xml:space="preserve">Document </w:t>
      </w:r>
      <w:r w:rsidRPr="00F001B0">
        <w:rPr>
          <w:i/>
          <w:iCs/>
          <w:lang w:val="fr-FR"/>
        </w:rPr>
        <w:t>de référence : document informel INF.30)</w:t>
      </w:r>
    </w:p>
    <w:p w:rsidR="00CC315F" w:rsidRPr="00F001B0" w:rsidRDefault="00CC315F" w:rsidP="00CC315F">
      <w:pPr>
        <w:pStyle w:val="SingleTxtG"/>
        <w:tabs>
          <w:tab w:val="left" w:pos="2268"/>
        </w:tabs>
        <w:rPr>
          <w:lang w:val="fr-FR"/>
        </w:rPr>
      </w:pPr>
      <w:r w:rsidRPr="00F001B0">
        <w:rPr>
          <w:lang w:val="fr-FR"/>
        </w:rPr>
        <w:t>9.2.6</w:t>
      </w:r>
      <w:r w:rsidRPr="00F001B0">
        <w:rPr>
          <w:lang w:val="fr-FR"/>
        </w:rPr>
        <w:tab/>
        <w:t>Dans le texte du paragraphe et dans la note de bas de page 2), remplacer « Règlement ECE » par : « Règlement ONU ».</w:t>
      </w:r>
    </w:p>
    <w:p w:rsidR="00CC315F" w:rsidRPr="00F001B0" w:rsidRDefault="00CC315F" w:rsidP="00CC315F">
      <w:pPr>
        <w:pStyle w:val="SingleTxtG"/>
        <w:rPr>
          <w:i/>
          <w:iCs/>
          <w:lang w:val="fr-FR"/>
        </w:rPr>
      </w:pPr>
      <w:r w:rsidRPr="00F001B0">
        <w:rPr>
          <w:i/>
          <w:iCs/>
          <w:lang w:val="fr-FR"/>
        </w:rPr>
        <w:t>(</w:t>
      </w:r>
      <w:r w:rsidRPr="00F001B0">
        <w:rPr>
          <w:i/>
          <w:lang w:val="fr-FR"/>
        </w:rPr>
        <w:t xml:space="preserve">Document </w:t>
      </w:r>
      <w:r w:rsidRPr="00F001B0">
        <w:rPr>
          <w:i/>
          <w:iCs/>
          <w:lang w:val="fr-FR"/>
        </w:rPr>
        <w:t>de référence : document informel INF.30)</w:t>
      </w:r>
    </w:p>
    <w:p w:rsidR="00CC315F" w:rsidRPr="00F001B0" w:rsidRDefault="00CC315F" w:rsidP="00CC315F">
      <w:pPr>
        <w:pStyle w:val="H1G"/>
        <w:rPr>
          <w:szCs w:val="24"/>
          <w:lang w:val="fr-FR"/>
        </w:rPr>
      </w:pPr>
      <w:r w:rsidRPr="00F001B0">
        <w:rPr>
          <w:lang w:val="fr-FR"/>
        </w:rPr>
        <w:tab/>
      </w:r>
      <w:r w:rsidRPr="00F001B0">
        <w:rPr>
          <w:lang w:val="fr-FR"/>
        </w:rPr>
        <w:tab/>
        <w:t xml:space="preserve">(ADR :) </w:t>
      </w:r>
      <w:r w:rsidRPr="00F001B0">
        <w:rPr>
          <w:szCs w:val="24"/>
          <w:lang w:val="fr-FR"/>
        </w:rPr>
        <w:t>Chapitre 9.7</w:t>
      </w:r>
    </w:p>
    <w:p w:rsidR="00CC315F" w:rsidRPr="00F001B0" w:rsidRDefault="00CC315F" w:rsidP="00CC315F">
      <w:pPr>
        <w:pStyle w:val="SingleTxtG"/>
        <w:tabs>
          <w:tab w:val="left" w:pos="2268"/>
        </w:tabs>
        <w:rPr>
          <w:lang w:val="fr-FR"/>
        </w:rPr>
      </w:pPr>
      <w:r w:rsidRPr="00F001B0">
        <w:rPr>
          <w:lang w:val="fr-FR"/>
        </w:rPr>
        <w:t>9.7.5.2</w:t>
      </w:r>
      <w:r w:rsidRPr="00F001B0">
        <w:rPr>
          <w:lang w:val="fr-FR"/>
        </w:rPr>
        <w:tab/>
        <w:t>Dans la première phrase et dans la note de bas de page 1), remplacer « Règlement ECE » par : « Règlement ONU ».</w:t>
      </w:r>
    </w:p>
    <w:p w:rsidR="00CC315F" w:rsidRPr="00F001B0" w:rsidRDefault="00CC315F" w:rsidP="00CC315F">
      <w:pPr>
        <w:pStyle w:val="SingleTxtG"/>
        <w:rPr>
          <w:i/>
          <w:iCs/>
          <w:lang w:val="fr-FR"/>
        </w:rPr>
      </w:pPr>
      <w:r w:rsidRPr="00F001B0">
        <w:rPr>
          <w:i/>
          <w:iCs/>
          <w:lang w:val="fr-FR"/>
        </w:rPr>
        <w:t>(</w:t>
      </w:r>
      <w:r w:rsidRPr="00F001B0">
        <w:rPr>
          <w:i/>
          <w:lang w:val="fr-FR"/>
        </w:rPr>
        <w:t xml:space="preserve">Document </w:t>
      </w:r>
      <w:r w:rsidRPr="00F001B0">
        <w:rPr>
          <w:i/>
          <w:iCs/>
          <w:lang w:val="fr-FR"/>
        </w:rPr>
        <w:t>de référence : document informel INF.30)</w:t>
      </w:r>
    </w:p>
    <w:p w:rsidR="00CC315F" w:rsidRPr="00F001B0" w:rsidRDefault="00CC315F" w:rsidP="00786074">
      <w:pPr>
        <w:pStyle w:val="HChG"/>
        <w:rPr>
          <w:lang w:val="fr-FR"/>
        </w:rPr>
      </w:pPr>
      <w:r w:rsidRPr="00F001B0">
        <w:rPr>
          <w:lang w:val="fr-FR"/>
        </w:rPr>
        <w:br w:type="page"/>
      </w:r>
      <w:r w:rsidR="002E1524">
        <w:rPr>
          <w:lang w:val="fr-FR"/>
        </w:rPr>
        <w:tab/>
      </w:r>
      <w:r w:rsidRPr="00F001B0">
        <w:rPr>
          <w:lang w:val="fr-FR"/>
        </w:rPr>
        <w:t>Annexe III</w:t>
      </w:r>
    </w:p>
    <w:p w:rsidR="00CC315F" w:rsidRPr="00F001B0" w:rsidRDefault="00CC315F" w:rsidP="00CC315F">
      <w:pPr>
        <w:pStyle w:val="HChG"/>
        <w:rPr>
          <w:lang w:val="fr-FR"/>
        </w:rPr>
      </w:pPr>
      <w:r w:rsidRPr="00F001B0">
        <w:rPr>
          <w:lang w:val="fr-FR"/>
        </w:rPr>
        <w:tab/>
      </w:r>
      <w:r w:rsidRPr="00F001B0">
        <w:rPr>
          <w:lang w:val="fr-FR"/>
        </w:rPr>
        <w:tab/>
        <w:t>Corrections et modifications aux projets d</w:t>
      </w:r>
      <w:r w:rsidR="008B6F84">
        <w:rPr>
          <w:lang w:val="fr-FR"/>
        </w:rPr>
        <w:t>’</w:t>
      </w:r>
      <w:r w:rsidRPr="00F001B0">
        <w:rPr>
          <w:lang w:val="fr-FR"/>
        </w:rPr>
        <w:t>amendements dans les documents ECE/TRANS/WP.15/240 et OTIF/RID/CE/GTP/2017/15</w:t>
      </w:r>
    </w:p>
    <w:p w:rsidR="00CC315F" w:rsidRPr="00F001B0" w:rsidRDefault="00CC315F" w:rsidP="00CC315F">
      <w:pPr>
        <w:pStyle w:val="H1G"/>
        <w:rPr>
          <w:lang w:val="fr-FR"/>
        </w:rPr>
      </w:pPr>
      <w:r w:rsidRPr="00F001B0">
        <w:rPr>
          <w:lang w:val="fr-FR"/>
        </w:rPr>
        <w:tab/>
        <w:t>A.</w:t>
      </w:r>
      <w:r w:rsidRPr="00F001B0">
        <w:rPr>
          <w:lang w:val="fr-FR"/>
        </w:rPr>
        <w:tab/>
        <w:t>Corrections aux projets d</w:t>
      </w:r>
      <w:r w:rsidR="008B6F84">
        <w:rPr>
          <w:lang w:val="fr-FR"/>
        </w:rPr>
        <w:t>’</w:t>
      </w:r>
      <w:r w:rsidRPr="00F001B0">
        <w:rPr>
          <w:lang w:val="fr-FR"/>
        </w:rPr>
        <w:t>amend</w:t>
      </w:r>
      <w:r w:rsidR="00786074">
        <w:rPr>
          <w:lang w:val="fr-FR"/>
        </w:rPr>
        <w:t>e</w:t>
      </w:r>
      <w:r w:rsidRPr="00F001B0">
        <w:rPr>
          <w:lang w:val="fr-FR"/>
        </w:rPr>
        <w:t>ments dans les documents ECE/TRANS/WP.15/240 et OTIF/RID/CE/GTP/2017/15</w:t>
      </w:r>
    </w:p>
    <w:p w:rsidR="00CC315F" w:rsidRPr="00F001B0" w:rsidRDefault="00CC315F" w:rsidP="00CC315F">
      <w:pPr>
        <w:pStyle w:val="H23G"/>
        <w:rPr>
          <w:lang w:val="fr-FR"/>
        </w:rPr>
      </w:pPr>
      <w:r w:rsidRPr="00F001B0">
        <w:rPr>
          <w:lang w:val="fr-FR"/>
        </w:rPr>
        <w:tab/>
      </w:r>
      <w:r w:rsidRPr="00F001B0">
        <w:rPr>
          <w:lang w:val="fr-FR"/>
        </w:rPr>
        <w:tab/>
        <w:t>Chapitre 1.6, nouvelle mesure transitoire 1.6.3.49</w:t>
      </w:r>
    </w:p>
    <w:p w:rsidR="00CC315F" w:rsidRPr="00F001B0" w:rsidRDefault="00CC315F" w:rsidP="00CC315F">
      <w:pPr>
        <w:pStyle w:val="SingleTxtG"/>
        <w:rPr>
          <w:lang w:val="fr-FR"/>
        </w:rPr>
      </w:pPr>
      <w:r w:rsidRPr="00F001B0">
        <w:rPr>
          <w:i/>
          <w:lang w:val="fr-FR"/>
        </w:rPr>
        <w:t>Remplacer</w:t>
      </w:r>
      <w:r w:rsidRPr="00F001B0">
        <w:rPr>
          <w:lang w:val="fr-FR"/>
        </w:rPr>
        <w:t xml:space="preserve"> « pression nominale du disque de rupture</w:t>
      </w:r>
      <w:r>
        <w:rPr>
          <w:lang w:val="fr-FR"/>
        </w:rPr>
        <w:t> »</w:t>
      </w:r>
      <w:r w:rsidRPr="00F001B0">
        <w:rPr>
          <w:lang w:val="fr-FR"/>
        </w:rPr>
        <w:t xml:space="preserve"> </w:t>
      </w:r>
      <w:r>
        <w:rPr>
          <w:i/>
          <w:lang w:val="fr-FR"/>
        </w:rPr>
        <w:t>par</w:t>
      </w:r>
      <w:r w:rsidRPr="00F001B0">
        <w:rPr>
          <w:lang w:val="fr-FR"/>
        </w:rPr>
        <w:t xml:space="preserve"> </w:t>
      </w:r>
      <w:r>
        <w:rPr>
          <w:lang w:val="fr-FR"/>
        </w:rPr>
        <w:t>« </w:t>
      </w:r>
      <w:r w:rsidRPr="00F001B0">
        <w:rPr>
          <w:lang w:val="fr-FR"/>
        </w:rPr>
        <w:t>pression d</w:t>
      </w:r>
      <w:r w:rsidR="008B6F84">
        <w:rPr>
          <w:lang w:val="fr-FR"/>
        </w:rPr>
        <w:t>’</w:t>
      </w:r>
      <w:r w:rsidRPr="00F001B0">
        <w:rPr>
          <w:lang w:val="fr-FR"/>
        </w:rPr>
        <w:t>éclatement du disque de rupture</w:t>
      </w:r>
      <w:r>
        <w:rPr>
          <w:lang w:val="fr-FR"/>
        </w:rPr>
        <w:t> ».</w:t>
      </w:r>
    </w:p>
    <w:p w:rsidR="00CC315F" w:rsidRPr="00F001B0" w:rsidRDefault="00CC315F" w:rsidP="00CC315F">
      <w:pPr>
        <w:pStyle w:val="SingleTxtG"/>
        <w:rPr>
          <w:i/>
          <w:lang w:val="fr-FR"/>
        </w:rPr>
      </w:pPr>
      <w:r w:rsidRPr="00F001B0">
        <w:rPr>
          <w:i/>
          <w:lang w:val="fr-FR"/>
        </w:rPr>
        <w:t>(Documents de référence : documents informels INF.32/Rev.1 et INF.47)</w:t>
      </w:r>
    </w:p>
    <w:p w:rsidR="00CC315F" w:rsidRPr="00F001B0" w:rsidRDefault="00CC315F" w:rsidP="00CC315F">
      <w:pPr>
        <w:pStyle w:val="H23G"/>
        <w:rPr>
          <w:lang w:val="fr-FR"/>
        </w:rPr>
      </w:pPr>
      <w:r w:rsidRPr="00F001B0">
        <w:rPr>
          <w:lang w:val="fr-FR"/>
        </w:rPr>
        <w:tab/>
      </w:r>
      <w:r w:rsidRPr="00F001B0">
        <w:rPr>
          <w:lang w:val="fr-FR"/>
        </w:rPr>
        <w:tab/>
        <w:t>Chapitre 1.6, nouvelle mesure transitoire 1.6.4.51</w:t>
      </w:r>
    </w:p>
    <w:p w:rsidR="00CC315F" w:rsidRPr="00F001B0" w:rsidRDefault="00CC315F" w:rsidP="00CC315F">
      <w:pPr>
        <w:pStyle w:val="SingleTxtG"/>
        <w:rPr>
          <w:lang w:val="fr-FR"/>
        </w:rPr>
      </w:pPr>
      <w:r w:rsidRPr="00F001B0">
        <w:rPr>
          <w:i/>
          <w:lang w:val="fr-FR"/>
        </w:rPr>
        <w:t xml:space="preserve">Remplacer </w:t>
      </w:r>
      <w:r>
        <w:rPr>
          <w:i/>
          <w:lang w:val="fr-FR"/>
        </w:rPr>
        <w:t>« </w:t>
      </w:r>
      <w:r w:rsidRPr="00F001B0">
        <w:rPr>
          <w:lang w:val="fr-FR"/>
        </w:rPr>
        <w:t>pression nominale du disque de rupture</w:t>
      </w:r>
      <w:r>
        <w:rPr>
          <w:lang w:val="fr-FR"/>
        </w:rPr>
        <w:t> »</w:t>
      </w:r>
      <w:r w:rsidRPr="00F001B0">
        <w:rPr>
          <w:lang w:val="fr-FR"/>
        </w:rPr>
        <w:t xml:space="preserve"> </w:t>
      </w:r>
      <w:r>
        <w:rPr>
          <w:i/>
          <w:lang w:val="fr-FR"/>
        </w:rPr>
        <w:t>par</w:t>
      </w:r>
      <w:r w:rsidRPr="00F001B0">
        <w:rPr>
          <w:lang w:val="fr-FR"/>
        </w:rPr>
        <w:t xml:space="preserve"> </w:t>
      </w:r>
      <w:r>
        <w:rPr>
          <w:lang w:val="fr-FR"/>
        </w:rPr>
        <w:t>« </w:t>
      </w:r>
      <w:r w:rsidRPr="00F001B0">
        <w:rPr>
          <w:lang w:val="fr-FR"/>
        </w:rPr>
        <w:t>pression d</w:t>
      </w:r>
      <w:r w:rsidR="008B6F84">
        <w:rPr>
          <w:lang w:val="fr-FR"/>
        </w:rPr>
        <w:t>’</w:t>
      </w:r>
      <w:r w:rsidRPr="00F001B0">
        <w:rPr>
          <w:lang w:val="fr-FR"/>
        </w:rPr>
        <w:t>éclatement du disque de rupture</w:t>
      </w:r>
      <w:r>
        <w:rPr>
          <w:lang w:val="fr-FR"/>
        </w:rPr>
        <w:t> ».</w:t>
      </w:r>
    </w:p>
    <w:p w:rsidR="00CC315F" w:rsidRPr="00F001B0" w:rsidRDefault="00CC315F" w:rsidP="00CC315F">
      <w:pPr>
        <w:pStyle w:val="SingleTxtG"/>
        <w:rPr>
          <w:i/>
          <w:lang w:val="fr-FR"/>
        </w:rPr>
      </w:pPr>
      <w:r w:rsidRPr="00F001B0">
        <w:rPr>
          <w:i/>
          <w:lang w:val="fr-FR"/>
        </w:rPr>
        <w:t>(Documents de référence : documents informels INF.32/Rev.1 et INF.47)</w:t>
      </w:r>
    </w:p>
    <w:p w:rsidR="00CC315F" w:rsidRPr="00F001B0" w:rsidRDefault="00CC315F" w:rsidP="00CC315F">
      <w:pPr>
        <w:pStyle w:val="H23G"/>
        <w:rPr>
          <w:lang w:val="fr-FR"/>
        </w:rPr>
      </w:pPr>
      <w:r w:rsidRPr="00F001B0">
        <w:rPr>
          <w:lang w:val="fr-FR"/>
        </w:rPr>
        <w:tab/>
      </w:r>
      <w:r w:rsidRPr="00F001B0">
        <w:rPr>
          <w:lang w:val="fr-FR"/>
        </w:rPr>
        <w:tab/>
        <w:t>Chapitre 2.2, amendement au 2.2.9.1.7, nouvel alinéa g)</w:t>
      </w:r>
      <w:r>
        <w:rPr>
          <w:lang w:val="fr-FR"/>
        </w:rPr>
        <w:t xml:space="preserve"> </w:t>
      </w:r>
    </w:p>
    <w:p w:rsidR="00CC315F" w:rsidRPr="00F001B0" w:rsidRDefault="00CC315F" w:rsidP="00CC315F">
      <w:pPr>
        <w:pStyle w:val="SingleTxtG"/>
        <w:rPr>
          <w:lang w:val="fr-FR"/>
        </w:rPr>
      </w:pPr>
      <w:r>
        <w:rPr>
          <w:i/>
          <w:lang w:val="fr-FR"/>
        </w:rPr>
        <w:t>A</w:t>
      </w:r>
      <w:r w:rsidRPr="00F001B0">
        <w:rPr>
          <w:i/>
          <w:lang w:val="fr-FR"/>
        </w:rPr>
        <w:t xml:space="preserve">près </w:t>
      </w:r>
      <w:r w:rsidRPr="00F001B0">
        <w:rPr>
          <w:lang w:val="fr-FR"/>
        </w:rPr>
        <w:t>« piles ou batteries »,</w:t>
      </w:r>
      <w:r>
        <w:rPr>
          <w:i/>
          <w:lang w:val="fr-FR"/>
        </w:rPr>
        <w:t xml:space="preserve"> i</w:t>
      </w:r>
      <w:r w:rsidRPr="00F001B0">
        <w:rPr>
          <w:i/>
          <w:lang w:val="fr-FR"/>
        </w:rPr>
        <w:t>nsérer</w:t>
      </w:r>
      <w:r w:rsidRPr="00F001B0">
        <w:rPr>
          <w:lang w:val="fr-FR"/>
        </w:rPr>
        <w:t xml:space="preserve"> </w:t>
      </w:r>
      <w:r>
        <w:rPr>
          <w:lang w:val="fr-FR"/>
        </w:rPr>
        <w:t>« </w:t>
      </w:r>
      <w:r w:rsidRPr="00F001B0">
        <w:rPr>
          <w:lang w:val="fr-FR"/>
        </w:rPr>
        <w:t>fabriquées après le 30 juin 2003</w:t>
      </w:r>
      <w:r>
        <w:rPr>
          <w:lang w:val="fr-FR"/>
        </w:rPr>
        <w:t> ».</w:t>
      </w:r>
    </w:p>
    <w:p w:rsidR="00CC315F" w:rsidRPr="00F001B0" w:rsidRDefault="00CC315F" w:rsidP="00CC315F">
      <w:pPr>
        <w:pStyle w:val="SingleTxtG"/>
        <w:rPr>
          <w:i/>
          <w:lang w:val="fr-FR"/>
        </w:rPr>
      </w:pPr>
      <w:r w:rsidRPr="00F001B0">
        <w:rPr>
          <w:i/>
          <w:lang w:val="fr-FR"/>
        </w:rPr>
        <w:t>(Document de référence : document informel INF.37)</w:t>
      </w:r>
    </w:p>
    <w:p w:rsidR="00CC315F" w:rsidRPr="00F001B0" w:rsidRDefault="00CC315F" w:rsidP="00CC315F">
      <w:pPr>
        <w:pStyle w:val="H23G"/>
        <w:rPr>
          <w:lang w:val="fr-FR"/>
        </w:rPr>
      </w:pPr>
      <w:r w:rsidRPr="00F001B0">
        <w:rPr>
          <w:lang w:val="fr-FR"/>
        </w:rPr>
        <w:tab/>
      </w:r>
      <w:r w:rsidRPr="00F001B0">
        <w:rPr>
          <w:lang w:val="fr-FR"/>
        </w:rPr>
        <w:tab/>
        <w:t>Chapitre 3.3, nouvelle disposition spéciale 392, à l</w:t>
      </w:r>
      <w:r w:rsidR="008B6F84">
        <w:rPr>
          <w:lang w:val="fr-FR"/>
        </w:rPr>
        <w:t>’</w:t>
      </w:r>
      <w:r w:rsidRPr="00F001B0">
        <w:rPr>
          <w:lang w:val="fr-FR"/>
        </w:rPr>
        <w:t>alinéa a), dans le tableau (six fois)</w:t>
      </w:r>
    </w:p>
    <w:p w:rsidR="00CC315F" w:rsidRPr="00F001B0" w:rsidRDefault="00CC315F" w:rsidP="00CC315F">
      <w:pPr>
        <w:pStyle w:val="SingleTxtG"/>
        <w:rPr>
          <w:lang w:val="fr-FR"/>
        </w:rPr>
      </w:pPr>
      <w:r w:rsidRPr="00F001B0">
        <w:rPr>
          <w:i/>
          <w:lang w:val="fr-FR"/>
        </w:rPr>
        <w:t xml:space="preserve">Remplacer </w:t>
      </w:r>
      <w:r w:rsidRPr="008E527F">
        <w:rPr>
          <w:lang w:val="fr-FR"/>
        </w:rPr>
        <w:t>« </w:t>
      </w:r>
      <w:r w:rsidRPr="00F001B0">
        <w:rPr>
          <w:lang w:val="fr-FR"/>
        </w:rPr>
        <w:t>Règlement ECE</w:t>
      </w:r>
      <w:r>
        <w:rPr>
          <w:lang w:val="fr-FR"/>
        </w:rPr>
        <w:t> »</w:t>
      </w:r>
      <w:r w:rsidRPr="00F001B0">
        <w:rPr>
          <w:lang w:val="fr-FR"/>
        </w:rPr>
        <w:t xml:space="preserve"> </w:t>
      </w:r>
      <w:r>
        <w:rPr>
          <w:i/>
          <w:lang w:val="fr-FR"/>
        </w:rPr>
        <w:t>par</w:t>
      </w:r>
      <w:r w:rsidRPr="00F001B0">
        <w:rPr>
          <w:lang w:val="fr-FR"/>
        </w:rPr>
        <w:t xml:space="preserve"> </w:t>
      </w:r>
      <w:r>
        <w:rPr>
          <w:lang w:val="fr-FR"/>
        </w:rPr>
        <w:t>« </w:t>
      </w:r>
      <w:r w:rsidRPr="00F001B0">
        <w:rPr>
          <w:lang w:val="fr-FR"/>
        </w:rPr>
        <w:t>Règlement ONU</w:t>
      </w:r>
      <w:r>
        <w:rPr>
          <w:lang w:val="fr-FR"/>
        </w:rPr>
        <w:t> ».</w:t>
      </w:r>
    </w:p>
    <w:p w:rsidR="00CC315F" w:rsidRPr="00F001B0" w:rsidRDefault="00CC315F" w:rsidP="00CC315F">
      <w:pPr>
        <w:pStyle w:val="SingleTxtG"/>
        <w:rPr>
          <w:i/>
          <w:iCs/>
          <w:lang w:val="fr-FR"/>
        </w:rPr>
      </w:pPr>
      <w:bookmarkStart w:id="3" w:name="_Hlk516493239"/>
      <w:r w:rsidRPr="00F001B0">
        <w:rPr>
          <w:i/>
          <w:iCs/>
          <w:lang w:val="fr-FR"/>
        </w:rPr>
        <w:t>(</w:t>
      </w:r>
      <w:r w:rsidRPr="00F001B0">
        <w:rPr>
          <w:i/>
          <w:lang w:val="fr-FR"/>
        </w:rPr>
        <w:t xml:space="preserve">Document </w:t>
      </w:r>
      <w:r w:rsidRPr="00F001B0">
        <w:rPr>
          <w:i/>
          <w:iCs/>
          <w:lang w:val="fr-FR"/>
        </w:rPr>
        <w:t>de référence : document informel INF.30)</w:t>
      </w:r>
    </w:p>
    <w:bookmarkEnd w:id="3"/>
    <w:p w:rsidR="00CC315F" w:rsidRPr="00F001B0" w:rsidRDefault="00CC315F" w:rsidP="00CC315F">
      <w:pPr>
        <w:pStyle w:val="H23G"/>
        <w:tabs>
          <w:tab w:val="left" w:pos="2268"/>
        </w:tabs>
        <w:rPr>
          <w:lang w:val="fr-FR"/>
        </w:rPr>
      </w:pPr>
      <w:r w:rsidRPr="00F001B0">
        <w:rPr>
          <w:lang w:val="fr-FR"/>
        </w:rPr>
        <w:tab/>
      </w:r>
      <w:r w:rsidRPr="00F001B0">
        <w:rPr>
          <w:lang w:val="fr-FR"/>
        </w:rPr>
        <w:tab/>
        <w:t>Chapitre 5.3, amendement au 5.3.1.2</w:t>
      </w:r>
    </w:p>
    <w:p w:rsidR="00CC315F" w:rsidRPr="00F001B0" w:rsidRDefault="00CC315F" w:rsidP="00CC315F">
      <w:pPr>
        <w:pStyle w:val="SingleTxtG"/>
        <w:rPr>
          <w:i/>
          <w:lang w:val="fr-FR"/>
        </w:rPr>
      </w:pPr>
      <w:r w:rsidRPr="00F001B0">
        <w:rPr>
          <w:i/>
          <w:lang w:val="fr-FR"/>
        </w:rPr>
        <w:t xml:space="preserve">Remplacer </w:t>
      </w:r>
      <w:r w:rsidRPr="00241598">
        <w:rPr>
          <w:lang w:val="fr-FR"/>
        </w:rPr>
        <w:t>le texte existant par le texte suivant</w:t>
      </w:r>
      <w:r w:rsidRPr="00F001B0">
        <w:rPr>
          <w:i/>
          <w:lang w:val="fr-FR"/>
        </w:rPr>
        <w:t> </w:t>
      </w:r>
      <w:r w:rsidRPr="00241598">
        <w:rPr>
          <w:lang w:val="fr-FR"/>
        </w:rPr>
        <w:t>:</w:t>
      </w:r>
    </w:p>
    <w:p w:rsidR="00CC315F" w:rsidRPr="00F001B0" w:rsidRDefault="00CC315F" w:rsidP="00CC315F">
      <w:pPr>
        <w:pStyle w:val="SingleTxtG"/>
        <w:rPr>
          <w:lang w:val="fr-FR"/>
        </w:rPr>
      </w:pPr>
      <w:r w:rsidRPr="00F001B0">
        <w:rPr>
          <w:lang w:val="fr-FR"/>
        </w:rPr>
        <w:t>(RID :)</w:t>
      </w:r>
    </w:p>
    <w:p w:rsidR="00CC315F" w:rsidRPr="00252CE7" w:rsidRDefault="00CC315F" w:rsidP="00CC315F">
      <w:pPr>
        <w:pStyle w:val="SingleTxtG"/>
        <w:tabs>
          <w:tab w:val="left" w:pos="2268"/>
        </w:tabs>
        <w:rPr>
          <w:lang w:val="fr-FR"/>
        </w:rPr>
      </w:pPr>
      <w:bookmarkStart w:id="4" w:name="_Hlk509839470"/>
      <w:r w:rsidRPr="00F001B0">
        <w:rPr>
          <w:lang w:val="fr-FR"/>
        </w:rPr>
        <w:t>5.3.1.2</w:t>
      </w:r>
      <w:r w:rsidRPr="00F001B0">
        <w:rPr>
          <w:lang w:val="fr-FR"/>
        </w:rPr>
        <w:tab/>
      </w:r>
      <w:bookmarkEnd w:id="4"/>
      <w:r w:rsidRPr="00252CE7">
        <w:rPr>
          <w:lang w:val="fr-FR"/>
        </w:rPr>
        <w:t>Dans le titre, après « grand conteneurs » ajouter « conteneurs pour vrac, ».</w:t>
      </w:r>
    </w:p>
    <w:p w:rsidR="00CC315F" w:rsidRPr="00252CE7" w:rsidRDefault="00CC315F" w:rsidP="00CC315F">
      <w:pPr>
        <w:pStyle w:val="SingleTxtG"/>
        <w:rPr>
          <w:lang w:val="fr-FR"/>
        </w:rPr>
      </w:pPr>
      <w:r w:rsidRPr="00F001B0">
        <w:rPr>
          <w:lang w:val="fr-FR"/>
        </w:rPr>
        <w:t>5.3.1.2</w:t>
      </w:r>
      <w:r w:rsidRPr="00F001B0">
        <w:rPr>
          <w:lang w:val="fr-FR"/>
        </w:rPr>
        <w:tab/>
      </w:r>
      <w:r w:rsidRPr="00F001B0">
        <w:rPr>
          <w:lang w:val="fr-FR"/>
        </w:rPr>
        <w:tab/>
      </w:r>
      <w:r w:rsidRPr="00252CE7">
        <w:rPr>
          <w:lang w:val="fr-FR"/>
        </w:rPr>
        <w:t>Modifier la première phrase pour lire comme suit :</w:t>
      </w:r>
    </w:p>
    <w:p w:rsidR="00CC315F" w:rsidRPr="00F001B0" w:rsidRDefault="00CC315F" w:rsidP="00CC315F">
      <w:pPr>
        <w:pStyle w:val="SingleTxtG"/>
        <w:rPr>
          <w:lang w:val="fr-FR"/>
        </w:rPr>
      </w:pPr>
      <w:r w:rsidRPr="00F001B0">
        <w:rPr>
          <w:lang w:val="fr-FR"/>
        </w:rPr>
        <w:t>« Les plaques-étiquettes doivent être apposées des deux côtés et à chaque extrémité du grand conteneur, du conteneur pour vrac, du CGEM, du conteneur-citerne ou de la citerne mobile et sur deux côtés opposés dans le cas des conteneurs pour vrac souples. ».</w:t>
      </w:r>
    </w:p>
    <w:p w:rsidR="00CC315F" w:rsidRPr="008E527F" w:rsidRDefault="00CC315F" w:rsidP="00CC315F">
      <w:pPr>
        <w:spacing w:after="120"/>
        <w:ind w:left="1134" w:right="1134"/>
        <w:jc w:val="both"/>
        <w:rPr>
          <w:i/>
          <w:iCs/>
          <w:lang w:val="fr-FR"/>
        </w:rPr>
      </w:pPr>
      <w:r w:rsidRPr="008E527F">
        <w:rPr>
          <w:i/>
          <w:iCs/>
          <w:lang w:val="fr-FR"/>
        </w:rPr>
        <w:t>(</w:t>
      </w:r>
      <w:r w:rsidRPr="008E527F">
        <w:rPr>
          <w:i/>
          <w:lang w:val="fr-FR"/>
        </w:rPr>
        <w:t xml:space="preserve">Document </w:t>
      </w:r>
      <w:r w:rsidRPr="008E527F">
        <w:rPr>
          <w:i/>
          <w:iCs/>
          <w:lang w:val="fr-FR"/>
        </w:rPr>
        <w:t>de référence : document informel INF.</w:t>
      </w:r>
      <w:r>
        <w:rPr>
          <w:i/>
          <w:iCs/>
          <w:lang w:val="fr-FR"/>
        </w:rPr>
        <w:t>2</w:t>
      </w:r>
      <w:r w:rsidRPr="008E527F">
        <w:rPr>
          <w:i/>
          <w:iCs/>
          <w:lang w:val="fr-FR"/>
        </w:rPr>
        <w:t>0)</w:t>
      </w:r>
    </w:p>
    <w:p w:rsidR="00CC315F" w:rsidRPr="00F001B0" w:rsidRDefault="00CC315F" w:rsidP="00CC315F">
      <w:pPr>
        <w:pStyle w:val="SingleTxtG"/>
        <w:rPr>
          <w:lang w:val="fr-FR"/>
        </w:rPr>
      </w:pPr>
      <w:r w:rsidRPr="00F001B0">
        <w:rPr>
          <w:lang w:val="fr-FR"/>
        </w:rPr>
        <w:t>(ADR :)</w:t>
      </w:r>
    </w:p>
    <w:p w:rsidR="00CC315F" w:rsidRPr="00252CE7" w:rsidRDefault="00CC315F" w:rsidP="00CC315F">
      <w:pPr>
        <w:pStyle w:val="SingleTxtG"/>
        <w:rPr>
          <w:lang w:val="fr-FR"/>
        </w:rPr>
      </w:pPr>
      <w:r w:rsidRPr="00F001B0">
        <w:rPr>
          <w:lang w:val="fr-FR"/>
        </w:rPr>
        <w:t>5.3.1.2</w:t>
      </w:r>
      <w:r w:rsidRPr="00F001B0">
        <w:rPr>
          <w:lang w:val="fr-FR"/>
        </w:rPr>
        <w:tab/>
      </w:r>
      <w:r w:rsidRPr="00F001B0">
        <w:rPr>
          <w:lang w:val="fr-FR"/>
        </w:rPr>
        <w:tab/>
      </w:r>
      <w:r w:rsidRPr="00252CE7">
        <w:rPr>
          <w:lang w:val="fr-FR"/>
        </w:rPr>
        <w:t>Dans le titre, après « conteneurs, » ajouter « conteneurs pour vrac, ».</w:t>
      </w:r>
    </w:p>
    <w:p w:rsidR="00CC315F" w:rsidRPr="00252CE7" w:rsidRDefault="00CC315F" w:rsidP="00CC315F">
      <w:pPr>
        <w:pStyle w:val="SingleTxtG"/>
        <w:rPr>
          <w:lang w:val="fr-FR"/>
        </w:rPr>
      </w:pPr>
      <w:r w:rsidRPr="00252CE7">
        <w:rPr>
          <w:lang w:val="fr-FR"/>
        </w:rPr>
        <w:t>5.3.1.2</w:t>
      </w:r>
      <w:r w:rsidRPr="00252CE7">
        <w:rPr>
          <w:lang w:val="fr-FR"/>
        </w:rPr>
        <w:tab/>
      </w:r>
      <w:r w:rsidRPr="00252CE7">
        <w:rPr>
          <w:lang w:val="fr-FR"/>
        </w:rPr>
        <w:tab/>
        <w:t xml:space="preserve">Modifier le premier paragraphe figurant après le </w:t>
      </w:r>
      <w:r w:rsidR="00252CE7" w:rsidRPr="00252CE7">
        <w:rPr>
          <w:lang w:val="fr-FR"/>
        </w:rPr>
        <w:t>n</w:t>
      </w:r>
      <w:r w:rsidRPr="00252CE7">
        <w:rPr>
          <w:lang w:val="fr-FR"/>
        </w:rPr>
        <w:t>ota, comme suit :</w:t>
      </w:r>
    </w:p>
    <w:p w:rsidR="00CC315F" w:rsidRPr="00F001B0" w:rsidRDefault="00CC315F" w:rsidP="00CC315F">
      <w:pPr>
        <w:pStyle w:val="SingleTxtG"/>
        <w:rPr>
          <w:lang w:val="fr-FR"/>
        </w:rPr>
      </w:pPr>
      <w:r w:rsidRPr="00F001B0">
        <w:rPr>
          <w:lang w:val="fr-FR"/>
        </w:rPr>
        <w:t>« Les plaques-étiquettes doivent être apposées des deux côtés et à chaque extrémité du conteneur, du conteneur pour vrac, du CGEM, du conteneur-citerne ou de la citerne mobile et sur deux côtés opposés dans le cas des conteneurs pour vrac souples. ».</w:t>
      </w:r>
    </w:p>
    <w:p w:rsidR="00CC315F" w:rsidRPr="00F001B0" w:rsidRDefault="00CC315F" w:rsidP="00CC315F">
      <w:pPr>
        <w:pStyle w:val="SingleTxtG"/>
        <w:rPr>
          <w:i/>
          <w:lang w:val="fr-FR"/>
        </w:rPr>
      </w:pPr>
      <w:r w:rsidRPr="00F001B0">
        <w:rPr>
          <w:i/>
          <w:lang w:val="fr-FR"/>
        </w:rPr>
        <w:t>(Document de référence : document informel INF.20)</w:t>
      </w:r>
    </w:p>
    <w:p w:rsidR="00CC315F" w:rsidRPr="00F001B0" w:rsidRDefault="00314536" w:rsidP="000B6C58">
      <w:pPr>
        <w:pStyle w:val="H23G"/>
        <w:spacing w:line="220" w:lineRule="exact"/>
        <w:rPr>
          <w:lang w:val="fr-FR"/>
        </w:rPr>
      </w:pPr>
      <w:r>
        <w:rPr>
          <w:lang w:val="fr-FR"/>
        </w:rPr>
        <w:tab/>
      </w:r>
      <w:r>
        <w:rPr>
          <w:lang w:val="fr-FR"/>
        </w:rPr>
        <w:tab/>
      </w:r>
      <w:r w:rsidR="00CC315F" w:rsidRPr="00F001B0">
        <w:rPr>
          <w:lang w:val="fr-FR"/>
        </w:rPr>
        <w:t>Chapitre 6.8, 6.8.2.1.23, premier amendement</w:t>
      </w:r>
    </w:p>
    <w:p w:rsidR="00CC315F" w:rsidRPr="00F001B0" w:rsidRDefault="00CC315F" w:rsidP="00D34764">
      <w:pPr>
        <w:pStyle w:val="SingleTxtG"/>
        <w:keepNext/>
        <w:rPr>
          <w:lang w:val="fr-FR"/>
        </w:rPr>
      </w:pPr>
      <w:bookmarkStart w:id="5" w:name="_Hlk516492952"/>
      <w:r w:rsidRPr="00F001B0">
        <w:rPr>
          <w:i/>
          <w:lang w:val="fr-FR"/>
        </w:rPr>
        <w:t xml:space="preserve">Remplacer </w:t>
      </w:r>
      <w:r w:rsidRPr="00F90428">
        <w:rPr>
          <w:lang w:val="fr-FR"/>
        </w:rPr>
        <w:t>le texte existant par</w:t>
      </w:r>
      <w:r w:rsidRPr="00F001B0">
        <w:rPr>
          <w:i/>
          <w:lang w:val="fr-FR"/>
        </w:rPr>
        <w:t> </w:t>
      </w:r>
      <w:r>
        <w:rPr>
          <w:lang w:val="fr-FR"/>
        </w:rPr>
        <w:t>:</w:t>
      </w:r>
    </w:p>
    <w:bookmarkEnd w:id="5"/>
    <w:p w:rsidR="00CC315F" w:rsidRPr="00D34764" w:rsidRDefault="00CC315F" w:rsidP="00CC315F">
      <w:pPr>
        <w:pStyle w:val="SingleTxtG"/>
        <w:rPr>
          <w:lang w:val="fr-FR"/>
        </w:rPr>
      </w:pPr>
      <w:r w:rsidRPr="00EC6379">
        <w:t>6.8.2.1.23</w:t>
      </w:r>
      <w:r w:rsidRPr="00EC6379">
        <w:tab/>
      </w:r>
      <w:r w:rsidRPr="00D34764">
        <w:rPr>
          <w:lang w:val="fr-FR"/>
        </w:rPr>
        <w:t>Remplacer</w:t>
      </w:r>
      <w:r w:rsidRPr="00D34764">
        <w:rPr>
          <w:b/>
          <w:lang w:val="fr-FR"/>
        </w:rPr>
        <w:t xml:space="preserve"> </w:t>
      </w:r>
      <w:r w:rsidRPr="00D34764">
        <w:rPr>
          <w:lang w:val="fr-FR"/>
        </w:rPr>
        <w:t>les deux premières phrases du premier paragraphe par le texte suivant :</w:t>
      </w:r>
    </w:p>
    <w:p w:rsidR="00CC315F" w:rsidRPr="00F001B0" w:rsidRDefault="00CC315F" w:rsidP="00CC315F">
      <w:pPr>
        <w:pStyle w:val="SingleTxtG"/>
        <w:rPr>
          <w:iCs/>
          <w:lang w:val="fr-FR"/>
        </w:rPr>
      </w:pPr>
      <w:r w:rsidRPr="00F001B0">
        <w:rPr>
          <w:lang w:val="fr-FR"/>
        </w:rPr>
        <w:t>« </w:t>
      </w:r>
      <w:r w:rsidRPr="00F001B0">
        <w:rPr>
          <w:iCs/>
          <w:lang w:val="fr-FR"/>
        </w:rPr>
        <w:t>L</w:t>
      </w:r>
      <w:r w:rsidR="008B6F84">
        <w:rPr>
          <w:iCs/>
          <w:lang w:val="fr-FR"/>
        </w:rPr>
        <w:t>’</w:t>
      </w:r>
      <w:r w:rsidRPr="00F001B0">
        <w:rPr>
          <w:iCs/>
          <w:lang w:val="fr-FR"/>
        </w:rPr>
        <w:t>aptitude du constructeur à réaliser des travaux de soudure doit être vérifiée et confirmée par l</w:t>
      </w:r>
      <w:r w:rsidR="008B6F84">
        <w:rPr>
          <w:iCs/>
          <w:lang w:val="fr-FR"/>
        </w:rPr>
        <w:t>’</w:t>
      </w:r>
      <w:r w:rsidRPr="00F001B0">
        <w:rPr>
          <w:iCs/>
          <w:lang w:val="fr-FR"/>
        </w:rPr>
        <w:t>autorité compétente ou par l</w:t>
      </w:r>
      <w:r w:rsidR="008B6F84">
        <w:rPr>
          <w:iCs/>
          <w:lang w:val="fr-FR"/>
        </w:rPr>
        <w:t>’</w:t>
      </w:r>
      <w:r w:rsidRPr="00F001B0">
        <w:rPr>
          <w:iCs/>
          <w:lang w:val="fr-FR"/>
        </w:rPr>
        <w:t>organisme désigné par elle. L</w:t>
      </w:r>
      <w:r w:rsidR="008B6F84">
        <w:rPr>
          <w:iCs/>
          <w:lang w:val="fr-FR"/>
        </w:rPr>
        <w:t>’</w:t>
      </w:r>
      <w:r w:rsidRPr="00F001B0">
        <w:rPr>
          <w:iCs/>
          <w:lang w:val="fr-FR"/>
        </w:rPr>
        <w:t>aptitude de l</w:t>
      </w:r>
      <w:r w:rsidR="008B6F84">
        <w:rPr>
          <w:iCs/>
          <w:lang w:val="fr-FR"/>
        </w:rPr>
        <w:t>’</w:t>
      </w:r>
      <w:r w:rsidRPr="00F001B0">
        <w:rPr>
          <w:iCs/>
          <w:lang w:val="fr-FR"/>
        </w:rPr>
        <w:t>atelier de maintenance ou de réparation à réaliser des travaux de soudure doit être vérifiée et confirmée par l</w:t>
      </w:r>
      <w:r w:rsidR="008B6F84">
        <w:rPr>
          <w:iCs/>
          <w:lang w:val="fr-FR"/>
        </w:rPr>
        <w:t>’</w:t>
      </w:r>
      <w:r w:rsidRPr="00F001B0">
        <w:rPr>
          <w:iCs/>
          <w:lang w:val="fr-FR"/>
        </w:rPr>
        <w:t xml:space="preserve">organisme de contrôle conformément au 6.8.2.4.5. </w:t>
      </w:r>
      <w:r w:rsidRPr="00F001B0">
        <w:rPr>
          <w:lang w:val="fr-FR"/>
        </w:rPr>
        <w:t>Un système d</w:t>
      </w:r>
      <w:r w:rsidR="008B6F84">
        <w:rPr>
          <w:lang w:val="fr-FR"/>
        </w:rPr>
        <w:t>’</w:t>
      </w:r>
      <w:r w:rsidRPr="00F001B0">
        <w:rPr>
          <w:lang w:val="fr-FR"/>
        </w:rPr>
        <w:t xml:space="preserve">assurance qualité du soudage doit être mis en place par le constructeur ou </w:t>
      </w:r>
      <w:r w:rsidRPr="00F001B0">
        <w:rPr>
          <w:iCs/>
          <w:lang w:val="fr-FR"/>
        </w:rPr>
        <w:t>l</w:t>
      </w:r>
      <w:r w:rsidR="008B6F84">
        <w:rPr>
          <w:iCs/>
          <w:lang w:val="fr-FR"/>
        </w:rPr>
        <w:t>’</w:t>
      </w:r>
      <w:r w:rsidRPr="00F001B0">
        <w:rPr>
          <w:iCs/>
          <w:lang w:val="fr-FR"/>
        </w:rPr>
        <w:t>atelier de maintenance ou de réparation</w:t>
      </w:r>
      <w:r w:rsidRPr="00F001B0">
        <w:rPr>
          <w:lang w:val="fr-FR"/>
        </w:rPr>
        <w:t>.</w:t>
      </w:r>
      <w:r w:rsidRPr="00F001B0">
        <w:rPr>
          <w:iCs/>
          <w:lang w:val="fr-FR"/>
        </w:rPr>
        <w:t> ».</w:t>
      </w:r>
    </w:p>
    <w:p w:rsidR="00CC315F" w:rsidRPr="00F001B0" w:rsidRDefault="00CC315F" w:rsidP="00CC315F">
      <w:pPr>
        <w:pStyle w:val="SingleTxtG"/>
        <w:rPr>
          <w:b/>
          <w:lang w:val="fr-FR"/>
        </w:rPr>
      </w:pPr>
      <w:r w:rsidRPr="00F001B0">
        <w:rPr>
          <w:i/>
          <w:iCs/>
          <w:lang w:val="fr-FR"/>
        </w:rPr>
        <w:t>(</w:t>
      </w:r>
      <w:r w:rsidRPr="00F001B0">
        <w:rPr>
          <w:i/>
          <w:lang w:val="fr-FR"/>
        </w:rPr>
        <w:t xml:space="preserve">Documents </w:t>
      </w:r>
      <w:r w:rsidRPr="00F001B0">
        <w:rPr>
          <w:i/>
          <w:iCs/>
          <w:lang w:val="fr-FR"/>
        </w:rPr>
        <w:t>de référence : ECE/TRANS/WP.15/AC.1/2018/9 et document informel INF.47)</w:t>
      </w:r>
    </w:p>
    <w:p w:rsidR="00CC315F" w:rsidRPr="00F001B0" w:rsidRDefault="00CC315F" w:rsidP="000B6C58">
      <w:pPr>
        <w:pStyle w:val="H23G"/>
        <w:spacing w:line="220" w:lineRule="exact"/>
        <w:rPr>
          <w:lang w:val="fr-FR"/>
        </w:rPr>
      </w:pPr>
      <w:r w:rsidRPr="00F001B0">
        <w:rPr>
          <w:lang w:val="fr-FR"/>
        </w:rPr>
        <w:tab/>
      </w:r>
      <w:r w:rsidRPr="00F001B0">
        <w:rPr>
          <w:lang w:val="fr-FR"/>
        </w:rPr>
        <w:tab/>
        <w:t>Chapitr</w:t>
      </w:r>
      <w:r w:rsidR="00314536">
        <w:rPr>
          <w:lang w:val="fr-FR"/>
        </w:rPr>
        <w:t>e 6.8, amendement au 6.8.2.2.10</w:t>
      </w:r>
    </w:p>
    <w:p w:rsidR="00CC315F" w:rsidRPr="00F001B0" w:rsidRDefault="00CC315F" w:rsidP="00CC315F">
      <w:pPr>
        <w:pStyle w:val="SingleTxtG"/>
        <w:rPr>
          <w:lang w:val="fr-FR"/>
        </w:rPr>
      </w:pPr>
      <w:r w:rsidRPr="00F001B0">
        <w:rPr>
          <w:i/>
          <w:lang w:val="fr-FR"/>
        </w:rPr>
        <w:t xml:space="preserve">Remplacer </w:t>
      </w:r>
      <w:r w:rsidRPr="00F90428">
        <w:rPr>
          <w:lang w:val="fr-FR"/>
        </w:rPr>
        <w:t>le texte existant par</w:t>
      </w:r>
      <w:r w:rsidRPr="00F001B0">
        <w:rPr>
          <w:i/>
          <w:lang w:val="fr-FR"/>
        </w:rPr>
        <w:t> </w:t>
      </w:r>
      <w:r>
        <w:rPr>
          <w:lang w:val="fr-FR"/>
        </w:rPr>
        <w:t>:</w:t>
      </w:r>
    </w:p>
    <w:p w:rsidR="00CC315F" w:rsidRPr="00F90428" w:rsidRDefault="00CC315F" w:rsidP="00CC315F">
      <w:pPr>
        <w:pStyle w:val="SingleTxtG"/>
        <w:rPr>
          <w:lang w:val="fr-FR"/>
        </w:rPr>
      </w:pPr>
      <w:r w:rsidRPr="00F001B0">
        <w:rPr>
          <w:lang w:val="fr-FR"/>
        </w:rPr>
        <w:t>6.8.2.2.10</w:t>
      </w:r>
      <w:r w:rsidRPr="00F001B0">
        <w:rPr>
          <w:lang w:val="fr-FR"/>
        </w:rPr>
        <w:tab/>
      </w:r>
      <w:r w:rsidRPr="00F90428">
        <w:rPr>
          <w:lang w:val="fr-FR"/>
        </w:rPr>
        <w:t>Modifier le deuxième paragraphe, comme suit :</w:t>
      </w:r>
    </w:p>
    <w:p w:rsidR="00CC315F" w:rsidRPr="00F001B0" w:rsidRDefault="00CC315F" w:rsidP="00CC315F">
      <w:pPr>
        <w:pStyle w:val="SingleTxtG"/>
        <w:rPr>
          <w:lang w:val="fr-FR"/>
        </w:rPr>
      </w:pPr>
      <w:r w:rsidRPr="00F001B0">
        <w:rPr>
          <w:lang w:val="fr-FR"/>
        </w:rPr>
        <w:t>« Sauf pour les citernes destinées au transport de gaz comprimés, liquéfiés ou dissous pour lesquelles la disposition du disque de rupture et de la soupape de sécurité doit satisfaire l</w:t>
      </w:r>
      <w:r w:rsidR="008B6F84">
        <w:rPr>
          <w:lang w:val="fr-FR"/>
        </w:rPr>
        <w:t>’</w:t>
      </w:r>
      <w:r w:rsidRPr="00F001B0">
        <w:rPr>
          <w:lang w:val="fr-FR"/>
        </w:rPr>
        <w:t>autorité compétente, les pressions d</w:t>
      </w:r>
      <w:r w:rsidR="008B6F84">
        <w:rPr>
          <w:lang w:val="fr-FR"/>
        </w:rPr>
        <w:t>’</w:t>
      </w:r>
      <w:r w:rsidRPr="00F001B0">
        <w:rPr>
          <w:lang w:val="fr-FR"/>
        </w:rPr>
        <w:t>éclatement des disques de rupture doivent respecter les règles suivantes :</w:t>
      </w:r>
    </w:p>
    <w:p w:rsidR="00CC315F" w:rsidRPr="00F001B0" w:rsidRDefault="00CC315F" w:rsidP="00CC315F">
      <w:pPr>
        <w:pStyle w:val="SingleTxtG"/>
        <w:rPr>
          <w:lang w:val="fr-FR"/>
        </w:rPr>
      </w:pPr>
      <w:r w:rsidRPr="00F001B0">
        <w:rPr>
          <w:lang w:val="fr-FR"/>
        </w:rPr>
        <w:t>-</w:t>
      </w:r>
      <w:r w:rsidRPr="00F001B0">
        <w:rPr>
          <w:lang w:val="fr-FR"/>
        </w:rPr>
        <w:tab/>
      </w:r>
      <w:r w:rsidR="00AE3B1A">
        <w:rPr>
          <w:lang w:val="fr-FR"/>
        </w:rPr>
        <w:t>L</w:t>
      </w:r>
      <w:r w:rsidRPr="00F001B0">
        <w:rPr>
          <w:lang w:val="fr-FR"/>
        </w:rPr>
        <w:t>a pression minimale d</w:t>
      </w:r>
      <w:r w:rsidR="008B6F84">
        <w:rPr>
          <w:lang w:val="fr-FR"/>
        </w:rPr>
        <w:t>’</w:t>
      </w:r>
      <w:r w:rsidRPr="00F001B0">
        <w:rPr>
          <w:lang w:val="fr-FR"/>
        </w:rPr>
        <w:t>éclatement à 20</w:t>
      </w:r>
      <w:r w:rsidR="00D325C1">
        <w:rPr>
          <w:lang w:val="fr-FR"/>
        </w:rPr>
        <w:t> </w:t>
      </w:r>
      <w:r w:rsidRPr="00F001B0">
        <w:rPr>
          <w:lang w:val="fr-FR"/>
        </w:rPr>
        <w:t>°C, tolérances incluses, doit être supérieure ou égale à 0,8 fois la pression d</w:t>
      </w:r>
      <w:r w:rsidR="008B6F84">
        <w:rPr>
          <w:lang w:val="fr-FR"/>
        </w:rPr>
        <w:t>’</w:t>
      </w:r>
      <w:r w:rsidRPr="00F001B0">
        <w:rPr>
          <w:lang w:val="fr-FR"/>
        </w:rPr>
        <w:t>épreuve,</w:t>
      </w:r>
    </w:p>
    <w:p w:rsidR="00CC315F" w:rsidRPr="00F001B0" w:rsidRDefault="00CC315F" w:rsidP="00CC315F">
      <w:pPr>
        <w:pStyle w:val="SingleTxtG"/>
        <w:rPr>
          <w:lang w:val="fr-FR"/>
        </w:rPr>
      </w:pPr>
      <w:r w:rsidRPr="00F001B0">
        <w:rPr>
          <w:lang w:val="fr-FR"/>
        </w:rPr>
        <w:t>-</w:t>
      </w:r>
      <w:r w:rsidRPr="00F001B0">
        <w:rPr>
          <w:lang w:val="fr-FR"/>
        </w:rPr>
        <w:tab/>
      </w:r>
      <w:r w:rsidR="00D325C1">
        <w:rPr>
          <w:lang w:val="fr-FR"/>
        </w:rPr>
        <w:t>L</w:t>
      </w:r>
      <w:r w:rsidRPr="00F001B0">
        <w:rPr>
          <w:lang w:val="fr-FR"/>
        </w:rPr>
        <w:t>a pression maximale d</w:t>
      </w:r>
      <w:r w:rsidR="008B6F84">
        <w:rPr>
          <w:lang w:val="fr-FR"/>
        </w:rPr>
        <w:t>’</w:t>
      </w:r>
      <w:r w:rsidRPr="00F001B0">
        <w:rPr>
          <w:lang w:val="fr-FR"/>
        </w:rPr>
        <w:t>éclatement à 20</w:t>
      </w:r>
      <w:r w:rsidR="00D325C1">
        <w:rPr>
          <w:lang w:val="fr-FR"/>
        </w:rPr>
        <w:t> </w:t>
      </w:r>
      <w:r w:rsidRPr="00F001B0">
        <w:rPr>
          <w:lang w:val="fr-FR"/>
        </w:rPr>
        <w:t>°C, tolérances incluses, doit être inférieure ou égale à 1,1 fois la pression d</w:t>
      </w:r>
      <w:r w:rsidR="008B6F84">
        <w:rPr>
          <w:lang w:val="fr-FR"/>
        </w:rPr>
        <w:t>’</w:t>
      </w:r>
      <w:r w:rsidRPr="00F001B0">
        <w:rPr>
          <w:lang w:val="fr-FR"/>
        </w:rPr>
        <w:t>épreuve, et</w:t>
      </w:r>
    </w:p>
    <w:p w:rsidR="00CC315F" w:rsidRPr="00F001B0" w:rsidRDefault="00CC315F" w:rsidP="00CC315F">
      <w:pPr>
        <w:pStyle w:val="SingleTxtG"/>
        <w:rPr>
          <w:lang w:val="fr-FR"/>
        </w:rPr>
      </w:pPr>
      <w:r w:rsidRPr="00F001B0">
        <w:rPr>
          <w:lang w:val="fr-FR"/>
        </w:rPr>
        <w:t>-</w:t>
      </w:r>
      <w:r w:rsidRPr="00F001B0">
        <w:rPr>
          <w:lang w:val="fr-FR"/>
        </w:rPr>
        <w:tab/>
      </w:r>
      <w:r w:rsidR="00D325C1">
        <w:rPr>
          <w:lang w:val="fr-FR"/>
        </w:rPr>
        <w:t>L</w:t>
      </w:r>
      <w:r w:rsidRPr="00F001B0">
        <w:rPr>
          <w:lang w:val="fr-FR"/>
        </w:rPr>
        <w:t>a pression d</w:t>
      </w:r>
      <w:r w:rsidR="008B6F84">
        <w:rPr>
          <w:lang w:val="fr-FR"/>
        </w:rPr>
        <w:t>’</w:t>
      </w:r>
      <w:r w:rsidRPr="00F001B0">
        <w:rPr>
          <w:lang w:val="fr-FR"/>
        </w:rPr>
        <w:t>éclatement à la température maximale de service doit être supérieure à la pression maximale de service.</w:t>
      </w:r>
    </w:p>
    <w:p w:rsidR="00CC315F" w:rsidRPr="00F001B0" w:rsidRDefault="00CC315F" w:rsidP="00CC315F">
      <w:pPr>
        <w:pStyle w:val="SingleTxtG"/>
        <w:rPr>
          <w:lang w:val="fr-FR"/>
        </w:rPr>
      </w:pPr>
      <w:r w:rsidRPr="00F001B0">
        <w:rPr>
          <w:lang w:val="fr-FR"/>
        </w:rPr>
        <w:t>Un manomètre ou un autre indicateur approprié doit être installé dans l</w:t>
      </w:r>
      <w:r w:rsidR="008B6F84">
        <w:rPr>
          <w:lang w:val="fr-FR"/>
        </w:rPr>
        <w:t>’</w:t>
      </w:r>
      <w:r w:rsidRPr="00F001B0">
        <w:rPr>
          <w:lang w:val="fr-FR"/>
        </w:rPr>
        <w:t>espace entre le disque de rupture et la soupape de sécurité pour permettre de détecter une rupture, une perforation ou une fuite du disque. ».</w:t>
      </w:r>
    </w:p>
    <w:p w:rsidR="00CC315F" w:rsidRPr="00F001B0" w:rsidRDefault="00CC315F" w:rsidP="00CC315F">
      <w:pPr>
        <w:pStyle w:val="SingleTxtG"/>
        <w:rPr>
          <w:i/>
          <w:iCs/>
          <w:lang w:val="fr-FR"/>
        </w:rPr>
      </w:pPr>
      <w:r w:rsidRPr="00F001B0">
        <w:rPr>
          <w:i/>
          <w:iCs/>
          <w:lang w:val="fr-FR"/>
        </w:rPr>
        <w:t>(</w:t>
      </w:r>
      <w:r w:rsidRPr="00F001B0">
        <w:rPr>
          <w:i/>
          <w:lang w:val="fr-FR"/>
        </w:rPr>
        <w:t xml:space="preserve">Documents </w:t>
      </w:r>
      <w:r w:rsidRPr="00F001B0">
        <w:rPr>
          <w:i/>
          <w:iCs/>
          <w:lang w:val="fr-FR"/>
        </w:rPr>
        <w:t>de référence : documents informels INF.32/Rev.1 et INF.47, tel qu</w:t>
      </w:r>
      <w:r w:rsidR="008B6F84">
        <w:rPr>
          <w:i/>
          <w:iCs/>
          <w:lang w:val="fr-FR"/>
        </w:rPr>
        <w:t>’</w:t>
      </w:r>
      <w:r w:rsidRPr="00F001B0">
        <w:rPr>
          <w:i/>
          <w:iCs/>
          <w:lang w:val="fr-FR"/>
        </w:rPr>
        <w:t>amendé)</w:t>
      </w:r>
    </w:p>
    <w:p w:rsidR="00CC315F" w:rsidRPr="00F001B0" w:rsidRDefault="00CC315F" w:rsidP="000B6C58">
      <w:pPr>
        <w:pStyle w:val="H23G"/>
        <w:spacing w:line="220" w:lineRule="exact"/>
        <w:rPr>
          <w:lang w:val="fr-FR"/>
        </w:rPr>
      </w:pPr>
      <w:r w:rsidRPr="00F001B0">
        <w:rPr>
          <w:lang w:val="fr-FR"/>
        </w:rPr>
        <w:tab/>
      </w:r>
      <w:r w:rsidRPr="00F001B0">
        <w:rPr>
          <w:lang w:val="fr-FR"/>
        </w:rPr>
        <w:tab/>
        <w:t>Chapitre 6.8, nouvel alinéa sous 6.8.5.1.2 a)</w:t>
      </w:r>
    </w:p>
    <w:p w:rsidR="00CC315F" w:rsidRPr="00F001B0" w:rsidRDefault="00CC315F" w:rsidP="00CC315F">
      <w:pPr>
        <w:pStyle w:val="SingleTxtG"/>
        <w:rPr>
          <w:lang w:val="fr-FR"/>
        </w:rPr>
      </w:pPr>
      <w:r>
        <w:rPr>
          <w:i/>
          <w:lang w:val="fr-FR"/>
        </w:rPr>
        <w:t>Remplacer</w:t>
      </w:r>
      <w:r w:rsidRPr="00F001B0">
        <w:rPr>
          <w:lang w:val="fr-FR"/>
        </w:rPr>
        <w:t xml:space="preserve"> « </w:t>
      </w:r>
      <w:r w:rsidR="00D325C1">
        <w:rPr>
          <w:lang w:val="fr-FR"/>
        </w:rPr>
        <w:t>-</w:t>
      </w:r>
      <w:r w:rsidRPr="00F001B0">
        <w:rPr>
          <w:lang w:val="fr-FR"/>
        </w:rPr>
        <w:t>40 °C</w:t>
      </w:r>
      <w:r>
        <w:rPr>
          <w:lang w:val="fr-FR"/>
        </w:rPr>
        <w:t> »</w:t>
      </w:r>
      <w:r w:rsidRPr="00F001B0">
        <w:rPr>
          <w:lang w:val="fr-FR"/>
        </w:rPr>
        <w:t xml:space="preserve"> </w:t>
      </w:r>
      <w:r>
        <w:rPr>
          <w:i/>
          <w:lang w:val="fr-FR"/>
        </w:rPr>
        <w:t>pa</w:t>
      </w:r>
      <w:r w:rsidRPr="00F001B0">
        <w:rPr>
          <w:i/>
          <w:lang w:val="fr-FR"/>
        </w:rPr>
        <w:t>r</w:t>
      </w:r>
      <w:r>
        <w:rPr>
          <w:lang w:val="fr-FR"/>
        </w:rPr>
        <w:t xml:space="preserve"> « </w:t>
      </w:r>
      <w:r w:rsidR="00D325C1">
        <w:rPr>
          <w:lang w:val="fr-FR"/>
        </w:rPr>
        <w:t>-</w:t>
      </w:r>
      <w:r w:rsidRPr="00F001B0">
        <w:rPr>
          <w:lang w:val="fr-FR"/>
        </w:rPr>
        <w:t>60 °C</w:t>
      </w:r>
      <w:r>
        <w:rPr>
          <w:lang w:val="fr-FR"/>
        </w:rPr>
        <w:t> »</w:t>
      </w:r>
    </w:p>
    <w:p w:rsidR="00CC315F" w:rsidRPr="00C26A4E" w:rsidRDefault="00CC315F" w:rsidP="00CC315F">
      <w:pPr>
        <w:pStyle w:val="SingleTxtG"/>
        <w:rPr>
          <w:i/>
          <w:iCs/>
          <w:spacing w:val="-2"/>
          <w:lang w:val="fr-FR"/>
        </w:rPr>
      </w:pPr>
      <w:r w:rsidRPr="00C26A4E">
        <w:rPr>
          <w:i/>
          <w:iCs/>
          <w:spacing w:val="-2"/>
          <w:lang w:val="fr-FR"/>
        </w:rPr>
        <w:t>(</w:t>
      </w:r>
      <w:r w:rsidRPr="00C26A4E">
        <w:rPr>
          <w:i/>
          <w:spacing w:val="-2"/>
          <w:lang w:val="fr-FR"/>
        </w:rPr>
        <w:t xml:space="preserve">Documents </w:t>
      </w:r>
      <w:r w:rsidRPr="00C26A4E">
        <w:rPr>
          <w:i/>
          <w:iCs/>
          <w:spacing w:val="-2"/>
          <w:lang w:val="fr-FR"/>
        </w:rPr>
        <w:t>de référence : ECE/TRANS/WP.15/AC.1/2018/11 et document informel INF.47)</w:t>
      </w:r>
    </w:p>
    <w:p w:rsidR="00CC315F" w:rsidRPr="00F001B0" w:rsidRDefault="00CC315F" w:rsidP="000B6C58">
      <w:pPr>
        <w:pStyle w:val="H1G"/>
        <w:spacing w:before="320"/>
        <w:rPr>
          <w:lang w:val="fr-FR"/>
        </w:rPr>
      </w:pPr>
      <w:r w:rsidRPr="00F001B0">
        <w:rPr>
          <w:lang w:val="fr-FR"/>
        </w:rPr>
        <w:tab/>
        <w:t>B.</w:t>
      </w:r>
      <w:r w:rsidRPr="00F001B0">
        <w:rPr>
          <w:lang w:val="fr-FR"/>
        </w:rPr>
        <w:tab/>
        <w:t>Modifications au document OTIF/RID/CE/GTP/2017/15</w:t>
      </w:r>
    </w:p>
    <w:p w:rsidR="00CC315F" w:rsidRPr="00F001B0" w:rsidRDefault="00CC315F" w:rsidP="000B6C58">
      <w:pPr>
        <w:pStyle w:val="H23G"/>
        <w:spacing w:line="220" w:lineRule="exact"/>
        <w:rPr>
          <w:lang w:val="fr-FR"/>
        </w:rPr>
      </w:pPr>
      <w:r w:rsidRPr="00F001B0">
        <w:rPr>
          <w:lang w:val="fr-FR"/>
        </w:rPr>
        <w:tab/>
      </w:r>
      <w:r w:rsidRPr="00F001B0">
        <w:rPr>
          <w:lang w:val="fr-FR"/>
        </w:rPr>
        <w:tab/>
        <w:t>Chapitre 2.2</w:t>
      </w:r>
    </w:p>
    <w:p w:rsidR="00CC315F" w:rsidRPr="00F001B0" w:rsidRDefault="00CC315F" w:rsidP="00C26A4E">
      <w:pPr>
        <w:pStyle w:val="SingleTxtG"/>
        <w:tabs>
          <w:tab w:val="left" w:pos="2268"/>
        </w:tabs>
        <w:rPr>
          <w:lang w:val="fr-FR"/>
        </w:rPr>
      </w:pPr>
      <w:r w:rsidRPr="00F001B0">
        <w:rPr>
          <w:lang w:val="fr-FR"/>
        </w:rPr>
        <w:t>2.2.43.3</w:t>
      </w:r>
      <w:r w:rsidRPr="00F001B0">
        <w:rPr>
          <w:lang w:val="fr-FR"/>
        </w:rPr>
        <w:tab/>
      </w:r>
      <w:r w:rsidR="002909CC">
        <w:rPr>
          <w:lang w:val="fr-FR"/>
        </w:rPr>
        <w:tab/>
      </w:r>
      <w:r w:rsidRPr="00F001B0">
        <w:rPr>
          <w:lang w:val="fr-FR"/>
        </w:rPr>
        <w:t>L</w:t>
      </w:r>
      <w:r w:rsidR="008B6F84">
        <w:rPr>
          <w:lang w:val="fr-FR"/>
        </w:rPr>
        <w:t>’</w:t>
      </w:r>
      <w:r w:rsidRPr="00F001B0">
        <w:rPr>
          <w:lang w:val="fr-FR"/>
        </w:rPr>
        <w:t>amendement au No</w:t>
      </w:r>
      <w:r w:rsidR="00F02D90">
        <w:rPr>
          <w:lang w:val="fr-FR"/>
        </w:rPr>
        <w:t> </w:t>
      </w:r>
      <w:r w:rsidR="002065FF">
        <w:rPr>
          <w:lang w:val="fr-FR"/>
        </w:rPr>
        <w:t>ONU </w:t>
      </w:r>
      <w:r w:rsidRPr="00F001B0">
        <w:rPr>
          <w:lang w:val="fr-FR"/>
        </w:rPr>
        <w:t>3543 dans la version anglaise ne s</w:t>
      </w:r>
      <w:r w:rsidR="008B6F84">
        <w:rPr>
          <w:lang w:val="fr-FR"/>
        </w:rPr>
        <w:t>’</w:t>
      </w:r>
      <w:r w:rsidRPr="00F001B0">
        <w:rPr>
          <w:lang w:val="fr-FR"/>
        </w:rPr>
        <w:t>applique pas au texte français.</w:t>
      </w:r>
    </w:p>
    <w:p w:rsidR="00CC315F" w:rsidRPr="00F001B0" w:rsidRDefault="00CC315F" w:rsidP="000B6C58">
      <w:pPr>
        <w:pStyle w:val="H23G"/>
        <w:spacing w:line="220" w:lineRule="exact"/>
        <w:rPr>
          <w:lang w:val="fr-FR"/>
        </w:rPr>
      </w:pPr>
      <w:r w:rsidRPr="00F001B0">
        <w:rPr>
          <w:lang w:val="fr-FR"/>
        </w:rPr>
        <w:tab/>
      </w:r>
      <w:r w:rsidRPr="00F001B0">
        <w:rPr>
          <w:lang w:val="fr-FR"/>
        </w:rPr>
        <w:tab/>
        <w:t>Chapitre 3.2</w:t>
      </w:r>
    </w:p>
    <w:p w:rsidR="00CC315F" w:rsidRPr="00F001B0" w:rsidRDefault="002065FF" w:rsidP="00C26A4E">
      <w:pPr>
        <w:pStyle w:val="SingleTxtG"/>
        <w:tabs>
          <w:tab w:val="left" w:pos="2268"/>
        </w:tabs>
        <w:rPr>
          <w:lang w:val="fr-FR"/>
        </w:rPr>
      </w:pPr>
      <w:r>
        <w:rPr>
          <w:lang w:val="fr-FR"/>
        </w:rPr>
        <w:t xml:space="preserve">3.2.1, Tableau A   </w:t>
      </w:r>
      <w:r w:rsidR="00CC315F" w:rsidRPr="00F001B0">
        <w:rPr>
          <w:lang w:val="fr-FR"/>
        </w:rPr>
        <w:t>L</w:t>
      </w:r>
      <w:r w:rsidR="008B6F84">
        <w:rPr>
          <w:lang w:val="fr-FR"/>
        </w:rPr>
        <w:t>’</w:t>
      </w:r>
      <w:r w:rsidR="00CC315F" w:rsidRPr="00F001B0">
        <w:rPr>
          <w:lang w:val="fr-FR"/>
        </w:rPr>
        <w:t xml:space="preserve">amendement au </w:t>
      </w:r>
      <w:r w:rsidR="00F02D90" w:rsidRPr="00F001B0">
        <w:rPr>
          <w:lang w:val="fr-FR"/>
        </w:rPr>
        <w:t>No</w:t>
      </w:r>
      <w:r w:rsidR="00F02D90">
        <w:rPr>
          <w:lang w:val="fr-FR"/>
        </w:rPr>
        <w:t> </w:t>
      </w:r>
      <w:r w:rsidR="00CC315F" w:rsidRPr="00F001B0">
        <w:rPr>
          <w:lang w:val="fr-FR"/>
        </w:rPr>
        <w:t>ONU</w:t>
      </w:r>
      <w:r>
        <w:rPr>
          <w:lang w:val="fr-FR"/>
        </w:rPr>
        <w:t> </w:t>
      </w:r>
      <w:r w:rsidR="00CC315F" w:rsidRPr="00F001B0">
        <w:rPr>
          <w:lang w:val="fr-FR"/>
        </w:rPr>
        <w:t>3543 dans la version anglaise ne s</w:t>
      </w:r>
      <w:r w:rsidR="008B6F84">
        <w:rPr>
          <w:lang w:val="fr-FR"/>
        </w:rPr>
        <w:t>’</w:t>
      </w:r>
      <w:r w:rsidR="00CC315F" w:rsidRPr="00F001B0">
        <w:rPr>
          <w:lang w:val="fr-FR"/>
        </w:rPr>
        <w:t>applique pas au texte français.</w:t>
      </w:r>
    </w:p>
    <w:p w:rsidR="00CC315F" w:rsidRPr="00F001B0" w:rsidRDefault="00CC315F" w:rsidP="00C26A4E">
      <w:pPr>
        <w:pStyle w:val="SingleTxtG"/>
        <w:tabs>
          <w:tab w:val="left" w:pos="2268"/>
        </w:tabs>
        <w:rPr>
          <w:lang w:val="fr-FR"/>
        </w:rPr>
      </w:pPr>
      <w:r w:rsidRPr="00F001B0">
        <w:rPr>
          <w:lang w:val="fr-FR"/>
        </w:rPr>
        <w:t>3.2.2, Tableau B</w:t>
      </w:r>
      <w:r w:rsidR="002065FF">
        <w:rPr>
          <w:lang w:val="fr-FR"/>
        </w:rPr>
        <w:t xml:space="preserve">   </w:t>
      </w:r>
      <w:r w:rsidRPr="00F001B0">
        <w:rPr>
          <w:lang w:val="fr-FR"/>
        </w:rPr>
        <w:t>L</w:t>
      </w:r>
      <w:r w:rsidR="008B6F84">
        <w:rPr>
          <w:lang w:val="fr-FR"/>
        </w:rPr>
        <w:t>’</w:t>
      </w:r>
      <w:r w:rsidRPr="00F001B0">
        <w:rPr>
          <w:lang w:val="fr-FR"/>
        </w:rPr>
        <w:t xml:space="preserve">amendement au </w:t>
      </w:r>
      <w:r w:rsidR="00F02D90" w:rsidRPr="00F001B0">
        <w:rPr>
          <w:lang w:val="fr-FR"/>
        </w:rPr>
        <w:t>No</w:t>
      </w:r>
      <w:r w:rsidR="00F02D90">
        <w:rPr>
          <w:lang w:val="fr-FR"/>
        </w:rPr>
        <w:t> </w:t>
      </w:r>
      <w:r w:rsidRPr="00F001B0">
        <w:rPr>
          <w:lang w:val="fr-FR"/>
        </w:rPr>
        <w:t>ONU</w:t>
      </w:r>
      <w:r w:rsidR="002065FF">
        <w:rPr>
          <w:lang w:val="fr-FR"/>
        </w:rPr>
        <w:t> </w:t>
      </w:r>
      <w:r w:rsidRPr="00F001B0">
        <w:rPr>
          <w:lang w:val="fr-FR"/>
        </w:rPr>
        <w:t>3543 dans la version anglaise ne s</w:t>
      </w:r>
      <w:r w:rsidR="008B6F84">
        <w:rPr>
          <w:lang w:val="fr-FR"/>
        </w:rPr>
        <w:t>’</w:t>
      </w:r>
      <w:r w:rsidRPr="00F001B0">
        <w:rPr>
          <w:lang w:val="fr-FR"/>
        </w:rPr>
        <w:t>applique pas au texte français.</w:t>
      </w:r>
    </w:p>
    <w:p w:rsidR="00CC315F" w:rsidRPr="00F001B0" w:rsidRDefault="00CC315F" w:rsidP="000B6C58">
      <w:pPr>
        <w:pStyle w:val="H23G"/>
        <w:spacing w:line="220" w:lineRule="exact"/>
        <w:rPr>
          <w:lang w:val="fr-FR"/>
        </w:rPr>
      </w:pPr>
      <w:r w:rsidRPr="00F001B0">
        <w:rPr>
          <w:lang w:val="fr-FR"/>
        </w:rPr>
        <w:tab/>
      </w:r>
      <w:r w:rsidRPr="00F001B0">
        <w:rPr>
          <w:lang w:val="fr-FR"/>
        </w:rPr>
        <w:tab/>
        <w:t>Chapitre 3.3</w:t>
      </w:r>
    </w:p>
    <w:p w:rsidR="00CC315F" w:rsidRPr="00F001B0" w:rsidRDefault="00CC315F" w:rsidP="00C26A4E">
      <w:pPr>
        <w:pStyle w:val="SingleTxtG"/>
        <w:tabs>
          <w:tab w:val="left" w:pos="2268"/>
        </w:tabs>
        <w:rPr>
          <w:lang w:val="fr-FR"/>
        </w:rPr>
      </w:pPr>
      <w:r w:rsidRPr="00F001B0">
        <w:rPr>
          <w:lang w:val="fr-FR"/>
        </w:rPr>
        <w:t>DS392</w:t>
      </w:r>
      <w:r>
        <w:rPr>
          <w:lang w:val="fr-FR"/>
        </w:rPr>
        <w:tab/>
      </w:r>
      <w:r w:rsidRPr="00F001B0">
        <w:rPr>
          <w:lang w:val="fr-FR"/>
        </w:rPr>
        <w:tab/>
        <w:t>À l</w:t>
      </w:r>
      <w:r w:rsidR="008B6F84">
        <w:rPr>
          <w:lang w:val="fr-FR"/>
        </w:rPr>
        <w:t>’</w:t>
      </w:r>
      <w:r w:rsidRPr="00F001B0">
        <w:rPr>
          <w:lang w:val="fr-FR"/>
        </w:rPr>
        <w:t>alinéa c), dans la deuxième phrase, après « toutes les ouvertures », insérer une virgule.</w:t>
      </w:r>
    </w:p>
    <w:p w:rsidR="00CC315F" w:rsidRPr="00F001B0" w:rsidRDefault="00CC315F" w:rsidP="00CC315F">
      <w:pPr>
        <w:pStyle w:val="SingleTxtG"/>
        <w:rPr>
          <w:i/>
          <w:lang w:val="fr-FR"/>
        </w:rPr>
      </w:pPr>
      <w:r w:rsidRPr="00F001B0">
        <w:rPr>
          <w:i/>
          <w:lang w:val="fr-FR"/>
        </w:rPr>
        <w:t>(Document de référence : document informel INF.31)</w:t>
      </w:r>
    </w:p>
    <w:p w:rsidR="00CC315F" w:rsidRPr="00F001B0" w:rsidRDefault="00CC315F" w:rsidP="00CC315F">
      <w:pPr>
        <w:pStyle w:val="H23G"/>
        <w:rPr>
          <w:lang w:val="fr-FR"/>
        </w:rPr>
      </w:pPr>
      <w:r w:rsidRPr="00F001B0">
        <w:rPr>
          <w:lang w:val="fr-FR"/>
        </w:rPr>
        <w:tab/>
      </w:r>
      <w:r w:rsidRPr="00F001B0">
        <w:rPr>
          <w:lang w:val="fr-FR"/>
        </w:rPr>
        <w:tab/>
        <w:t>Chapitre 4.1</w:t>
      </w:r>
    </w:p>
    <w:p w:rsidR="00CC315F" w:rsidRPr="00F001B0" w:rsidRDefault="00CC315F" w:rsidP="00BD3678">
      <w:pPr>
        <w:pStyle w:val="SingleTxtG"/>
        <w:tabs>
          <w:tab w:val="left" w:pos="2835"/>
        </w:tabs>
        <w:rPr>
          <w:lang w:val="fr-FR"/>
        </w:rPr>
      </w:pPr>
      <w:r w:rsidRPr="00F001B0">
        <w:rPr>
          <w:lang w:val="fr-FR"/>
        </w:rPr>
        <w:t>4.1.4.1, P907</w:t>
      </w:r>
      <w:r w:rsidRPr="00F001B0">
        <w:rPr>
          <w:lang w:val="fr-FR"/>
        </w:rPr>
        <w:tab/>
      </w:r>
      <w:r w:rsidRPr="00F001B0">
        <w:rPr>
          <w:lang w:val="fr-FR"/>
        </w:rPr>
        <w:tab/>
        <w:t>Dans le deuxième paragraphe, remplacer « densité de remplissage » par : « taux de remplissage ».</w:t>
      </w:r>
    </w:p>
    <w:p w:rsidR="00CC315F" w:rsidRPr="00F001B0" w:rsidRDefault="00CC315F" w:rsidP="00CC315F">
      <w:pPr>
        <w:pStyle w:val="SingleTxtG"/>
        <w:rPr>
          <w:lang w:val="fr-FR"/>
        </w:rPr>
      </w:pPr>
      <w:r w:rsidRPr="00F001B0">
        <w:rPr>
          <w:i/>
          <w:lang w:val="fr-FR"/>
        </w:rPr>
        <w:t>(Document de référence : document informel INF.31)</w:t>
      </w:r>
    </w:p>
    <w:p w:rsidR="00CC315F" w:rsidRPr="00F001B0" w:rsidRDefault="00CC315F" w:rsidP="00CC315F">
      <w:pPr>
        <w:pStyle w:val="H23G"/>
        <w:rPr>
          <w:lang w:val="fr-FR"/>
        </w:rPr>
      </w:pPr>
      <w:r w:rsidRPr="00F001B0">
        <w:rPr>
          <w:lang w:val="fr-FR"/>
        </w:rPr>
        <w:tab/>
      </w:r>
      <w:r w:rsidRPr="00F001B0">
        <w:rPr>
          <w:lang w:val="fr-FR"/>
        </w:rPr>
        <w:tab/>
        <w:t>Chapitre 4.2</w:t>
      </w:r>
    </w:p>
    <w:p w:rsidR="00CC315F" w:rsidRPr="00F001B0" w:rsidRDefault="00CC315F" w:rsidP="00BD3678">
      <w:pPr>
        <w:pStyle w:val="SingleTxtG"/>
        <w:tabs>
          <w:tab w:val="left" w:pos="2835"/>
        </w:tabs>
        <w:rPr>
          <w:lang w:val="fr-FR"/>
        </w:rPr>
      </w:pPr>
      <w:r w:rsidRPr="00F001B0">
        <w:rPr>
          <w:lang w:val="fr-FR"/>
        </w:rPr>
        <w:t>4.2.5.3, TP10</w:t>
      </w:r>
      <w:r w:rsidRPr="00F001B0">
        <w:rPr>
          <w:lang w:val="fr-FR"/>
        </w:rPr>
        <w:tab/>
      </w:r>
      <w:r w:rsidRPr="00F001B0">
        <w:rPr>
          <w:lang w:val="fr-FR"/>
        </w:rPr>
        <w:tab/>
        <w:t>L</w:t>
      </w:r>
      <w:r w:rsidR="008B6F84">
        <w:rPr>
          <w:lang w:val="fr-FR"/>
        </w:rPr>
        <w:t>’</w:t>
      </w:r>
      <w:r w:rsidRPr="00F001B0">
        <w:rPr>
          <w:lang w:val="fr-FR"/>
        </w:rPr>
        <w:t>amendement dans la version anglaise ne s</w:t>
      </w:r>
      <w:r w:rsidR="008B6F84">
        <w:rPr>
          <w:lang w:val="fr-FR"/>
        </w:rPr>
        <w:t>’</w:t>
      </w:r>
      <w:r w:rsidRPr="00F001B0">
        <w:rPr>
          <w:lang w:val="fr-FR"/>
        </w:rPr>
        <w:t>applique pas au texte français.</w:t>
      </w:r>
    </w:p>
    <w:p w:rsidR="00CC315F" w:rsidRPr="00F001B0" w:rsidRDefault="00CC315F" w:rsidP="00CC315F">
      <w:pPr>
        <w:pStyle w:val="H23G"/>
        <w:rPr>
          <w:lang w:val="fr-FR"/>
        </w:rPr>
      </w:pPr>
      <w:r w:rsidRPr="00F001B0">
        <w:rPr>
          <w:lang w:val="fr-FR"/>
        </w:rPr>
        <w:tab/>
      </w:r>
      <w:r w:rsidRPr="00F001B0">
        <w:rPr>
          <w:lang w:val="fr-FR"/>
        </w:rPr>
        <w:tab/>
        <w:t>Chapitre 6.8</w:t>
      </w:r>
    </w:p>
    <w:p w:rsidR="00CC315F" w:rsidRPr="00F001B0" w:rsidRDefault="00CC315F" w:rsidP="00BD3678">
      <w:pPr>
        <w:pStyle w:val="SingleTxtG"/>
        <w:tabs>
          <w:tab w:val="left" w:pos="2835"/>
        </w:tabs>
        <w:rPr>
          <w:lang w:val="fr-FR"/>
        </w:rPr>
      </w:pPr>
      <w:r w:rsidRPr="00F001B0">
        <w:rPr>
          <w:lang w:val="fr-FR"/>
        </w:rPr>
        <w:t>6.8.2.1.18</w:t>
      </w:r>
      <w:r w:rsidRPr="00F001B0">
        <w:rPr>
          <w:lang w:val="fr-FR"/>
        </w:rPr>
        <w:tab/>
        <w:t>Supprimer l</w:t>
      </w:r>
      <w:r w:rsidR="008B6F84">
        <w:rPr>
          <w:lang w:val="fr-FR"/>
        </w:rPr>
        <w:t>’</w:t>
      </w:r>
      <w:r w:rsidRPr="00F001B0">
        <w:rPr>
          <w:lang w:val="fr-FR"/>
        </w:rPr>
        <w:t>amendement.</w:t>
      </w:r>
    </w:p>
    <w:p w:rsidR="00CC315F" w:rsidRPr="00F001B0" w:rsidRDefault="00CC315F" w:rsidP="00BD3678">
      <w:pPr>
        <w:pStyle w:val="SingleTxtG"/>
        <w:tabs>
          <w:tab w:val="left" w:pos="2835"/>
        </w:tabs>
        <w:rPr>
          <w:lang w:val="fr-FR"/>
        </w:rPr>
      </w:pPr>
      <w:r w:rsidRPr="00F001B0">
        <w:rPr>
          <w:lang w:val="fr-FR"/>
        </w:rPr>
        <w:t>6.8.5.1.2</w:t>
      </w:r>
      <w:r w:rsidRPr="00F001B0">
        <w:rPr>
          <w:lang w:val="fr-FR"/>
        </w:rPr>
        <w:tab/>
        <w:t>Supprimer les crochets.</w:t>
      </w:r>
    </w:p>
    <w:p w:rsidR="00CC315F" w:rsidRPr="00F001B0" w:rsidRDefault="00CC315F" w:rsidP="00CC315F">
      <w:pPr>
        <w:pStyle w:val="SingleTxtG"/>
        <w:rPr>
          <w:i/>
          <w:lang w:val="fr-FR"/>
        </w:rPr>
      </w:pPr>
      <w:r w:rsidRPr="00F001B0">
        <w:rPr>
          <w:i/>
          <w:lang w:val="fr-FR"/>
        </w:rPr>
        <w:t>(Documents de référence : documents informels INF.36 et INF.47)</w:t>
      </w:r>
    </w:p>
    <w:p w:rsidR="00CC315F" w:rsidRPr="00F001B0" w:rsidRDefault="00CC315F" w:rsidP="00BD3678">
      <w:pPr>
        <w:pStyle w:val="HChG"/>
        <w:rPr>
          <w:lang w:val="fr-FR"/>
        </w:rPr>
      </w:pPr>
      <w:r w:rsidRPr="00F001B0">
        <w:rPr>
          <w:lang w:val="fr-FR"/>
        </w:rPr>
        <w:br w:type="page"/>
      </w:r>
      <w:r w:rsidR="002E1524">
        <w:rPr>
          <w:lang w:val="fr-FR"/>
        </w:rPr>
        <w:tab/>
      </w:r>
      <w:r w:rsidRPr="00F001B0">
        <w:rPr>
          <w:lang w:val="fr-FR"/>
        </w:rPr>
        <w:t>Annexe IV</w:t>
      </w:r>
    </w:p>
    <w:p w:rsidR="00CC315F" w:rsidRPr="00F001B0" w:rsidRDefault="00CC315F" w:rsidP="00CC315F">
      <w:pPr>
        <w:pStyle w:val="HChG"/>
        <w:rPr>
          <w:lang w:val="fr-FR"/>
        </w:rPr>
      </w:pPr>
      <w:r w:rsidRPr="00F001B0">
        <w:rPr>
          <w:lang w:val="fr-FR"/>
        </w:rPr>
        <w:tab/>
      </w:r>
      <w:r w:rsidRPr="00F001B0">
        <w:rPr>
          <w:lang w:val="fr-FR"/>
        </w:rPr>
        <w:tab/>
        <w:t>Projet d</w:t>
      </w:r>
      <w:r w:rsidR="008B6F84">
        <w:rPr>
          <w:lang w:val="fr-FR"/>
        </w:rPr>
        <w:t>’</w:t>
      </w:r>
      <w:r w:rsidRPr="00F001B0">
        <w:rPr>
          <w:lang w:val="fr-FR"/>
        </w:rPr>
        <w:t xml:space="preserve">amendements au RID, ADR et ADN pour </w:t>
      </w:r>
      <w:proofErr w:type="spellStart"/>
      <w:r w:rsidRPr="00F001B0">
        <w:rPr>
          <w:lang w:val="fr-FR"/>
        </w:rPr>
        <w:t>entrée</w:t>
      </w:r>
      <w:proofErr w:type="spellEnd"/>
      <w:r w:rsidRPr="00F001B0">
        <w:rPr>
          <w:lang w:val="fr-FR"/>
        </w:rPr>
        <w:t xml:space="preserve"> </w:t>
      </w:r>
      <w:r w:rsidR="00BD3678">
        <w:rPr>
          <w:lang w:val="fr-FR"/>
        </w:rPr>
        <w:br/>
      </w:r>
      <w:r w:rsidRPr="00F001B0">
        <w:rPr>
          <w:lang w:val="fr-FR"/>
        </w:rPr>
        <w:t>en vigueur le 1</w:t>
      </w:r>
      <w:r w:rsidRPr="00F001B0">
        <w:rPr>
          <w:vertAlign w:val="superscript"/>
          <w:lang w:val="fr-FR"/>
        </w:rPr>
        <w:t>er</w:t>
      </w:r>
      <w:r w:rsidRPr="00F001B0">
        <w:rPr>
          <w:lang w:val="fr-FR"/>
        </w:rPr>
        <w:t> janvier 2021</w:t>
      </w:r>
    </w:p>
    <w:p w:rsidR="00CC315F" w:rsidRPr="00F001B0" w:rsidRDefault="00CC315F" w:rsidP="00CC315F">
      <w:pPr>
        <w:pStyle w:val="H1G"/>
        <w:rPr>
          <w:lang w:val="fr-FR"/>
        </w:rPr>
      </w:pPr>
      <w:r w:rsidRPr="00F001B0">
        <w:rPr>
          <w:lang w:val="fr-FR"/>
        </w:rPr>
        <w:tab/>
      </w:r>
      <w:r w:rsidRPr="00F001B0">
        <w:rPr>
          <w:lang w:val="fr-FR"/>
        </w:rPr>
        <w:tab/>
        <w:t>Chapitre 6.8</w:t>
      </w:r>
    </w:p>
    <w:p w:rsidR="00CC315F" w:rsidRPr="00F001B0" w:rsidRDefault="00CC315F" w:rsidP="00CC315F">
      <w:pPr>
        <w:pStyle w:val="SingleTxtG"/>
        <w:rPr>
          <w:lang w:val="fr-FR"/>
        </w:rPr>
      </w:pPr>
      <w:r w:rsidRPr="00F001B0">
        <w:rPr>
          <w:lang w:val="fr-FR"/>
        </w:rPr>
        <w:t>6.8.2.1.18</w:t>
      </w:r>
      <w:r w:rsidRPr="00F001B0">
        <w:rPr>
          <w:lang w:val="fr-FR"/>
        </w:rPr>
        <w:tab/>
        <w:t>Ajouter la phrase suivante à la fin de la note de bas de page 4/2 :</w:t>
      </w:r>
    </w:p>
    <w:p w:rsidR="00CC315F" w:rsidRPr="00F001B0" w:rsidRDefault="00CC315F" w:rsidP="00CC315F">
      <w:pPr>
        <w:pStyle w:val="SingleTxtG"/>
        <w:rPr>
          <w:lang w:val="fr-FR"/>
        </w:rPr>
      </w:pPr>
      <w:r w:rsidRPr="00F001B0">
        <w:rPr>
          <w:lang w:val="fr-FR"/>
        </w:rPr>
        <w:t>« Cependant, la section transversale des réservoirs selon le 6.8.2.1.14</w:t>
      </w:r>
      <w:r w:rsidR="003F0ADA">
        <w:rPr>
          <w:lang w:val="fr-FR"/>
        </w:rPr>
        <w:t> </w:t>
      </w:r>
      <w:r w:rsidRPr="00F001B0">
        <w:rPr>
          <w:lang w:val="fr-FR"/>
        </w:rPr>
        <w:t>a) peut présenter des renfoncements ou des saillies, comme des puisards, des évidements ou des trous d</w:t>
      </w:r>
      <w:r w:rsidR="008B6F84">
        <w:rPr>
          <w:lang w:val="fr-FR"/>
        </w:rPr>
        <w:t>’</w:t>
      </w:r>
      <w:r w:rsidRPr="00F001B0">
        <w:rPr>
          <w:lang w:val="fr-FR"/>
        </w:rPr>
        <w:t>homme encastrés, qui peuvent être en tôle plate ou façonnée (concave ou convexe). Les bosses et autres déformations involontaires ne doivent pas être considérées comme des renfoncements ou des saillies. ».</w:t>
      </w:r>
    </w:p>
    <w:p w:rsidR="00CC315F" w:rsidRPr="00F001B0" w:rsidRDefault="00CC315F" w:rsidP="00CC315F">
      <w:pPr>
        <w:pStyle w:val="SingleTxtG"/>
        <w:rPr>
          <w:i/>
          <w:lang w:val="fr-FR"/>
        </w:rPr>
      </w:pPr>
      <w:r w:rsidRPr="00F001B0">
        <w:rPr>
          <w:i/>
          <w:lang w:val="fr-FR"/>
        </w:rPr>
        <w:t>(Documents de référence : documents informels INF.36 et INF.47)</w:t>
      </w:r>
    </w:p>
    <w:p w:rsidR="00CC315F" w:rsidRPr="00F001B0" w:rsidRDefault="00CC315F" w:rsidP="003F0ADA">
      <w:pPr>
        <w:pStyle w:val="HChG"/>
        <w:rPr>
          <w:lang w:val="fr-FR"/>
        </w:rPr>
      </w:pPr>
      <w:r w:rsidRPr="00F001B0">
        <w:rPr>
          <w:lang w:val="fr-FR"/>
        </w:rPr>
        <w:br w:type="page"/>
      </w:r>
      <w:r w:rsidR="002E1524">
        <w:rPr>
          <w:lang w:val="fr-FR"/>
        </w:rPr>
        <w:tab/>
      </w:r>
      <w:r w:rsidRPr="00F001B0">
        <w:rPr>
          <w:lang w:val="fr-FR"/>
        </w:rPr>
        <w:t>Annexe V</w:t>
      </w:r>
    </w:p>
    <w:p w:rsidR="00CC315F" w:rsidRPr="00F001B0" w:rsidRDefault="00CC315F" w:rsidP="002E1524">
      <w:pPr>
        <w:pStyle w:val="HChG"/>
        <w:rPr>
          <w:lang w:val="fr-FR"/>
        </w:rPr>
      </w:pPr>
      <w:r w:rsidRPr="00F001B0">
        <w:rPr>
          <w:lang w:val="fr-FR"/>
        </w:rPr>
        <w:tab/>
      </w:r>
      <w:r w:rsidRPr="00F001B0">
        <w:rPr>
          <w:lang w:val="fr-FR"/>
        </w:rPr>
        <w:tab/>
      </w:r>
      <w:r w:rsidRPr="002E1524">
        <w:rPr>
          <w:rFonts w:ascii="Times New Roman Gras" w:hAnsi="Times New Roman Gras"/>
          <w:spacing w:val="-3"/>
          <w:lang w:val="fr-FR"/>
        </w:rPr>
        <w:t>Ligne directrice pour l</w:t>
      </w:r>
      <w:r w:rsidR="008B6F84">
        <w:rPr>
          <w:rFonts w:ascii="Times New Roman Gras" w:hAnsi="Times New Roman Gras"/>
          <w:spacing w:val="-3"/>
          <w:lang w:val="fr-FR"/>
        </w:rPr>
        <w:t>’</w:t>
      </w:r>
      <w:r w:rsidRPr="002E1524">
        <w:rPr>
          <w:rFonts w:ascii="Times New Roman Gras" w:hAnsi="Times New Roman Gras"/>
          <w:spacing w:val="-3"/>
          <w:lang w:val="fr-FR"/>
        </w:rPr>
        <w:t>application de la norme EN 13094:2015</w:t>
      </w:r>
      <w:r w:rsidRPr="00F001B0">
        <w:rPr>
          <w:lang w:val="fr-FR"/>
        </w:rPr>
        <w:t xml:space="preserve"> afin de respecter les prescriptions de l</w:t>
      </w:r>
      <w:r w:rsidR="008B6F84">
        <w:rPr>
          <w:lang w:val="fr-FR"/>
        </w:rPr>
        <w:t>’</w:t>
      </w:r>
      <w:r w:rsidRPr="00F001B0">
        <w:rPr>
          <w:lang w:val="fr-FR"/>
        </w:rPr>
        <w:t>ADR 2017 et 2019</w:t>
      </w:r>
    </w:p>
    <w:p w:rsidR="00CC315F" w:rsidRPr="00F001B0" w:rsidRDefault="00CC315F" w:rsidP="00CC315F">
      <w:pPr>
        <w:pStyle w:val="SingleTxtG"/>
        <w:rPr>
          <w:rFonts w:eastAsia="MS Mincho"/>
          <w:lang w:val="fr-FR"/>
        </w:rPr>
      </w:pPr>
      <w:r w:rsidRPr="00F001B0">
        <w:rPr>
          <w:rFonts w:eastAsia="MS Mincho"/>
          <w:lang w:val="fr-FR"/>
        </w:rPr>
        <w:t xml:space="preserve">La </w:t>
      </w:r>
      <w:r w:rsidR="00DE2C08">
        <w:rPr>
          <w:rFonts w:eastAsia="MS Mincho"/>
          <w:lang w:val="fr-FR"/>
        </w:rPr>
        <w:t>n</w:t>
      </w:r>
      <w:r w:rsidRPr="00F001B0">
        <w:rPr>
          <w:rFonts w:eastAsia="MS Mincho"/>
          <w:lang w:val="fr-FR"/>
        </w:rPr>
        <w:t xml:space="preserve">orme européenne EN 13094 spécifie les prescriptions en matière de conception et de construction des citernes métalliques à vidange par gravité destinées au transport de matières ayant une tension de vapeur ne </w:t>
      </w:r>
      <w:r w:rsidRPr="00F001B0">
        <w:rPr>
          <w:lang w:val="fr-FR"/>
        </w:rPr>
        <w:t>dépassant</w:t>
      </w:r>
      <w:r w:rsidRPr="00F001B0">
        <w:rPr>
          <w:rFonts w:eastAsia="MS Mincho"/>
          <w:lang w:val="fr-FR"/>
        </w:rPr>
        <w:t xml:space="preserve"> pas 110</w:t>
      </w:r>
      <w:r w:rsidR="003F3D11">
        <w:rPr>
          <w:rFonts w:eastAsia="MS Mincho"/>
          <w:lang w:val="fr-FR"/>
        </w:rPr>
        <w:t> </w:t>
      </w:r>
      <w:r w:rsidRPr="00F001B0">
        <w:rPr>
          <w:rFonts w:eastAsia="MS Mincho"/>
          <w:lang w:val="fr-FR"/>
        </w:rPr>
        <w:t xml:space="preserve">kPa (pression absolue) pour lesquelles un code-citerne avec la lettre </w:t>
      </w:r>
      <w:r w:rsidR="003E2D87">
        <w:rPr>
          <w:rFonts w:eastAsia="MS Mincho"/>
          <w:lang w:val="fr-FR"/>
        </w:rPr>
        <w:t>« </w:t>
      </w:r>
      <w:r w:rsidRPr="00F001B0">
        <w:rPr>
          <w:rFonts w:eastAsia="MS Mincho"/>
          <w:lang w:val="fr-FR"/>
        </w:rPr>
        <w:t>G</w:t>
      </w:r>
      <w:r w:rsidR="003E2D87">
        <w:rPr>
          <w:rFonts w:eastAsia="MS Mincho"/>
          <w:lang w:val="fr-FR"/>
        </w:rPr>
        <w:t> »</w:t>
      </w:r>
      <w:r w:rsidRPr="00F001B0">
        <w:rPr>
          <w:rFonts w:eastAsia="MS Mincho"/>
          <w:lang w:val="fr-FR"/>
        </w:rPr>
        <w:t xml:space="preserve"> est donné au chapitre 3.2 de l</w:t>
      </w:r>
      <w:r w:rsidR="008B6F84">
        <w:rPr>
          <w:rFonts w:eastAsia="MS Mincho"/>
          <w:lang w:val="fr-FR"/>
        </w:rPr>
        <w:t>’</w:t>
      </w:r>
      <w:r w:rsidR="0010338E">
        <w:rPr>
          <w:rFonts w:eastAsia="MS Mincho"/>
          <w:lang w:val="fr-FR"/>
        </w:rPr>
        <w:t>ADR.</w:t>
      </w:r>
    </w:p>
    <w:p w:rsidR="00CC315F" w:rsidRPr="00F001B0" w:rsidRDefault="00CC315F" w:rsidP="00CC315F">
      <w:pPr>
        <w:pStyle w:val="SingleTxtG"/>
        <w:rPr>
          <w:lang w:val="fr-FR"/>
        </w:rPr>
      </w:pPr>
      <w:r w:rsidRPr="00F001B0">
        <w:rPr>
          <w:rFonts w:eastAsia="MS Mincho"/>
          <w:lang w:val="fr-FR"/>
        </w:rPr>
        <w:t>Pour respecter les prescriptions de l</w:t>
      </w:r>
      <w:r w:rsidR="008B6F84">
        <w:rPr>
          <w:rFonts w:eastAsia="MS Mincho"/>
          <w:lang w:val="fr-FR"/>
        </w:rPr>
        <w:t>’</w:t>
      </w:r>
      <w:r w:rsidRPr="00F001B0">
        <w:rPr>
          <w:rFonts w:eastAsia="MS Mincho"/>
          <w:lang w:val="fr-FR"/>
        </w:rPr>
        <w:t>ADR, les modifications suivantes doivent être apportées à l</w:t>
      </w:r>
      <w:r w:rsidR="004C1BA2">
        <w:rPr>
          <w:rFonts w:eastAsia="MS Mincho"/>
          <w:lang w:val="fr-FR"/>
        </w:rPr>
        <w:t xml:space="preserve">a norme </w:t>
      </w:r>
      <w:r w:rsidRPr="00F001B0">
        <w:rPr>
          <w:rFonts w:eastAsia="MS Mincho"/>
          <w:lang w:val="fr-FR"/>
        </w:rPr>
        <w:t>EN 13094:2015.</w:t>
      </w:r>
    </w:p>
    <w:p w:rsidR="00CC315F" w:rsidRPr="00243256" w:rsidRDefault="00CC315F" w:rsidP="00AF38F0">
      <w:pPr>
        <w:pStyle w:val="SingleTxtG"/>
        <w:rPr>
          <w:lang w:val="fr-FR"/>
        </w:rPr>
      </w:pPr>
      <w:r w:rsidRPr="00243256">
        <w:rPr>
          <w:rFonts w:eastAsia="MS Mincho"/>
          <w:lang w:val="fr-FR"/>
        </w:rPr>
        <w:t>1.</w:t>
      </w:r>
      <w:r w:rsidRPr="00243256">
        <w:rPr>
          <w:rFonts w:eastAsia="MS Mincho"/>
          <w:lang w:val="fr-FR"/>
        </w:rPr>
        <w:tab/>
        <w:t>Modification</w:t>
      </w:r>
      <w:r w:rsidRPr="00243256">
        <w:rPr>
          <w:lang w:val="fr-FR"/>
        </w:rPr>
        <w:t xml:space="preserve"> du 3.1, Termes et définitions</w:t>
      </w:r>
    </w:p>
    <w:p w:rsidR="00CC315F" w:rsidRPr="00243256" w:rsidRDefault="00CC315F" w:rsidP="00243256">
      <w:pPr>
        <w:pStyle w:val="SingleTxtG"/>
        <w:ind w:firstLine="567"/>
        <w:rPr>
          <w:rFonts w:eastAsia="MS Mincho"/>
          <w:i/>
          <w:szCs w:val="24"/>
          <w:lang w:val="fr-FR"/>
        </w:rPr>
      </w:pPr>
      <w:r w:rsidRPr="00243256">
        <w:rPr>
          <w:i/>
          <w:lang w:val="fr-FR"/>
        </w:rPr>
        <w:t>Supprimer la déf</w:t>
      </w:r>
      <w:r w:rsidRPr="00243256">
        <w:rPr>
          <w:rFonts w:eastAsia="MS Mincho"/>
          <w:i/>
          <w:szCs w:val="24"/>
          <w:lang w:val="fr-FR"/>
        </w:rPr>
        <w:t>inition de pression maximale de service au 3.1.4.</w:t>
      </w:r>
    </w:p>
    <w:p w:rsidR="00CC315F" w:rsidRPr="00243256" w:rsidRDefault="00CC315F" w:rsidP="00AF38F0">
      <w:pPr>
        <w:pStyle w:val="SingleTxtG"/>
        <w:rPr>
          <w:lang w:val="fr-FR"/>
        </w:rPr>
      </w:pPr>
      <w:r w:rsidRPr="00243256">
        <w:rPr>
          <w:lang w:val="fr-FR"/>
        </w:rPr>
        <w:t>2.</w:t>
      </w:r>
      <w:r w:rsidRPr="00243256">
        <w:rPr>
          <w:lang w:val="fr-FR"/>
        </w:rPr>
        <w:tab/>
        <w:t>Modification du 6.4, Conditions dynamiques</w:t>
      </w:r>
    </w:p>
    <w:p w:rsidR="00CC315F" w:rsidRPr="004C1BA2" w:rsidRDefault="00CC315F" w:rsidP="00180216">
      <w:pPr>
        <w:pStyle w:val="SingleTxtG"/>
        <w:ind w:firstLine="567"/>
        <w:rPr>
          <w:rFonts w:eastAsia="MS Mincho"/>
          <w:i/>
          <w:lang w:val="fr-FR"/>
        </w:rPr>
      </w:pPr>
      <w:r w:rsidRPr="004C1BA2">
        <w:rPr>
          <w:lang w:val="fr-FR"/>
        </w:rPr>
        <w:t>Au premier</w:t>
      </w:r>
      <w:r w:rsidRPr="004C1BA2">
        <w:rPr>
          <w:rFonts w:eastAsia="MS Mincho"/>
          <w:szCs w:val="24"/>
          <w:lang w:val="fr-FR"/>
        </w:rPr>
        <w:t xml:space="preserve"> paragraphe du 6.4.2, remplacer « la pression maximale de service (</w:t>
      </w:r>
      <w:proofErr w:type="spellStart"/>
      <w:r w:rsidRPr="004C1BA2">
        <w:rPr>
          <w:rStyle w:val="CCMCvariableitalic"/>
          <w:i w:val="0"/>
          <w:szCs w:val="24"/>
          <w:lang w:val="fr-FR"/>
        </w:rPr>
        <w:t>P</w:t>
      </w:r>
      <w:r w:rsidRPr="004C1BA2">
        <w:rPr>
          <w:rFonts w:eastAsia="MS Mincho"/>
          <w:szCs w:val="24"/>
          <w:vertAlign w:val="subscript"/>
          <w:lang w:val="fr-FR"/>
        </w:rPr>
        <w:t>v</w:t>
      </w:r>
      <w:proofErr w:type="spellEnd"/>
      <w:r w:rsidRPr="004C1BA2">
        <w:rPr>
          <w:rStyle w:val="CCMCvariableitalic"/>
          <w:szCs w:val="24"/>
          <w:lang w:val="fr-FR"/>
        </w:rPr>
        <w:t xml:space="preserve"> ou </w:t>
      </w:r>
      <w:r w:rsidRPr="004C1BA2">
        <w:rPr>
          <w:rStyle w:val="CCMCvariableitalic"/>
          <w:i w:val="0"/>
          <w:szCs w:val="24"/>
          <w:lang w:val="fr-FR"/>
        </w:rPr>
        <w:t>P</w:t>
      </w:r>
      <w:r w:rsidRPr="004C1BA2">
        <w:rPr>
          <w:rFonts w:eastAsia="MS Mincho"/>
          <w:szCs w:val="24"/>
          <w:vertAlign w:val="subscript"/>
          <w:lang w:val="fr-FR"/>
        </w:rPr>
        <w:t>ts</w:t>
      </w:r>
      <w:r w:rsidRPr="004C1BA2">
        <w:rPr>
          <w:rFonts w:eastAsia="MS Mincho"/>
          <w:szCs w:val="24"/>
          <w:lang w:val="fr-FR"/>
        </w:rPr>
        <w:t xml:space="preserve">) » par « la plus grande valeur de </w:t>
      </w:r>
      <w:proofErr w:type="spellStart"/>
      <w:r w:rsidRPr="004C1BA2">
        <w:rPr>
          <w:rStyle w:val="CCMCvariableitalic"/>
          <w:i w:val="0"/>
          <w:szCs w:val="24"/>
          <w:lang w:val="fr-FR"/>
        </w:rPr>
        <w:t>P</w:t>
      </w:r>
      <w:r w:rsidRPr="004C1BA2">
        <w:rPr>
          <w:rFonts w:eastAsia="MS Mincho"/>
          <w:szCs w:val="24"/>
          <w:vertAlign w:val="subscript"/>
          <w:lang w:val="fr-FR"/>
        </w:rPr>
        <w:t>ta</w:t>
      </w:r>
      <w:proofErr w:type="spellEnd"/>
      <w:r w:rsidRPr="004C1BA2">
        <w:rPr>
          <w:rStyle w:val="CCMCvariableitalic"/>
          <w:szCs w:val="24"/>
          <w:lang w:val="fr-FR"/>
        </w:rPr>
        <w:t xml:space="preserve"> ou </w:t>
      </w:r>
      <w:r w:rsidRPr="004C1BA2">
        <w:rPr>
          <w:rStyle w:val="CCMCvariableitalic"/>
          <w:i w:val="0"/>
          <w:szCs w:val="24"/>
          <w:lang w:val="fr-FR"/>
        </w:rPr>
        <w:t>P</w:t>
      </w:r>
      <w:r w:rsidRPr="004C1BA2">
        <w:rPr>
          <w:rFonts w:eastAsia="MS Mincho"/>
          <w:szCs w:val="24"/>
          <w:vertAlign w:val="subscript"/>
          <w:lang w:val="fr-FR"/>
        </w:rPr>
        <w:t>ts</w:t>
      </w:r>
      <w:r w:rsidRPr="004C1BA2">
        <w:rPr>
          <w:rFonts w:eastAsia="MS Mincho"/>
          <w:szCs w:val="24"/>
          <w:lang w:val="fr-FR"/>
        </w:rPr>
        <w:t> »</w:t>
      </w:r>
      <w:r w:rsidR="00180216" w:rsidRPr="004C1BA2">
        <w:rPr>
          <w:rFonts w:eastAsia="MS Mincho"/>
          <w:szCs w:val="24"/>
          <w:lang w:val="fr-FR"/>
        </w:rPr>
        <w:t xml:space="preserve"> </w:t>
      </w:r>
      <w:r w:rsidRPr="004C1BA2">
        <w:rPr>
          <w:lang w:val="fr-FR"/>
        </w:rPr>
        <w:t>où</w:t>
      </w:r>
      <w:r w:rsidRPr="004C1BA2">
        <w:rPr>
          <w:rFonts w:eastAsia="MS Mincho"/>
          <w:szCs w:val="24"/>
          <w:lang w:val="fr-FR"/>
        </w:rPr>
        <w:t xml:space="preserve"> </w:t>
      </w:r>
      <w:proofErr w:type="spellStart"/>
      <w:r w:rsidRPr="004C1BA2">
        <w:rPr>
          <w:rStyle w:val="CCMCvariableitalic"/>
          <w:i w:val="0"/>
          <w:lang w:val="fr-FR"/>
        </w:rPr>
        <w:t>P</w:t>
      </w:r>
      <w:r w:rsidRPr="004C1BA2">
        <w:rPr>
          <w:rFonts w:eastAsia="MS Mincho"/>
          <w:szCs w:val="24"/>
          <w:vertAlign w:val="subscript"/>
          <w:lang w:val="fr-FR"/>
        </w:rPr>
        <w:t>ta</w:t>
      </w:r>
      <w:proofErr w:type="spellEnd"/>
      <w:r w:rsidRPr="004C1BA2">
        <w:rPr>
          <w:rStyle w:val="CCMCvariableitalic"/>
          <w:lang w:val="fr-FR"/>
        </w:rPr>
        <w:t xml:space="preserve"> est la pression statique </w:t>
      </w:r>
      <w:r w:rsidRPr="004C1BA2">
        <w:rPr>
          <w:rStyle w:val="CCMCvariableitalic"/>
          <w:i w:val="0"/>
          <w:lang w:val="fr-FR"/>
        </w:rPr>
        <w:t>(manométrique), en mégapascals (MPa).</w:t>
      </w:r>
    </w:p>
    <w:p w:rsidR="00CC315F" w:rsidRPr="00243256" w:rsidRDefault="00CC315F" w:rsidP="00AF38F0">
      <w:pPr>
        <w:pStyle w:val="SingleTxtG"/>
        <w:rPr>
          <w:lang w:val="fr-FR"/>
        </w:rPr>
      </w:pPr>
      <w:r w:rsidRPr="00243256">
        <w:rPr>
          <w:lang w:val="fr-FR"/>
        </w:rPr>
        <w:t>3.</w:t>
      </w:r>
      <w:r w:rsidRPr="00243256">
        <w:rPr>
          <w:lang w:val="fr-FR"/>
        </w:rPr>
        <w:tab/>
        <w:t>Modification du 6.5, Conditions de pression</w:t>
      </w:r>
    </w:p>
    <w:p w:rsidR="00CC315F" w:rsidRPr="00243256" w:rsidRDefault="00CC315F" w:rsidP="00AF38F0">
      <w:pPr>
        <w:pStyle w:val="SingleTxtG"/>
        <w:rPr>
          <w:lang w:val="fr-FR"/>
        </w:rPr>
      </w:pPr>
      <w:r w:rsidRPr="00243256">
        <w:rPr>
          <w:lang w:val="fr-FR"/>
        </w:rPr>
        <w:t>3.1</w:t>
      </w:r>
      <w:r w:rsidRPr="00243256">
        <w:rPr>
          <w:lang w:val="fr-FR"/>
        </w:rPr>
        <w:tab/>
      </w:r>
      <w:r w:rsidRPr="00AF38F0">
        <w:rPr>
          <w:lang w:val="fr-FR"/>
        </w:rPr>
        <w:t>Modification du 6.5.1</w:t>
      </w:r>
    </w:p>
    <w:p w:rsidR="00CC315F" w:rsidRPr="00243256" w:rsidRDefault="00CC315F" w:rsidP="00AF38F0">
      <w:pPr>
        <w:pStyle w:val="SingleTxtG"/>
        <w:ind w:firstLine="567"/>
        <w:rPr>
          <w:lang w:val="fr-FR"/>
        </w:rPr>
      </w:pPr>
      <w:r w:rsidRPr="00243256">
        <w:rPr>
          <w:i/>
          <w:lang w:val="fr-FR"/>
        </w:rPr>
        <w:t>Supprimer</w:t>
      </w:r>
      <w:r w:rsidRPr="00243256">
        <w:rPr>
          <w:rFonts w:eastAsia="MS Mincho"/>
          <w:szCs w:val="24"/>
          <w:lang w:val="fr-FR"/>
        </w:rPr>
        <w:t xml:space="preserve"> « c)</w:t>
      </w:r>
      <w:r w:rsidR="00180216">
        <w:rPr>
          <w:rFonts w:eastAsia="MS Mincho"/>
          <w:szCs w:val="24"/>
          <w:lang w:val="fr-FR"/>
        </w:rPr>
        <w:t xml:space="preserve"> </w:t>
      </w:r>
      <w:r w:rsidRPr="00243256">
        <w:rPr>
          <w:rFonts w:eastAsia="MS Mincho"/>
          <w:szCs w:val="24"/>
          <w:lang w:val="fr-FR"/>
        </w:rPr>
        <w:t>1,3 fois la pression maximale de service ».</w:t>
      </w:r>
    </w:p>
    <w:p w:rsidR="00CC315F" w:rsidRPr="00243256" w:rsidRDefault="00CC315F" w:rsidP="00CC315F">
      <w:pPr>
        <w:pStyle w:val="SingleTxt"/>
        <w:spacing w:before="120"/>
        <w:ind w:left="1134" w:right="1134"/>
        <w:rPr>
          <w:lang w:val="fr-FR"/>
        </w:rPr>
      </w:pPr>
      <w:r w:rsidRPr="00243256">
        <w:rPr>
          <w:rFonts w:eastAsia="MS Mincho"/>
          <w:szCs w:val="24"/>
          <w:lang w:val="fr-FR"/>
        </w:rPr>
        <w:t>3.2</w:t>
      </w:r>
      <w:r w:rsidRPr="00243256">
        <w:rPr>
          <w:rFonts w:eastAsia="MS Mincho"/>
          <w:szCs w:val="24"/>
          <w:lang w:val="fr-FR"/>
        </w:rPr>
        <w:tab/>
        <w:t>Modification</w:t>
      </w:r>
      <w:r w:rsidRPr="00243256">
        <w:rPr>
          <w:lang w:val="fr-FR"/>
        </w:rPr>
        <w:t xml:space="preserve"> du 6.5.2</w:t>
      </w:r>
    </w:p>
    <w:p w:rsidR="00CC315F" w:rsidRPr="00243256" w:rsidRDefault="00CC315F" w:rsidP="00AF38F0">
      <w:pPr>
        <w:pStyle w:val="SingleTxtG"/>
        <w:ind w:firstLine="567"/>
        <w:rPr>
          <w:lang w:val="fr-FR"/>
        </w:rPr>
      </w:pPr>
      <w:r w:rsidRPr="00243256">
        <w:rPr>
          <w:i/>
          <w:lang w:val="fr-FR"/>
        </w:rPr>
        <w:t>Remplacer</w:t>
      </w:r>
      <w:r w:rsidRPr="00243256">
        <w:rPr>
          <w:rFonts w:eastAsia="MS Mincho"/>
          <w:szCs w:val="24"/>
          <w:lang w:val="fr-FR"/>
        </w:rPr>
        <w:t xml:space="preserve"> « 1,3 × (</w:t>
      </w:r>
      <w:proofErr w:type="spellStart"/>
      <w:r w:rsidRPr="004C1BA2">
        <w:rPr>
          <w:rStyle w:val="CCMCvariableitalic"/>
          <w:i w:val="0"/>
          <w:szCs w:val="24"/>
          <w:lang w:val="fr-FR"/>
        </w:rPr>
        <w:t>P</w:t>
      </w:r>
      <w:r w:rsidRPr="00243256">
        <w:rPr>
          <w:rFonts w:eastAsia="MS Mincho"/>
          <w:szCs w:val="24"/>
          <w:vertAlign w:val="subscript"/>
          <w:lang w:val="fr-FR"/>
        </w:rPr>
        <w:t>ta</w:t>
      </w:r>
      <w:proofErr w:type="spellEnd"/>
      <w:r w:rsidRPr="00243256">
        <w:rPr>
          <w:rFonts w:eastAsia="MS Mincho"/>
          <w:szCs w:val="24"/>
          <w:lang w:val="fr-FR"/>
        </w:rPr>
        <w:t> + </w:t>
      </w:r>
      <w:r w:rsidRPr="004C1BA2">
        <w:rPr>
          <w:rStyle w:val="CCMCvariableitalic"/>
          <w:rFonts w:eastAsia="MS Mincho"/>
          <w:i w:val="0"/>
          <w:szCs w:val="24"/>
          <w:lang w:val="fr-FR"/>
        </w:rPr>
        <w:t>P</w:t>
      </w:r>
      <w:r w:rsidRPr="00243256">
        <w:rPr>
          <w:rFonts w:eastAsia="MS Mincho"/>
          <w:szCs w:val="24"/>
          <w:vertAlign w:val="subscript"/>
          <w:lang w:val="fr-FR"/>
        </w:rPr>
        <w:t>ts</w:t>
      </w:r>
      <w:r w:rsidRPr="00243256">
        <w:rPr>
          <w:rFonts w:eastAsia="MS Mincho"/>
          <w:szCs w:val="24"/>
          <w:lang w:val="fr-FR"/>
        </w:rPr>
        <w:t>) » par « max (</w:t>
      </w:r>
      <w:r w:rsidRPr="003E2D87">
        <w:rPr>
          <w:rFonts w:eastAsia="MS Mincho"/>
          <w:szCs w:val="24"/>
          <w:lang w:val="fr-FR"/>
        </w:rPr>
        <w:t>0,2 ; 1,3 × </w:t>
      </w:r>
      <w:proofErr w:type="spellStart"/>
      <w:r w:rsidRPr="003E2D87">
        <w:rPr>
          <w:rStyle w:val="CCMCvariableitalic"/>
          <w:i w:val="0"/>
          <w:szCs w:val="24"/>
          <w:lang w:val="fr-FR"/>
        </w:rPr>
        <w:t>P</w:t>
      </w:r>
      <w:r w:rsidRPr="003E2D87">
        <w:rPr>
          <w:rFonts w:eastAsia="MS Mincho"/>
          <w:szCs w:val="24"/>
          <w:vertAlign w:val="subscript"/>
          <w:lang w:val="fr-FR"/>
        </w:rPr>
        <w:t>ta</w:t>
      </w:r>
      <w:proofErr w:type="spellEnd"/>
      <w:r w:rsidRPr="003E2D87">
        <w:rPr>
          <w:rFonts w:eastAsia="MS Mincho"/>
          <w:szCs w:val="24"/>
          <w:vertAlign w:val="subscript"/>
          <w:lang w:val="fr-FR"/>
        </w:rPr>
        <w:t xml:space="preserve"> eau</w:t>
      </w:r>
      <w:r w:rsidRPr="003E2D87">
        <w:rPr>
          <w:rFonts w:eastAsia="MS Mincho"/>
          <w:szCs w:val="24"/>
          <w:lang w:val="fr-FR"/>
        </w:rPr>
        <w:t xml:space="preserve"> ; 1,3 × </w:t>
      </w:r>
      <w:proofErr w:type="spellStart"/>
      <w:r w:rsidRPr="003E2D87">
        <w:rPr>
          <w:rStyle w:val="CCMCvariableitalic"/>
          <w:i w:val="0"/>
          <w:szCs w:val="24"/>
          <w:lang w:val="fr-FR"/>
        </w:rPr>
        <w:t>P</w:t>
      </w:r>
      <w:r w:rsidRPr="003E2D87">
        <w:rPr>
          <w:rFonts w:eastAsia="MS Mincho"/>
          <w:szCs w:val="24"/>
          <w:vertAlign w:val="subscript"/>
          <w:lang w:val="fr-FR"/>
        </w:rPr>
        <w:t>ta</w:t>
      </w:r>
      <w:proofErr w:type="spellEnd"/>
      <w:r w:rsidRPr="003E2D87">
        <w:rPr>
          <w:rFonts w:eastAsia="MS Mincho"/>
          <w:szCs w:val="24"/>
          <w:lang w:val="fr-FR"/>
        </w:rPr>
        <w:t>)</w:t>
      </w:r>
      <w:r w:rsidRPr="00243256">
        <w:rPr>
          <w:rFonts w:eastAsia="MS Mincho"/>
          <w:szCs w:val="24"/>
          <w:lang w:val="fr-FR"/>
        </w:rPr>
        <w:t> ».</w:t>
      </w:r>
    </w:p>
    <w:p w:rsidR="00CC315F" w:rsidRPr="00243256" w:rsidRDefault="00CC315F" w:rsidP="0010338E">
      <w:pPr>
        <w:pStyle w:val="SingleTxtG"/>
        <w:rPr>
          <w:rFonts w:eastAsia="MS Mincho"/>
          <w:lang w:val="fr-FR"/>
        </w:rPr>
      </w:pPr>
      <w:r w:rsidRPr="00243256">
        <w:rPr>
          <w:rFonts w:eastAsia="MS Mincho"/>
          <w:lang w:val="fr-FR"/>
        </w:rPr>
        <w:t>4.</w:t>
      </w:r>
      <w:r w:rsidRPr="00243256">
        <w:rPr>
          <w:rFonts w:eastAsia="MS Mincho"/>
          <w:lang w:val="fr-FR"/>
        </w:rPr>
        <w:tab/>
        <w:t>Modification de l</w:t>
      </w:r>
      <w:r w:rsidR="008B6F84">
        <w:rPr>
          <w:rFonts w:eastAsia="MS Mincho"/>
          <w:lang w:val="fr-FR"/>
        </w:rPr>
        <w:t>’</w:t>
      </w:r>
      <w:r w:rsidR="00AB6B72">
        <w:rPr>
          <w:rFonts w:eastAsia="MS Mincho"/>
          <w:lang w:val="fr-FR"/>
        </w:rPr>
        <w:t>a</w:t>
      </w:r>
      <w:r w:rsidRPr="00243256">
        <w:rPr>
          <w:rFonts w:eastAsia="MS Mincho"/>
          <w:lang w:val="fr-FR"/>
        </w:rPr>
        <w:t xml:space="preserve">nnexe A, A.5 Méthode de calcul – Note de </w:t>
      </w:r>
      <w:r w:rsidRPr="00243256">
        <w:rPr>
          <w:rFonts w:eastAsia="MS Mincho"/>
          <w:i/>
          <w:szCs w:val="24"/>
          <w:lang w:val="fr-FR"/>
        </w:rPr>
        <w:t>calcul</w:t>
      </w:r>
    </w:p>
    <w:p w:rsidR="00CC315F" w:rsidRPr="00243256" w:rsidRDefault="00CC315F" w:rsidP="00AF38F0">
      <w:pPr>
        <w:pStyle w:val="SingleTxtG"/>
        <w:rPr>
          <w:lang w:val="fr-FR"/>
        </w:rPr>
      </w:pPr>
      <w:r w:rsidRPr="00243256">
        <w:rPr>
          <w:lang w:val="fr-FR"/>
        </w:rPr>
        <w:t>4.1</w:t>
      </w:r>
      <w:r w:rsidRPr="00243256">
        <w:rPr>
          <w:lang w:val="fr-FR"/>
        </w:rPr>
        <w:tab/>
        <w:t>Modification du A.5.2.2.1, Tableau A.2, Pressions</w:t>
      </w:r>
    </w:p>
    <w:p w:rsidR="00CC315F" w:rsidRPr="00243256" w:rsidRDefault="00CC315F" w:rsidP="00AF38F0">
      <w:pPr>
        <w:pStyle w:val="SingleTxtG"/>
        <w:ind w:firstLine="567"/>
        <w:rPr>
          <w:rFonts w:eastAsia="MS Mincho"/>
          <w:szCs w:val="24"/>
          <w:lang w:val="fr-FR"/>
        </w:rPr>
      </w:pPr>
      <w:r w:rsidRPr="00243256">
        <w:rPr>
          <w:i/>
          <w:lang w:val="fr-FR"/>
        </w:rPr>
        <w:t>Remplacer</w:t>
      </w:r>
      <w:r w:rsidRPr="00243256">
        <w:rPr>
          <w:rFonts w:eastAsia="MS Mincho"/>
          <w:i/>
          <w:szCs w:val="24"/>
          <w:lang w:val="fr-FR"/>
        </w:rPr>
        <w:t xml:space="preserve"> </w:t>
      </w:r>
      <w:r w:rsidR="00FC1143" w:rsidRPr="00FC1143">
        <w:rPr>
          <w:rFonts w:eastAsia="MS Mincho"/>
          <w:i/>
          <w:szCs w:val="22"/>
          <w:lang w:val="fr-FR"/>
        </w:rPr>
        <w:t>n</w:t>
      </w:r>
      <w:r w:rsidR="00FC1143" w:rsidRPr="00FC1143">
        <w:rPr>
          <w:rFonts w:eastAsia="MS Mincho"/>
          <w:i/>
          <w:szCs w:val="22"/>
          <w:vertAlign w:val="superscript"/>
          <w:lang w:val="fr-FR"/>
        </w:rPr>
        <w:t>o</w:t>
      </w:r>
      <w:r w:rsidR="00FC1143">
        <w:rPr>
          <w:rFonts w:eastAsia="MS Mincho"/>
          <w:i/>
          <w:szCs w:val="24"/>
          <w:lang w:val="fr-FR"/>
        </w:rPr>
        <w:t> </w:t>
      </w:r>
      <w:r w:rsidRPr="00243256">
        <w:rPr>
          <w:rFonts w:eastAsia="MS Mincho"/>
          <w:i/>
          <w:szCs w:val="24"/>
          <w:lang w:val="fr-FR"/>
        </w:rPr>
        <w:t xml:space="preserve">2 </w:t>
      </w:r>
      <w:r w:rsidRPr="00243256">
        <w:rPr>
          <w:rFonts w:eastAsia="MS Mincho"/>
          <w:szCs w:val="24"/>
          <w:lang w:val="fr-FR"/>
        </w:rPr>
        <w:t xml:space="preserve">« Pression maximale de </w:t>
      </w:r>
      <w:proofErr w:type="spellStart"/>
      <w:r w:rsidRPr="00243256">
        <w:rPr>
          <w:rFonts w:eastAsia="MS Mincho"/>
          <w:szCs w:val="24"/>
          <w:lang w:val="fr-FR"/>
        </w:rPr>
        <w:t>service</w:t>
      </w:r>
      <w:r w:rsidRPr="00243256">
        <w:rPr>
          <w:rFonts w:eastAsia="MS Mincho"/>
          <w:sz w:val="22"/>
          <w:vertAlign w:val="superscript"/>
          <w:lang w:val="fr-FR"/>
        </w:rPr>
        <w:t>b</w:t>
      </w:r>
      <w:proofErr w:type="spellEnd"/>
      <w:r w:rsidRPr="00243256">
        <w:rPr>
          <w:rFonts w:eastAsia="MS Mincho"/>
          <w:szCs w:val="24"/>
          <w:lang w:val="fr-FR"/>
        </w:rPr>
        <w:t>,</w:t>
      </w:r>
      <w:r w:rsidRPr="00243256">
        <w:rPr>
          <w:rFonts w:eastAsia="MS Mincho"/>
          <w:i/>
          <w:szCs w:val="24"/>
          <w:lang w:val="fr-FR"/>
        </w:rPr>
        <w:t xml:space="preserve"> </w:t>
      </w:r>
      <w:proofErr w:type="spellStart"/>
      <w:r w:rsidRPr="003E2D87">
        <w:rPr>
          <w:rStyle w:val="CCMCvariableitalic"/>
          <w:rFonts w:eastAsia="MS Mincho"/>
          <w:i w:val="0"/>
          <w:szCs w:val="24"/>
          <w:lang w:val="fr-FR"/>
        </w:rPr>
        <w:t>P</w:t>
      </w:r>
      <w:r w:rsidRPr="00243256">
        <w:rPr>
          <w:rFonts w:eastAsia="MS Mincho"/>
          <w:szCs w:val="24"/>
          <w:vertAlign w:val="subscript"/>
          <w:lang w:val="fr-FR"/>
        </w:rPr>
        <w:t>ms</w:t>
      </w:r>
      <w:proofErr w:type="spellEnd"/>
      <w:r w:rsidRPr="00243256">
        <w:rPr>
          <w:rFonts w:eastAsia="MS Mincho"/>
          <w:szCs w:val="24"/>
          <w:lang w:val="fr-FR"/>
        </w:rPr>
        <w:t> »</w:t>
      </w:r>
      <w:r w:rsidRPr="00243256">
        <w:rPr>
          <w:rFonts w:eastAsia="MS Mincho"/>
          <w:i/>
          <w:szCs w:val="24"/>
          <w:lang w:val="fr-FR"/>
        </w:rPr>
        <w:t xml:space="preserve"> par </w:t>
      </w:r>
      <w:r w:rsidRPr="00243256">
        <w:rPr>
          <w:rFonts w:eastAsia="MS Mincho"/>
          <w:szCs w:val="24"/>
          <w:lang w:val="fr-FR"/>
        </w:rPr>
        <w:t>« Pression d</w:t>
      </w:r>
      <w:r w:rsidR="008B6F84">
        <w:rPr>
          <w:rFonts w:eastAsia="MS Mincho"/>
          <w:szCs w:val="24"/>
          <w:lang w:val="fr-FR"/>
        </w:rPr>
        <w:t>’</w:t>
      </w:r>
      <w:r w:rsidRPr="00243256">
        <w:rPr>
          <w:rFonts w:eastAsia="MS Mincho"/>
          <w:szCs w:val="24"/>
          <w:lang w:val="fr-FR"/>
        </w:rPr>
        <w:t>ouverture du dispositif de respiration,</w:t>
      </w:r>
      <w:r w:rsidRPr="00243256">
        <w:rPr>
          <w:rFonts w:eastAsia="MS Mincho"/>
          <w:i/>
          <w:szCs w:val="24"/>
          <w:lang w:val="fr-FR"/>
        </w:rPr>
        <w:t xml:space="preserve"> </w:t>
      </w:r>
      <w:r w:rsidRPr="00174B17">
        <w:rPr>
          <w:rStyle w:val="CCMCvariableitalic"/>
          <w:rFonts w:eastAsia="MS Mincho"/>
          <w:i w:val="0"/>
          <w:szCs w:val="24"/>
          <w:lang w:val="fr-FR"/>
        </w:rPr>
        <w:t>P</w:t>
      </w:r>
      <w:r w:rsidRPr="00243256">
        <w:rPr>
          <w:rFonts w:eastAsia="MS Mincho"/>
          <w:szCs w:val="24"/>
          <w:vertAlign w:val="subscript"/>
          <w:lang w:val="fr-FR"/>
        </w:rPr>
        <w:t>ts</w:t>
      </w:r>
      <w:r w:rsidRPr="00243256">
        <w:rPr>
          <w:rFonts w:eastAsia="MS Mincho"/>
          <w:szCs w:val="24"/>
          <w:lang w:val="fr-FR"/>
        </w:rPr>
        <w:t> ».</w:t>
      </w:r>
    </w:p>
    <w:p w:rsidR="00CC315F" w:rsidRPr="00243256" w:rsidRDefault="00CC315F" w:rsidP="00AF38F0">
      <w:pPr>
        <w:pStyle w:val="SingleTxtG"/>
        <w:ind w:firstLine="567"/>
        <w:rPr>
          <w:szCs w:val="24"/>
          <w:lang w:val="fr-FR"/>
        </w:rPr>
      </w:pPr>
      <w:r w:rsidRPr="00243256">
        <w:rPr>
          <w:i/>
          <w:lang w:val="fr-FR"/>
        </w:rPr>
        <w:t>Supprimer</w:t>
      </w:r>
      <w:r w:rsidRPr="00243256">
        <w:rPr>
          <w:bCs/>
          <w:i/>
          <w:iCs/>
          <w:szCs w:val="24"/>
          <w:lang w:val="fr-FR"/>
        </w:rPr>
        <w:t xml:space="preserve"> </w:t>
      </w:r>
      <w:r w:rsidRPr="00243256">
        <w:rPr>
          <w:bCs/>
          <w:iCs/>
          <w:szCs w:val="24"/>
          <w:lang w:val="fr-FR"/>
        </w:rPr>
        <w:t>« </w:t>
      </w:r>
      <w:r w:rsidRPr="00243256">
        <w:rPr>
          <w:szCs w:val="24"/>
          <w:vertAlign w:val="superscript"/>
          <w:lang w:val="fr-FR"/>
        </w:rPr>
        <w:t>b</w:t>
      </w:r>
      <w:r w:rsidRPr="00243256">
        <w:rPr>
          <w:szCs w:val="24"/>
          <w:vertAlign w:val="superscript"/>
          <w:lang w:val="fr-FR"/>
        </w:rPr>
        <w:tab/>
      </w:r>
      <w:proofErr w:type="spellStart"/>
      <w:r w:rsidRPr="00174B17">
        <w:rPr>
          <w:rStyle w:val="CCMCvariableitalic"/>
          <w:i w:val="0"/>
          <w:szCs w:val="24"/>
          <w:lang w:val="fr-FR"/>
        </w:rPr>
        <w:t>P</w:t>
      </w:r>
      <w:r w:rsidRPr="00243256">
        <w:rPr>
          <w:szCs w:val="24"/>
          <w:vertAlign w:val="subscript"/>
          <w:lang w:val="fr-FR"/>
        </w:rPr>
        <w:t>ms</w:t>
      </w:r>
      <w:proofErr w:type="spellEnd"/>
      <w:r w:rsidRPr="00243256">
        <w:rPr>
          <w:szCs w:val="24"/>
          <w:lang w:val="fr-FR"/>
        </w:rPr>
        <w:t xml:space="preserve"> est le maximum de </w:t>
      </w:r>
      <w:proofErr w:type="spellStart"/>
      <w:r w:rsidRPr="00174B17">
        <w:rPr>
          <w:rStyle w:val="CCMCvariableitalic"/>
          <w:i w:val="0"/>
          <w:szCs w:val="24"/>
          <w:lang w:val="fr-FR"/>
        </w:rPr>
        <w:t>P</w:t>
      </w:r>
      <w:r w:rsidRPr="00243256">
        <w:rPr>
          <w:szCs w:val="24"/>
          <w:vertAlign w:val="subscript"/>
          <w:lang w:val="fr-FR"/>
        </w:rPr>
        <w:t>vd</w:t>
      </w:r>
      <w:proofErr w:type="spellEnd"/>
      <w:r w:rsidRPr="00243256">
        <w:rPr>
          <w:szCs w:val="24"/>
          <w:lang w:val="fr-FR"/>
        </w:rPr>
        <w:t xml:space="preserve">, </w:t>
      </w:r>
      <w:r w:rsidRPr="00174B17">
        <w:rPr>
          <w:rStyle w:val="CCMCvariableitalic"/>
          <w:i w:val="0"/>
          <w:szCs w:val="24"/>
          <w:lang w:val="fr-FR"/>
        </w:rPr>
        <w:t>P</w:t>
      </w:r>
      <w:r w:rsidRPr="00243256">
        <w:rPr>
          <w:szCs w:val="24"/>
          <w:vertAlign w:val="subscript"/>
          <w:lang w:val="fr-FR"/>
        </w:rPr>
        <w:t>ts</w:t>
      </w:r>
      <w:r w:rsidRPr="00243256">
        <w:rPr>
          <w:szCs w:val="24"/>
          <w:lang w:val="fr-FR"/>
        </w:rPr>
        <w:t xml:space="preserve">, </w:t>
      </w:r>
      <w:r w:rsidRPr="00174B17">
        <w:rPr>
          <w:rStyle w:val="CCMCvariableitalic"/>
          <w:i w:val="0"/>
          <w:szCs w:val="24"/>
          <w:lang w:val="fr-FR"/>
        </w:rPr>
        <w:t>P</w:t>
      </w:r>
      <w:r w:rsidRPr="00243256">
        <w:rPr>
          <w:szCs w:val="24"/>
          <w:vertAlign w:val="subscript"/>
          <w:lang w:val="fr-FR"/>
        </w:rPr>
        <w:t>d</w:t>
      </w:r>
      <w:r w:rsidRPr="00243256">
        <w:rPr>
          <w:szCs w:val="24"/>
          <w:lang w:val="fr-FR"/>
        </w:rPr>
        <w:t xml:space="preserve"> et </w:t>
      </w:r>
      <w:r w:rsidRPr="00174B17">
        <w:rPr>
          <w:rStyle w:val="CCMCvariableitalic"/>
          <w:i w:val="0"/>
          <w:szCs w:val="24"/>
          <w:lang w:val="fr-FR"/>
        </w:rPr>
        <w:t>P</w:t>
      </w:r>
      <w:r w:rsidRPr="00243256">
        <w:rPr>
          <w:szCs w:val="24"/>
          <w:vertAlign w:val="subscript"/>
          <w:lang w:val="fr-FR"/>
        </w:rPr>
        <w:t>r</w:t>
      </w:r>
      <w:r w:rsidRPr="00243256">
        <w:rPr>
          <w:szCs w:val="24"/>
          <w:lang w:val="fr-FR"/>
        </w:rPr>
        <w:t> ».</w:t>
      </w:r>
    </w:p>
    <w:p w:rsidR="00CC315F" w:rsidRPr="00243256" w:rsidRDefault="00CC315F" w:rsidP="00AF38F0">
      <w:pPr>
        <w:pStyle w:val="SingleTxtG"/>
        <w:rPr>
          <w:lang w:val="fr-FR"/>
        </w:rPr>
      </w:pPr>
      <w:r w:rsidRPr="00243256">
        <w:rPr>
          <w:lang w:val="fr-FR"/>
        </w:rPr>
        <w:t>4.2</w:t>
      </w:r>
      <w:r w:rsidRPr="00243256">
        <w:rPr>
          <w:lang w:val="fr-FR"/>
        </w:rPr>
        <w:tab/>
        <w:t>Modification du A.5.2.2.2, Tableau A.3, Pression de calcul</w:t>
      </w:r>
      <w:r w:rsidR="00291329">
        <w:rPr>
          <w:lang w:val="fr-FR"/>
        </w:rPr>
        <w:t xml:space="preserve"> dans les conditions de service</w:t>
      </w:r>
    </w:p>
    <w:p w:rsidR="00CC315F" w:rsidRPr="00243256" w:rsidRDefault="00CC315F" w:rsidP="00AF38F0">
      <w:pPr>
        <w:pStyle w:val="SingleTxtG"/>
        <w:ind w:firstLine="567"/>
        <w:rPr>
          <w:lang w:val="fr-FR"/>
        </w:rPr>
      </w:pPr>
      <w:r w:rsidRPr="00243256">
        <w:rPr>
          <w:i/>
          <w:lang w:val="fr-FR"/>
        </w:rPr>
        <w:t>Aux</w:t>
      </w:r>
      <w:r w:rsidRPr="00243256">
        <w:rPr>
          <w:bCs/>
          <w:i/>
          <w:iCs/>
          <w:szCs w:val="24"/>
          <w:lang w:val="fr-FR"/>
        </w:rPr>
        <w:t xml:space="preserve"> 4, 5, 6 et 7, remplacer</w:t>
      </w:r>
      <w:r w:rsidRPr="00243256">
        <w:rPr>
          <w:lang w:val="fr-FR"/>
        </w:rPr>
        <w:t xml:space="preserve"> « </w:t>
      </w:r>
      <w:proofErr w:type="spellStart"/>
      <w:r w:rsidRPr="00174B17">
        <w:rPr>
          <w:rStyle w:val="CCMCvariableitalic"/>
          <w:i w:val="0"/>
          <w:szCs w:val="24"/>
          <w:lang w:val="fr-FR"/>
        </w:rPr>
        <w:t>P</w:t>
      </w:r>
      <w:r w:rsidRPr="00243256">
        <w:rPr>
          <w:szCs w:val="24"/>
          <w:vertAlign w:val="subscript"/>
          <w:lang w:val="fr-FR"/>
        </w:rPr>
        <w:t>ms</w:t>
      </w:r>
      <w:proofErr w:type="spellEnd"/>
      <w:r w:rsidRPr="00243256">
        <w:rPr>
          <w:szCs w:val="24"/>
          <w:lang w:val="fr-FR"/>
        </w:rPr>
        <w:t> »</w:t>
      </w:r>
      <w:r w:rsidRPr="00243256">
        <w:rPr>
          <w:i/>
          <w:szCs w:val="24"/>
          <w:lang w:val="fr-FR"/>
        </w:rPr>
        <w:t xml:space="preserve"> par </w:t>
      </w:r>
      <w:r w:rsidRPr="00243256">
        <w:rPr>
          <w:szCs w:val="24"/>
          <w:lang w:val="fr-FR"/>
        </w:rPr>
        <w:t>« </w:t>
      </w:r>
      <w:r w:rsidRPr="00174B17">
        <w:rPr>
          <w:rStyle w:val="CCMCvariableitalic"/>
          <w:i w:val="0"/>
          <w:szCs w:val="24"/>
          <w:lang w:val="fr-FR"/>
        </w:rPr>
        <w:t>P</w:t>
      </w:r>
      <w:r w:rsidRPr="00243256">
        <w:rPr>
          <w:szCs w:val="24"/>
          <w:vertAlign w:val="subscript"/>
          <w:lang w:val="fr-FR"/>
        </w:rPr>
        <w:t>ts</w:t>
      </w:r>
      <w:r w:rsidRPr="00243256">
        <w:rPr>
          <w:szCs w:val="24"/>
          <w:lang w:val="fr-FR"/>
        </w:rPr>
        <w:t> ».</w:t>
      </w:r>
    </w:p>
    <w:p w:rsidR="00CC315F" w:rsidRPr="00243256" w:rsidRDefault="00CC315F" w:rsidP="00291329">
      <w:pPr>
        <w:pStyle w:val="SingleTxtG"/>
        <w:rPr>
          <w:rFonts w:eastAsia="MS Mincho"/>
          <w:lang w:val="fr-FR"/>
        </w:rPr>
      </w:pPr>
      <w:r w:rsidRPr="00243256">
        <w:rPr>
          <w:rFonts w:eastAsia="MS Mincho"/>
          <w:lang w:val="fr-FR"/>
        </w:rPr>
        <w:t>4.3</w:t>
      </w:r>
      <w:r w:rsidRPr="00243256">
        <w:rPr>
          <w:rFonts w:eastAsia="MS Mincho"/>
          <w:lang w:val="fr-FR"/>
        </w:rPr>
        <w:tab/>
        <w:t>Modification du A.5.6.2.1.2, Contrainte de traction due à la pression lors du transport</w:t>
      </w:r>
    </w:p>
    <w:p w:rsidR="00CC315F" w:rsidRPr="00243256" w:rsidRDefault="00CC315F" w:rsidP="00243256">
      <w:pPr>
        <w:pStyle w:val="SingleTxtG"/>
        <w:ind w:firstLine="567"/>
        <w:rPr>
          <w:bCs/>
          <w:iCs/>
          <w:lang w:val="fr-FR"/>
        </w:rPr>
      </w:pPr>
      <w:r w:rsidRPr="00243256">
        <w:rPr>
          <w:bCs/>
          <w:i/>
          <w:iCs/>
          <w:szCs w:val="24"/>
          <w:lang w:val="fr-FR"/>
        </w:rPr>
        <w:t xml:space="preserve">Au a) Force, remplacer </w:t>
      </w:r>
      <w:r w:rsidRPr="00243256">
        <w:rPr>
          <w:lang w:val="fr-FR"/>
        </w:rPr>
        <w:t>« </w:t>
      </w:r>
      <w:proofErr w:type="spellStart"/>
      <w:r w:rsidRPr="00174B17">
        <w:rPr>
          <w:rStyle w:val="CCMCvariableitalic"/>
          <w:i w:val="0"/>
          <w:szCs w:val="24"/>
          <w:lang w:val="fr-FR"/>
        </w:rPr>
        <w:t>P</w:t>
      </w:r>
      <w:r w:rsidRPr="00243256">
        <w:rPr>
          <w:szCs w:val="24"/>
          <w:vertAlign w:val="subscript"/>
          <w:lang w:val="fr-FR"/>
        </w:rPr>
        <w:t>ms</w:t>
      </w:r>
      <w:proofErr w:type="spellEnd"/>
      <w:r w:rsidRPr="00243256">
        <w:rPr>
          <w:szCs w:val="24"/>
          <w:lang w:val="fr-FR"/>
        </w:rPr>
        <w:t> »</w:t>
      </w:r>
      <w:r w:rsidRPr="00243256">
        <w:rPr>
          <w:i/>
          <w:szCs w:val="24"/>
          <w:lang w:val="fr-FR"/>
        </w:rPr>
        <w:t xml:space="preserve"> par </w:t>
      </w:r>
      <w:r w:rsidRPr="00243256">
        <w:rPr>
          <w:szCs w:val="24"/>
          <w:lang w:val="fr-FR"/>
        </w:rPr>
        <w:t>« </w:t>
      </w:r>
      <w:r w:rsidRPr="00174B17">
        <w:rPr>
          <w:rStyle w:val="CCMCvariableitalic"/>
          <w:i w:val="0"/>
          <w:szCs w:val="24"/>
          <w:lang w:val="fr-FR"/>
        </w:rPr>
        <w:t>P</w:t>
      </w:r>
      <w:r w:rsidRPr="00243256">
        <w:rPr>
          <w:szCs w:val="24"/>
          <w:vertAlign w:val="subscript"/>
          <w:lang w:val="fr-FR"/>
        </w:rPr>
        <w:t>ts</w:t>
      </w:r>
      <w:r w:rsidRPr="00243256">
        <w:rPr>
          <w:szCs w:val="24"/>
          <w:lang w:val="fr-FR"/>
        </w:rPr>
        <w:t> ».</w:t>
      </w:r>
    </w:p>
    <w:p w:rsidR="00D21940" w:rsidRDefault="00CC315F" w:rsidP="00243256">
      <w:pPr>
        <w:pStyle w:val="SingleTxtG"/>
        <w:rPr>
          <w:i/>
          <w:iCs/>
          <w:spacing w:val="-2"/>
          <w:lang w:val="fr-FR"/>
        </w:rPr>
      </w:pPr>
      <w:r w:rsidRPr="00243256">
        <w:rPr>
          <w:i/>
          <w:iCs/>
          <w:spacing w:val="-2"/>
          <w:lang w:val="fr-FR"/>
        </w:rPr>
        <w:t>(</w:t>
      </w:r>
      <w:r w:rsidRPr="00243256">
        <w:rPr>
          <w:i/>
          <w:spacing w:val="-2"/>
          <w:lang w:val="fr-FR"/>
        </w:rPr>
        <w:t xml:space="preserve">Documents </w:t>
      </w:r>
      <w:r w:rsidRPr="00243256">
        <w:rPr>
          <w:i/>
          <w:iCs/>
          <w:spacing w:val="-2"/>
          <w:lang w:val="fr-FR"/>
        </w:rPr>
        <w:t xml:space="preserve">de </w:t>
      </w:r>
      <w:r w:rsidRPr="00243256">
        <w:rPr>
          <w:rFonts w:eastAsia="MS Mincho"/>
          <w:i/>
          <w:spacing w:val="-2"/>
          <w:szCs w:val="24"/>
          <w:lang w:val="fr-FR"/>
        </w:rPr>
        <w:t>référence</w:t>
      </w:r>
      <w:r w:rsidRPr="00243256">
        <w:rPr>
          <w:i/>
          <w:iCs/>
          <w:spacing w:val="-2"/>
          <w:lang w:val="fr-FR"/>
        </w:rPr>
        <w:t> : ECE/TRANS/WP.15/AC.1/2018/12 et document informel INF.47)</w:t>
      </w:r>
    </w:p>
    <w:p w:rsidR="00291329" w:rsidRPr="00291329" w:rsidRDefault="00291329" w:rsidP="00291329">
      <w:pPr>
        <w:pStyle w:val="SingleTxtG"/>
        <w:spacing w:before="240" w:after="0"/>
        <w:jc w:val="center"/>
        <w:rPr>
          <w:u w:val="single"/>
        </w:rPr>
      </w:pPr>
      <w:r>
        <w:rPr>
          <w:u w:val="single"/>
        </w:rPr>
        <w:tab/>
      </w:r>
      <w:r>
        <w:rPr>
          <w:u w:val="single"/>
        </w:rPr>
        <w:tab/>
      </w:r>
      <w:r>
        <w:rPr>
          <w:u w:val="single"/>
        </w:rPr>
        <w:tab/>
      </w:r>
    </w:p>
    <w:sectPr w:rsidR="00291329" w:rsidRPr="00291329" w:rsidSect="00151C7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281" w:rsidRDefault="00041281" w:rsidP="00F95C08">
      <w:pPr>
        <w:spacing w:line="240" w:lineRule="auto"/>
      </w:pPr>
    </w:p>
  </w:endnote>
  <w:endnote w:type="continuationSeparator" w:id="0">
    <w:p w:rsidR="00041281" w:rsidRPr="00AC3823" w:rsidRDefault="00041281" w:rsidP="00AC3823">
      <w:pPr>
        <w:pStyle w:val="Footer"/>
      </w:pPr>
    </w:p>
  </w:endnote>
  <w:endnote w:type="continuationNotice" w:id="1">
    <w:p w:rsidR="00041281" w:rsidRDefault="000412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281" w:rsidRPr="00151C74" w:rsidRDefault="00041281" w:rsidP="00151C74">
    <w:pPr>
      <w:pStyle w:val="Footer"/>
      <w:tabs>
        <w:tab w:val="right" w:pos="9638"/>
      </w:tabs>
    </w:pPr>
    <w:r w:rsidRPr="00151C74">
      <w:rPr>
        <w:b/>
        <w:sz w:val="18"/>
      </w:rPr>
      <w:fldChar w:fldCharType="begin"/>
    </w:r>
    <w:r w:rsidRPr="00151C74">
      <w:rPr>
        <w:b/>
        <w:sz w:val="18"/>
      </w:rPr>
      <w:instrText xml:space="preserve"> PAGE  \* MERGEFORMAT </w:instrText>
    </w:r>
    <w:r w:rsidRPr="00151C74">
      <w:rPr>
        <w:b/>
        <w:sz w:val="18"/>
      </w:rPr>
      <w:fldChar w:fldCharType="separate"/>
    </w:r>
    <w:r w:rsidR="00B32636">
      <w:rPr>
        <w:b/>
        <w:noProof/>
        <w:sz w:val="18"/>
      </w:rPr>
      <w:t>26</w:t>
    </w:r>
    <w:r w:rsidRPr="00151C74">
      <w:rPr>
        <w:b/>
        <w:sz w:val="18"/>
      </w:rPr>
      <w:fldChar w:fldCharType="end"/>
    </w:r>
    <w:r>
      <w:rPr>
        <w:b/>
        <w:sz w:val="18"/>
      </w:rPr>
      <w:tab/>
    </w:r>
    <w:r>
      <w:t>GE.18-05628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281" w:rsidRPr="00151C74" w:rsidRDefault="00041281" w:rsidP="00151C74">
    <w:pPr>
      <w:pStyle w:val="Footer"/>
      <w:tabs>
        <w:tab w:val="right" w:pos="9638"/>
      </w:tabs>
      <w:rPr>
        <w:b/>
        <w:sz w:val="18"/>
      </w:rPr>
    </w:pPr>
    <w:r>
      <w:t>GE.18-05628</w:t>
    </w:r>
    <w:r>
      <w:tab/>
    </w:r>
    <w:r w:rsidRPr="00151C74">
      <w:rPr>
        <w:b/>
        <w:sz w:val="18"/>
      </w:rPr>
      <w:fldChar w:fldCharType="begin"/>
    </w:r>
    <w:r w:rsidRPr="00151C74">
      <w:rPr>
        <w:b/>
        <w:sz w:val="18"/>
      </w:rPr>
      <w:instrText xml:space="preserve"> PAGE  \* MERGEFORMAT </w:instrText>
    </w:r>
    <w:r w:rsidRPr="00151C74">
      <w:rPr>
        <w:b/>
        <w:sz w:val="18"/>
      </w:rPr>
      <w:fldChar w:fldCharType="separate"/>
    </w:r>
    <w:r w:rsidR="00B32636">
      <w:rPr>
        <w:b/>
        <w:noProof/>
        <w:sz w:val="18"/>
      </w:rPr>
      <w:t>27</w:t>
    </w:r>
    <w:r w:rsidRPr="00151C7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281" w:rsidRPr="00151C74" w:rsidRDefault="00041281" w:rsidP="00151C74">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18-05628  (F)    110618    300718</w:t>
    </w:r>
    <w:r>
      <w:rPr>
        <w:sz w:val="20"/>
      </w:rPr>
      <w:br/>
    </w:r>
    <w:r w:rsidRPr="00151C74">
      <w:rPr>
        <w:rFonts w:ascii="C39T30Lfz" w:hAnsi="C39T30Lfz"/>
        <w:sz w:val="56"/>
      </w:rPr>
      <w:t></w:t>
    </w:r>
    <w:r w:rsidRPr="00151C74">
      <w:rPr>
        <w:rFonts w:ascii="C39T30Lfz" w:hAnsi="C39T30Lfz"/>
        <w:sz w:val="56"/>
      </w:rPr>
      <w:t></w:t>
    </w:r>
    <w:r w:rsidRPr="00151C74">
      <w:rPr>
        <w:rFonts w:ascii="C39T30Lfz" w:hAnsi="C39T30Lfz"/>
        <w:sz w:val="56"/>
      </w:rPr>
      <w:t></w:t>
    </w:r>
    <w:r w:rsidRPr="00151C74">
      <w:rPr>
        <w:rFonts w:ascii="C39T30Lfz" w:hAnsi="C39T30Lfz"/>
        <w:sz w:val="56"/>
      </w:rPr>
      <w:t></w:t>
    </w:r>
    <w:r w:rsidRPr="00151C74">
      <w:rPr>
        <w:rFonts w:ascii="C39T30Lfz" w:hAnsi="C39T30Lfz"/>
        <w:sz w:val="56"/>
      </w:rPr>
      <w:t></w:t>
    </w:r>
    <w:r w:rsidRPr="00151C74">
      <w:rPr>
        <w:rFonts w:ascii="C39T30Lfz" w:hAnsi="C39T30Lfz"/>
        <w:sz w:val="56"/>
      </w:rPr>
      <w:t></w:t>
    </w:r>
    <w:r w:rsidRPr="00151C74">
      <w:rPr>
        <w:rFonts w:ascii="C39T30Lfz" w:hAnsi="C39T30Lfz"/>
        <w:sz w:val="56"/>
      </w:rPr>
      <w:t></w:t>
    </w:r>
    <w:r w:rsidRPr="00151C74">
      <w:rPr>
        <w:rFonts w:ascii="C39T30Lfz" w:hAnsi="C39T30Lfz"/>
        <w:sz w:val="56"/>
      </w:rPr>
      <w:t></w:t>
    </w:r>
    <w:r w:rsidRPr="00151C74">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15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15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281" w:rsidRPr="00AC3823" w:rsidRDefault="00041281" w:rsidP="00AC3823">
      <w:pPr>
        <w:pStyle w:val="Footer"/>
        <w:tabs>
          <w:tab w:val="right" w:pos="2155"/>
        </w:tabs>
        <w:spacing w:after="80" w:line="240" w:lineRule="atLeast"/>
        <w:ind w:left="680"/>
        <w:rPr>
          <w:u w:val="single"/>
        </w:rPr>
      </w:pPr>
      <w:r>
        <w:rPr>
          <w:u w:val="single"/>
        </w:rPr>
        <w:tab/>
      </w:r>
    </w:p>
  </w:footnote>
  <w:footnote w:type="continuationSeparator" w:id="0">
    <w:p w:rsidR="00041281" w:rsidRPr="00AC3823" w:rsidRDefault="00041281" w:rsidP="00AC3823">
      <w:pPr>
        <w:pStyle w:val="Footer"/>
        <w:tabs>
          <w:tab w:val="right" w:pos="2155"/>
        </w:tabs>
        <w:spacing w:after="80" w:line="240" w:lineRule="atLeast"/>
        <w:ind w:left="680"/>
        <w:rPr>
          <w:u w:val="single"/>
        </w:rPr>
      </w:pPr>
      <w:r>
        <w:rPr>
          <w:u w:val="single"/>
        </w:rPr>
        <w:tab/>
      </w:r>
    </w:p>
  </w:footnote>
  <w:footnote w:type="continuationNotice" w:id="1">
    <w:p w:rsidR="00041281" w:rsidRPr="00AC3823" w:rsidRDefault="00041281">
      <w:pPr>
        <w:spacing w:line="240" w:lineRule="auto"/>
        <w:rPr>
          <w:sz w:val="2"/>
          <w:szCs w:val="2"/>
        </w:rPr>
      </w:pPr>
    </w:p>
  </w:footnote>
  <w:footnote w:id="2">
    <w:p w:rsidR="00041281" w:rsidRPr="009806DB" w:rsidRDefault="00041281">
      <w:pPr>
        <w:pStyle w:val="FootnoteText"/>
      </w:pPr>
      <w:r>
        <w:rPr>
          <w:rStyle w:val="FootnoteReference"/>
        </w:rPr>
        <w:tab/>
      </w:r>
      <w:r w:rsidRPr="009806DB">
        <w:rPr>
          <w:rStyle w:val="FootnoteReference"/>
          <w:sz w:val="20"/>
          <w:vertAlign w:val="baseline"/>
        </w:rPr>
        <w:t>*</w:t>
      </w:r>
      <w:r>
        <w:rPr>
          <w:rStyle w:val="FootnoteReference"/>
          <w:sz w:val="20"/>
          <w:vertAlign w:val="baseline"/>
        </w:rPr>
        <w:tab/>
      </w:r>
      <w:r w:rsidRPr="00EC6379">
        <w:t>Diffusé par l</w:t>
      </w:r>
      <w:r>
        <w:t>’</w:t>
      </w:r>
      <w:r w:rsidRPr="00EC6379">
        <w:t>Organisation intergouvernementale pour les transports internationaux ferroviaires (OTIF) sous la cote OTIF/RID/RC/2018-A. Sauf indication contraire, les autres documents auxquels il est fait référence dans le présent rapport et qui portent une cote ECE/TRANS/WP.15/AC.1/ suivie de l</w:t>
      </w:r>
      <w:r>
        <w:t>’</w:t>
      </w:r>
      <w:r w:rsidRPr="00EC6379">
        <w:t>année et d</w:t>
      </w:r>
      <w:r>
        <w:t>’</w:t>
      </w:r>
      <w:r w:rsidRPr="00EC6379">
        <w:t>un numéro de série ont été diffusés par l</w:t>
      </w:r>
      <w:r>
        <w:t>’</w:t>
      </w:r>
      <w:r w:rsidRPr="00EC6379">
        <w:t>OTIF sous la cote OTIF/RID/RC/ suivie de l</w:t>
      </w:r>
      <w:r>
        <w:t>’</w:t>
      </w:r>
      <w:r w:rsidRPr="00EC6379">
        <w:t>année et du même numéro de série.</w:t>
      </w:r>
    </w:p>
  </w:footnote>
  <w:footnote w:id="3">
    <w:p w:rsidR="00041281" w:rsidRPr="002E1524" w:rsidRDefault="00041281">
      <w:pPr>
        <w:pStyle w:val="FootnoteText"/>
        <w:rPr>
          <w:szCs w:val="18"/>
        </w:rPr>
      </w:pPr>
      <w:r>
        <w:rPr>
          <w:rStyle w:val="FootnoteReference"/>
        </w:rPr>
        <w:tab/>
      </w:r>
      <w:r w:rsidRPr="005F64B4">
        <w:rPr>
          <w:rStyle w:val="FootnoteReference"/>
          <w:sz w:val="20"/>
          <w:vertAlign w:val="baseline"/>
        </w:rPr>
        <w:t>**</w:t>
      </w:r>
      <w:r>
        <w:rPr>
          <w:rStyle w:val="FootnoteReference"/>
          <w:sz w:val="20"/>
          <w:vertAlign w:val="baseline"/>
        </w:rPr>
        <w:tab/>
      </w:r>
      <w:r w:rsidRPr="002E1524">
        <w:rPr>
          <w:szCs w:val="18"/>
        </w:rPr>
        <w:t>Pour des raisons pratiques, l</w:t>
      </w:r>
      <w:r>
        <w:rPr>
          <w:szCs w:val="18"/>
        </w:rPr>
        <w:t>’</w:t>
      </w:r>
      <w:r w:rsidRPr="002E1524">
        <w:rPr>
          <w:szCs w:val="18"/>
        </w:rPr>
        <w:t>annexe I est reproduite sous forme d</w:t>
      </w:r>
      <w:r>
        <w:rPr>
          <w:szCs w:val="18"/>
        </w:rPr>
        <w:t>’</w:t>
      </w:r>
      <w:r w:rsidRPr="002E1524">
        <w:rPr>
          <w:szCs w:val="18"/>
        </w:rPr>
        <w:t>additif au présent document, sous la cote ECE/TRANS/WP.15/AC.1/150/Add.1.</w:t>
      </w:r>
    </w:p>
  </w:footnote>
  <w:footnote w:id="4">
    <w:p w:rsidR="00041281" w:rsidRDefault="00041281">
      <w:pPr>
        <w:pStyle w:val="FootnoteText"/>
      </w:pPr>
      <w:r>
        <w:tab/>
      </w:r>
      <w:r>
        <w:rPr>
          <w:rStyle w:val="FootnoteReference"/>
        </w:rPr>
        <w:footnoteRef/>
      </w:r>
      <w:r>
        <w:tab/>
      </w:r>
      <w:r>
        <w:rPr>
          <w:lang w:val="fr-FR"/>
        </w:rPr>
        <w:t xml:space="preserve">Voir le </w:t>
      </w:r>
      <w:r w:rsidRPr="00183976">
        <w:rPr>
          <w:lang w:val="fr-FR"/>
        </w:rPr>
        <w:t>document ECE/TRANS/SC.1/S/397</w:t>
      </w:r>
      <w:r>
        <w:rPr>
          <w:lang w:val="fr-FR"/>
        </w:rPr>
        <w:t xml:space="preserve"> (</w:t>
      </w:r>
      <w:r w:rsidRPr="00183976">
        <w:rPr>
          <w:lang w:val="fr-FR"/>
        </w:rPr>
        <w:t>http://www.unec</w:t>
      </w:r>
      <w:r>
        <w:rPr>
          <w:lang w:val="fr-FR"/>
        </w:rPr>
        <w:t>e.org/trans/main/sc1/sc1age.htm).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281" w:rsidRPr="00151C74" w:rsidRDefault="0066232D">
    <w:pPr>
      <w:pStyle w:val="Header"/>
    </w:pPr>
    <w:r>
      <w:fldChar w:fldCharType="begin"/>
    </w:r>
    <w:r>
      <w:instrText xml:space="preserve"> TITLE  \* MERGEFORMAT </w:instrText>
    </w:r>
    <w:r>
      <w:fldChar w:fldCharType="separate"/>
    </w:r>
    <w:r w:rsidR="00041281">
      <w:t>ECE/TRANS/WP.15/AC.1/150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281" w:rsidRPr="00151C74" w:rsidRDefault="0066232D" w:rsidP="00151C74">
    <w:pPr>
      <w:pStyle w:val="Header"/>
      <w:jc w:val="right"/>
    </w:pPr>
    <w:r>
      <w:fldChar w:fldCharType="begin"/>
    </w:r>
    <w:r>
      <w:instrText xml:space="preserve"> TITLE  \* MERGEFORMAT </w:instrText>
    </w:r>
    <w:r>
      <w:fldChar w:fldCharType="separate"/>
    </w:r>
    <w:r w:rsidR="00041281">
      <w:t>ECE/TRANS/WP.15/AC.1/150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5DDA3B15"/>
    <w:multiLevelType w:val="hybridMultilevel"/>
    <w:tmpl w:val="B8AC4672"/>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6CAE1502"/>
    <w:multiLevelType w:val="hybridMultilevel"/>
    <w:tmpl w:val="3F18E378"/>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1" w15:restartNumberingAfterBreak="0">
    <w:nsid w:val="747C779E"/>
    <w:multiLevelType w:val="hybridMultilevel"/>
    <w:tmpl w:val="8BE092B8"/>
    <w:lvl w:ilvl="0" w:tplc="23027046">
      <w:start w:val="42"/>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19"/>
  </w:num>
  <w:num w:numId="2">
    <w:abstractNumId w:val="16"/>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6"/>
  </w:num>
  <w:num w:numId="16">
    <w:abstractNumId w:val="12"/>
  </w:num>
  <w:num w:numId="17">
    <w:abstractNumId w:val="15"/>
  </w:num>
  <w:num w:numId="18">
    <w:abstractNumId w:val="14"/>
  </w:num>
  <w:num w:numId="19">
    <w:abstractNumId w:val="10"/>
  </w:num>
  <w:num w:numId="20">
    <w:abstractNumId w:val="18"/>
  </w:num>
  <w:num w:numId="21">
    <w:abstractNumId w:val="13"/>
  </w:num>
  <w:num w:numId="22">
    <w:abstractNumId w:val="11"/>
  </w:num>
  <w:num w:numId="23">
    <w:abstractNumId w:val="20"/>
  </w:num>
  <w:num w:numId="24">
    <w:abstractNumId w:val="1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6F7"/>
    <w:rsid w:val="00017F94"/>
    <w:rsid w:val="00023842"/>
    <w:rsid w:val="000334F9"/>
    <w:rsid w:val="00041281"/>
    <w:rsid w:val="00045FEB"/>
    <w:rsid w:val="0007796D"/>
    <w:rsid w:val="000812F8"/>
    <w:rsid w:val="00081B35"/>
    <w:rsid w:val="00093301"/>
    <w:rsid w:val="000B6C58"/>
    <w:rsid w:val="000B7790"/>
    <w:rsid w:val="000D6887"/>
    <w:rsid w:val="000E1649"/>
    <w:rsid w:val="000F3243"/>
    <w:rsid w:val="0010338E"/>
    <w:rsid w:val="00111F2F"/>
    <w:rsid w:val="001252E8"/>
    <w:rsid w:val="0014365E"/>
    <w:rsid w:val="00143C66"/>
    <w:rsid w:val="00151C74"/>
    <w:rsid w:val="00174B17"/>
    <w:rsid w:val="00176178"/>
    <w:rsid w:val="00180216"/>
    <w:rsid w:val="0018313D"/>
    <w:rsid w:val="0019709C"/>
    <w:rsid w:val="001A02AD"/>
    <w:rsid w:val="001C1D0F"/>
    <w:rsid w:val="001C1ED6"/>
    <w:rsid w:val="001F525A"/>
    <w:rsid w:val="002065FF"/>
    <w:rsid w:val="002106BC"/>
    <w:rsid w:val="00217FBC"/>
    <w:rsid w:val="00221D43"/>
    <w:rsid w:val="00223272"/>
    <w:rsid w:val="00241598"/>
    <w:rsid w:val="00243256"/>
    <w:rsid w:val="0024779E"/>
    <w:rsid w:val="00252CE7"/>
    <w:rsid w:val="00257168"/>
    <w:rsid w:val="002643AB"/>
    <w:rsid w:val="002744B8"/>
    <w:rsid w:val="002832AC"/>
    <w:rsid w:val="002909CC"/>
    <w:rsid w:val="00291329"/>
    <w:rsid w:val="002D7C93"/>
    <w:rsid w:val="002D7E56"/>
    <w:rsid w:val="002E1524"/>
    <w:rsid w:val="002F3252"/>
    <w:rsid w:val="00304EE5"/>
    <w:rsid w:val="00305801"/>
    <w:rsid w:val="00314536"/>
    <w:rsid w:val="003916DE"/>
    <w:rsid w:val="003A74E6"/>
    <w:rsid w:val="003C1B99"/>
    <w:rsid w:val="003C5D36"/>
    <w:rsid w:val="003D4DFB"/>
    <w:rsid w:val="003E2D87"/>
    <w:rsid w:val="003F0ADA"/>
    <w:rsid w:val="003F3D11"/>
    <w:rsid w:val="004256DE"/>
    <w:rsid w:val="00441C3B"/>
    <w:rsid w:val="00446FE5"/>
    <w:rsid w:val="00452396"/>
    <w:rsid w:val="004837D8"/>
    <w:rsid w:val="00485C29"/>
    <w:rsid w:val="004B3C8F"/>
    <w:rsid w:val="004C1BA2"/>
    <w:rsid w:val="004E468C"/>
    <w:rsid w:val="004E554C"/>
    <w:rsid w:val="00504CC4"/>
    <w:rsid w:val="00546578"/>
    <w:rsid w:val="005505B7"/>
    <w:rsid w:val="00552846"/>
    <w:rsid w:val="0056317B"/>
    <w:rsid w:val="00573BE5"/>
    <w:rsid w:val="00586ED3"/>
    <w:rsid w:val="005912D6"/>
    <w:rsid w:val="0059277D"/>
    <w:rsid w:val="00596AA9"/>
    <w:rsid w:val="005B0B2A"/>
    <w:rsid w:val="005D687F"/>
    <w:rsid w:val="005F53CC"/>
    <w:rsid w:val="005F64B4"/>
    <w:rsid w:val="00661B41"/>
    <w:rsid w:val="0066232D"/>
    <w:rsid w:val="006A143E"/>
    <w:rsid w:val="006C25E4"/>
    <w:rsid w:val="006C431B"/>
    <w:rsid w:val="006D28ED"/>
    <w:rsid w:val="006D46C8"/>
    <w:rsid w:val="006E2AC8"/>
    <w:rsid w:val="006F3274"/>
    <w:rsid w:val="0071601D"/>
    <w:rsid w:val="00750F15"/>
    <w:rsid w:val="007559CC"/>
    <w:rsid w:val="007625B4"/>
    <w:rsid w:val="00763870"/>
    <w:rsid w:val="00786074"/>
    <w:rsid w:val="00797490"/>
    <w:rsid w:val="007A62E6"/>
    <w:rsid w:val="007C7364"/>
    <w:rsid w:val="007F20FA"/>
    <w:rsid w:val="007F4717"/>
    <w:rsid w:val="008040E9"/>
    <w:rsid w:val="0080452F"/>
    <w:rsid w:val="0080684C"/>
    <w:rsid w:val="00871C75"/>
    <w:rsid w:val="008776DC"/>
    <w:rsid w:val="00890C94"/>
    <w:rsid w:val="008B6F84"/>
    <w:rsid w:val="008D1FAA"/>
    <w:rsid w:val="008E39EA"/>
    <w:rsid w:val="00931B42"/>
    <w:rsid w:val="009446C0"/>
    <w:rsid w:val="00946124"/>
    <w:rsid w:val="0095548E"/>
    <w:rsid w:val="009705C8"/>
    <w:rsid w:val="009806DB"/>
    <w:rsid w:val="00994235"/>
    <w:rsid w:val="009C1CF4"/>
    <w:rsid w:val="009D067F"/>
    <w:rsid w:val="009F6B74"/>
    <w:rsid w:val="00A0617F"/>
    <w:rsid w:val="00A30353"/>
    <w:rsid w:val="00A87EBB"/>
    <w:rsid w:val="00A94013"/>
    <w:rsid w:val="00AB1ED9"/>
    <w:rsid w:val="00AB6B72"/>
    <w:rsid w:val="00AC3823"/>
    <w:rsid w:val="00AD31A2"/>
    <w:rsid w:val="00AE323C"/>
    <w:rsid w:val="00AE3B1A"/>
    <w:rsid w:val="00AF0CB5"/>
    <w:rsid w:val="00AF33C5"/>
    <w:rsid w:val="00AF38F0"/>
    <w:rsid w:val="00B00030"/>
    <w:rsid w:val="00B00181"/>
    <w:rsid w:val="00B00B0D"/>
    <w:rsid w:val="00B32636"/>
    <w:rsid w:val="00B5197A"/>
    <w:rsid w:val="00B765F7"/>
    <w:rsid w:val="00B93DC7"/>
    <w:rsid w:val="00BA0CA9"/>
    <w:rsid w:val="00BB3244"/>
    <w:rsid w:val="00BC21E8"/>
    <w:rsid w:val="00BD3678"/>
    <w:rsid w:val="00BE7949"/>
    <w:rsid w:val="00BF35FB"/>
    <w:rsid w:val="00C02897"/>
    <w:rsid w:val="00C20AA0"/>
    <w:rsid w:val="00C26A4E"/>
    <w:rsid w:val="00C27ABF"/>
    <w:rsid w:val="00C426B3"/>
    <w:rsid w:val="00C901A5"/>
    <w:rsid w:val="00C97039"/>
    <w:rsid w:val="00CB7A46"/>
    <w:rsid w:val="00CC315F"/>
    <w:rsid w:val="00D21940"/>
    <w:rsid w:val="00D325C1"/>
    <w:rsid w:val="00D33408"/>
    <w:rsid w:val="00D3439C"/>
    <w:rsid w:val="00D34764"/>
    <w:rsid w:val="00D54D09"/>
    <w:rsid w:val="00D730A9"/>
    <w:rsid w:val="00D92696"/>
    <w:rsid w:val="00DA789D"/>
    <w:rsid w:val="00DB1831"/>
    <w:rsid w:val="00DD1314"/>
    <w:rsid w:val="00DD3BFD"/>
    <w:rsid w:val="00DE2C08"/>
    <w:rsid w:val="00DF6678"/>
    <w:rsid w:val="00E0299A"/>
    <w:rsid w:val="00E24AAC"/>
    <w:rsid w:val="00E44270"/>
    <w:rsid w:val="00E47E5A"/>
    <w:rsid w:val="00E52B4E"/>
    <w:rsid w:val="00E56FBF"/>
    <w:rsid w:val="00E64841"/>
    <w:rsid w:val="00E75C10"/>
    <w:rsid w:val="00E85C74"/>
    <w:rsid w:val="00E866F7"/>
    <w:rsid w:val="00EA6547"/>
    <w:rsid w:val="00ED304F"/>
    <w:rsid w:val="00EF2E22"/>
    <w:rsid w:val="00F02D90"/>
    <w:rsid w:val="00F35BAF"/>
    <w:rsid w:val="00F660DF"/>
    <w:rsid w:val="00F7705A"/>
    <w:rsid w:val="00F90428"/>
    <w:rsid w:val="00F94664"/>
    <w:rsid w:val="00F9573C"/>
    <w:rsid w:val="00F95C08"/>
    <w:rsid w:val="00FC1143"/>
    <w:rsid w:val="00FF663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E667829-E0B6-4488-9FB5-48217846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tabs>
        <w:tab w:val="num" w:pos="1494"/>
      </w:tabs>
      <w:spacing w:after="0" w:line="240" w:lineRule="auto"/>
      <w:ind w:right="0"/>
      <w:jc w:val="left"/>
      <w:outlineLvl w:val="0"/>
    </w:pPr>
  </w:style>
  <w:style w:type="paragraph" w:styleId="Heading2">
    <w:name w:val="heading 2"/>
    <w:basedOn w:val="Normal"/>
    <w:next w:val="Normal"/>
    <w:link w:val="Heading2Char"/>
    <w:rsid w:val="00023842"/>
    <w:pPr>
      <w:numPr>
        <w:ilvl w:val="1"/>
        <w:numId w:val="19"/>
      </w:numPr>
      <w:outlineLvl w:val="1"/>
    </w:pPr>
  </w:style>
  <w:style w:type="paragraph" w:styleId="Heading3">
    <w:name w:val="heading 3"/>
    <w:basedOn w:val="Normal"/>
    <w:next w:val="Normal"/>
    <w:link w:val="Heading3Char"/>
    <w:rsid w:val="00023842"/>
    <w:pPr>
      <w:numPr>
        <w:ilvl w:val="2"/>
        <w:numId w:val="19"/>
      </w:numPr>
      <w:outlineLvl w:val="2"/>
    </w:pPr>
  </w:style>
  <w:style w:type="paragraph" w:styleId="Heading4">
    <w:name w:val="heading 4"/>
    <w:basedOn w:val="Normal"/>
    <w:next w:val="Normal"/>
    <w:link w:val="Heading4Char"/>
    <w:rsid w:val="00023842"/>
    <w:pPr>
      <w:numPr>
        <w:ilvl w:val="3"/>
        <w:numId w:val="19"/>
      </w:numPr>
      <w:outlineLvl w:val="3"/>
    </w:pPr>
  </w:style>
  <w:style w:type="paragraph" w:styleId="Heading5">
    <w:name w:val="heading 5"/>
    <w:basedOn w:val="Normal"/>
    <w:next w:val="Normal"/>
    <w:link w:val="Heading5Char"/>
    <w:rsid w:val="00023842"/>
    <w:pPr>
      <w:numPr>
        <w:ilvl w:val="4"/>
        <w:numId w:val="19"/>
      </w:numPr>
      <w:outlineLvl w:val="4"/>
    </w:pPr>
  </w:style>
  <w:style w:type="paragraph" w:styleId="Heading6">
    <w:name w:val="heading 6"/>
    <w:basedOn w:val="Normal"/>
    <w:next w:val="Normal"/>
    <w:link w:val="Heading6Char"/>
    <w:rsid w:val="00023842"/>
    <w:pPr>
      <w:numPr>
        <w:ilvl w:val="5"/>
        <w:numId w:val="19"/>
      </w:numPr>
      <w:outlineLvl w:val="5"/>
    </w:pPr>
  </w:style>
  <w:style w:type="paragraph" w:styleId="Heading7">
    <w:name w:val="heading 7"/>
    <w:basedOn w:val="Normal"/>
    <w:next w:val="Normal"/>
    <w:link w:val="Heading7Char"/>
    <w:rsid w:val="00023842"/>
    <w:pPr>
      <w:numPr>
        <w:ilvl w:val="6"/>
        <w:numId w:val="19"/>
      </w:numPr>
      <w:outlineLvl w:val="6"/>
    </w:pPr>
  </w:style>
  <w:style w:type="paragraph" w:styleId="Heading8">
    <w:name w:val="heading 8"/>
    <w:basedOn w:val="Normal"/>
    <w:next w:val="Normal"/>
    <w:link w:val="Heading8Char"/>
    <w:rsid w:val="00023842"/>
    <w:pPr>
      <w:numPr>
        <w:ilvl w:val="7"/>
        <w:numId w:val="19"/>
      </w:numPr>
      <w:outlineLvl w:val="7"/>
    </w:pPr>
  </w:style>
  <w:style w:type="paragraph" w:styleId="Heading9">
    <w:name w:val="heading 9"/>
    <w:basedOn w:val="Normal"/>
    <w:next w:val="Normal"/>
    <w:link w:val="Heading9Char"/>
    <w:rsid w:val="00023842"/>
    <w:pPr>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uiPriority w:val="99"/>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uiPriority w:val="99"/>
    <w:rsid w:val="00E0299A"/>
    <w:pPr>
      <w:spacing w:line="240" w:lineRule="auto"/>
    </w:pPr>
    <w:rPr>
      <w:sz w:val="16"/>
    </w:rPr>
  </w:style>
  <w:style w:type="character" w:customStyle="1" w:styleId="FooterChar">
    <w:name w:val="Footer Char"/>
    <w:aliases w:val="3_G Char"/>
    <w:basedOn w:val="DefaultParagraphFont"/>
    <w:link w:val="Footer"/>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AB1ED9"/>
    <w:rPr>
      <w:rFonts w:ascii="Times New Roman" w:eastAsiaTheme="minorHAnsi" w:hAnsi="Times New Roman" w:cs="Times New Roman"/>
      <w:b/>
      <w:sz w:val="28"/>
      <w:szCs w:val="20"/>
      <w:lang w:eastAsia="en-US"/>
    </w:rPr>
  </w:style>
  <w:style w:type="paragraph" w:customStyle="1" w:styleId="ParaNoG">
    <w:name w:val="_ParaNo._G"/>
    <w:basedOn w:val="SingleTxtG"/>
    <w:rsid w:val="00CC315F"/>
    <w:pPr>
      <w:numPr>
        <w:numId w:val="19"/>
      </w:numPr>
      <w:tabs>
        <w:tab w:val="clear" w:pos="1494"/>
      </w:tabs>
      <w:kinsoku/>
      <w:overflowPunct/>
      <w:autoSpaceDE/>
      <w:autoSpaceDN/>
      <w:adjustRightInd/>
      <w:snapToGrid/>
    </w:pPr>
    <w:rPr>
      <w:rFonts w:eastAsia="Times New Roman"/>
      <w:lang w:val="en-GB"/>
    </w:rPr>
  </w:style>
  <w:style w:type="paragraph" w:styleId="PlainText">
    <w:name w:val="Plain Text"/>
    <w:basedOn w:val="Normal"/>
    <w:link w:val="PlainTextChar"/>
    <w:semiHidden/>
    <w:rsid w:val="00CC315F"/>
    <w:pPr>
      <w:kinsoku/>
      <w:overflowPunct/>
      <w:autoSpaceDE/>
      <w:autoSpaceDN/>
      <w:adjustRightInd/>
      <w:snapToGrid/>
    </w:pPr>
    <w:rPr>
      <w:rFonts w:eastAsia="Times New Roman" w:cs="Courier New"/>
      <w:lang w:val="en-GB"/>
    </w:rPr>
  </w:style>
  <w:style w:type="character" w:customStyle="1" w:styleId="PlainTextChar">
    <w:name w:val="Plain Text Char"/>
    <w:basedOn w:val="DefaultParagraphFont"/>
    <w:link w:val="PlainText"/>
    <w:semiHidden/>
    <w:rsid w:val="00CC315F"/>
    <w:rPr>
      <w:rFonts w:ascii="Times New Roman" w:hAnsi="Times New Roman" w:cs="Courier New"/>
      <w:sz w:val="20"/>
      <w:szCs w:val="20"/>
      <w:lang w:val="en-GB" w:eastAsia="en-US"/>
    </w:rPr>
  </w:style>
  <w:style w:type="paragraph" w:styleId="BodyText">
    <w:name w:val="Body Text"/>
    <w:basedOn w:val="Normal"/>
    <w:next w:val="Normal"/>
    <w:link w:val="BodyTextChar"/>
    <w:semiHidden/>
    <w:rsid w:val="00CC315F"/>
    <w:pPr>
      <w:kinsoku/>
      <w:overflowPunct/>
      <w:autoSpaceDE/>
      <w:autoSpaceDN/>
      <w:adjustRightInd/>
      <w:snapToGrid/>
    </w:pPr>
    <w:rPr>
      <w:rFonts w:eastAsia="Times New Roman"/>
      <w:lang w:val="en-GB"/>
    </w:rPr>
  </w:style>
  <w:style w:type="character" w:customStyle="1" w:styleId="BodyTextChar">
    <w:name w:val="Body Text Char"/>
    <w:basedOn w:val="DefaultParagraphFont"/>
    <w:link w:val="BodyText"/>
    <w:semiHidden/>
    <w:rsid w:val="00CC315F"/>
    <w:rPr>
      <w:rFonts w:ascii="Times New Roman" w:hAnsi="Times New Roman" w:cs="Times New Roman"/>
      <w:sz w:val="20"/>
      <w:szCs w:val="20"/>
      <w:lang w:val="en-GB" w:eastAsia="en-US"/>
    </w:rPr>
  </w:style>
  <w:style w:type="paragraph" w:styleId="BodyTextIndent">
    <w:name w:val="Body Text Indent"/>
    <w:basedOn w:val="Normal"/>
    <w:link w:val="BodyTextIndentChar"/>
    <w:semiHidden/>
    <w:rsid w:val="00CC315F"/>
    <w:pPr>
      <w:kinsoku/>
      <w:overflowPunct/>
      <w:autoSpaceDE/>
      <w:autoSpaceDN/>
      <w:adjustRightInd/>
      <w:snapToGrid/>
      <w:spacing w:after="120"/>
      <w:ind w:left="283"/>
    </w:pPr>
    <w:rPr>
      <w:rFonts w:eastAsia="Times New Roman"/>
      <w:lang w:val="en-GB"/>
    </w:rPr>
  </w:style>
  <w:style w:type="character" w:customStyle="1" w:styleId="BodyTextIndentChar">
    <w:name w:val="Body Text Indent Char"/>
    <w:basedOn w:val="DefaultParagraphFont"/>
    <w:link w:val="BodyTextIndent"/>
    <w:semiHidden/>
    <w:rsid w:val="00CC315F"/>
    <w:rPr>
      <w:rFonts w:ascii="Times New Roman" w:hAnsi="Times New Roman" w:cs="Times New Roman"/>
      <w:sz w:val="20"/>
      <w:szCs w:val="20"/>
      <w:lang w:val="en-GB" w:eastAsia="en-US"/>
    </w:rPr>
  </w:style>
  <w:style w:type="paragraph" w:styleId="BlockText">
    <w:name w:val="Block Text"/>
    <w:basedOn w:val="Normal"/>
    <w:semiHidden/>
    <w:rsid w:val="00CC315F"/>
    <w:pPr>
      <w:kinsoku/>
      <w:overflowPunct/>
      <w:autoSpaceDE/>
      <w:autoSpaceDN/>
      <w:adjustRightInd/>
      <w:snapToGrid/>
      <w:ind w:left="1440" w:right="1440"/>
    </w:pPr>
    <w:rPr>
      <w:rFonts w:eastAsia="Times New Roman"/>
      <w:lang w:val="en-GB"/>
    </w:rPr>
  </w:style>
  <w:style w:type="character" w:styleId="CommentReference">
    <w:name w:val="annotation reference"/>
    <w:semiHidden/>
    <w:rsid w:val="00CC315F"/>
    <w:rPr>
      <w:sz w:val="6"/>
    </w:rPr>
  </w:style>
  <w:style w:type="paragraph" w:styleId="CommentText">
    <w:name w:val="annotation text"/>
    <w:basedOn w:val="Normal"/>
    <w:link w:val="CommentTextChar"/>
    <w:semiHidden/>
    <w:rsid w:val="00CC315F"/>
    <w:pPr>
      <w:kinsoku/>
      <w:overflowPunct/>
      <w:autoSpaceDE/>
      <w:autoSpaceDN/>
      <w:adjustRightInd/>
      <w:snapToGrid/>
    </w:pPr>
    <w:rPr>
      <w:rFonts w:eastAsia="Times New Roman"/>
      <w:lang w:val="en-GB"/>
    </w:rPr>
  </w:style>
  <w:style w:type="character" w:customStyle="1" w:styleId="CommentTextChar">
    <w:name w:val="Comment Text Char"/>
    <w:basedOn w:val="DefaultParagraphFont"/>
    <w:link w:val="CommentText"/>
    <w:semiHidden/>
    <w:rsid w:val="00CC315F"/>
    <w:rPr>
      <w:rFonts w:ascii="Times New Roman" w:hAnsi="Times New Roman" w:cs="Times New Roman"/>
      <w:sz w:val="20"/>
      <w:szCs w:val="20"/>
      <w:lang w:val="en-GB" w:eastAsia="en-US"/>
    </w:rPr>
  </w:style>
  <w:style w:type="character" w:styleId="LineNumber">
    <w:name w:val="line number"/>
    <w:semiHidden/>
    <w:rsid w:val="00CC315F"/>
    <w:rPr>
      <w:sz w:val="14"/>
    </w:rPr>
  </w:style>
  <w:style w:type="numbering" w:styleId="111111">
    <w:name w:val="Outline List 2"/>
    <w:basedOn w:val="NoList"/>
    <w:semiHidden/>
    <w:rsid w:val="00CC315F"/>
    <w:pPr>
      <w:numPr>
        <w:numId w:val="20"/>
      </w:numPr>
    </w:pPr>
  </w:style>
  <w:style w:type="numbering" w:styleId="1ai">
    <w:name w:val="Outline List 1"/>
    <w:basedOn w:val="NoList"/>
    <w:semiHidden/>
    <w:rsid w:val="00CC315F"/>
    <w:pPr>
      <w:numPr>
        <w:numId w:val="21"/>
      </w:numPr>
    </w:pPr>
  </w:style>
  <w:style w:type="numbering" w:styleId="ArticleSection">
    <w:name w:val="Outline List 3"/>
    <w:basedOn w:val="NoList"/>
    <w:semiHidden/>
    <w:rsid w:val="00CC315F"/>
    <w:pPr>
      <w:numPr>
        <w:numId w:val="22"/>
      </w:numPr>
    </w:pPr>
  </w:style>
  <w:style w:type="paragraph" w:styleId="BodyText2">
    <w:name w:val="Body Text 2"/>
    <w:basedOn w:val="Normal"/>
    <w:link w:val="BodyText2Char"/>
    <w:semiHidden/>
    <w:rsid w:val="00CC315F"/>
    <w:pPr>
      <w:kinsoku/>
      <w:overflowPunct/>
      <w:autoSpaceDE/>
      <w:autoSpaceDN/>
      <w:adjustRightInd/>
      <w:snapToGrid/>
      <w:spacing w:after="120" w:line="480" w:lineRule="auto"/>
    </w:pPr>
    <w:rPr>
      <w:rFonts w:eastAsia="Times New Roman"/>
      <w:lang w:val="en-GB"/>
    </w:rPr>
  </w:style>
  <w:style w:type="character" w:customStyle="1" w:styleId="BodyText2Char">
    <w:name w:val="Body Text 2 Char"/>
    <w:basedOn w:val="DefaultParagraphFont"/>
    <w:link w:val="BodyText2"/>
    <w:semiHidden/>
    <w:rsid w:val="00CC315F"/>
    <w:rPr>
      <w:rFonts w:ascii="Times New Roman" w:hAnsi="Times New Roman" w:cs="Times New Roman"/>
      <w:sz w:val="20"/>
      <w:szCs w:val="20"/>
      <w:lang w:val="en-GB" w:eastAsia="en-US"/>
    </w:rPr>
  </w:style>
  <w:style w:type="paragraph" w:styleId="BodyText3">
    <w:name w:val="Body Text 3"/>
    <w:basedOn w:val="Normal"/>
    <w:link w:val="BodyText3Char"/>
    <w:semiHidden/>
    <w:rsid w:val="00CC315F"/>
    <w:pPr>
      <w:kinsoku/>
      <w:overflowPunct/>
      <w:autoSpaceDE/>
      <w:autoSpaceDN/>
      <w:adjustRightInd/>
      <w:snapToGrid/>
      <w:spacing w:after="120"/>
    </w:pPr>
    <w:rPr>
      <w:rFonts w:eastAsia="Times New Roman"/>
      <w:sz w:val="16"/>
      <w:szCs w:val="16"/>
      <w:lang w:val="en-GB"/>
    </w:rPr>
  </w:style>
  <w:style w:type="character" w:customStyle="1" w:styleId="BodyText3Char">
    <w:name w:val="Body Text 3 Char"/>
    <w:basedOn w:val="DefaultParagraphFont"/>
    <w:link w:val="BodyText3"/>
    <w:semiHidden/>
    <w:rsid w:val="00CC315F"/>
    <w:rPr>
      <w:rFonts w:ascii="Times New Roman" w:hAnsi="Times New Roman" w:cs="Times New Roman"/>
      <w:sz w:val="16"/>
      <w:szCs w:val="16"/>
      <w:lang w:val="en-GB" w:eastAsia="en-US"/>
    </w:rPr>
  </w:style>
  <w:style w:type="paragraph" w:styleId="BodyTextFirstIndent">
    <w:name w:val="Body Text First Indent"/>
    <w:basedOn w:val="BodyText"/>
    <w:link w:val="BodyTextFirstIndentChar"/>
    <w:semiHidden/>
    <w:rsid w:val="00CC315F"/>
    <w:pPr>
      <w:spacing w:after="120"/>
      <w:ind w:firstLine="210"/>
    </w:pPr>
  </w:style>
  <w:style w:type="character" w:customStyle="1" w:styleId="BodyTextFirstIndentChar">
    <w:name w:val="Body Text First Indent Char"/>
    <w:basedOn w:val="BodyTextChar"/>
    <w:link w:val="BodyTextFirstIndent"/>
    <w:semiHidden/>
    <w:rsid w:val="00CC315F"/>
    <w:rPr>
      <w:rFonts w:ascii="Times New Roman" w:hAnsi="Times New Roman" w:cs="Times New Roman"/>
      <w:sz w:val="20"/>
      <w:szCs w:val="20"/>
      <w:lang w:val="en-GB" w:eastAsia="en-US"/>
    </w:rPr>
  </w:style>
  <w:style w:type="paragraph" w:styleId="BodyTextFirstIndent2">
    <w:name w:val="Body Text First Indent 2"/>
    <w:basedOn w:val="BodyTextIndent"/>
    <w:link w:val="BodyTextFirstIndent2Char"/>
    <w:semiHidden/>
    <w:rsid w:val="00CC315F"/>
    <w:pPr>
      <w:ind w:firstLine="210"/>
    </w:pPr>
  </w:style>
  <w:style w:type="character" w:customStyle="1" w:styleId="BodyTextFirstIndent2Char">
    <w:name w:val="Body Text First Indent 2 Char"/>
    <w:basedOn w:val="BodyTextIndentChar"/>
    <w:link w:val="BodyTextFirstIndent2"/>
    <w:semiHidden/>
    <w:rsid w:val="00CC315F"/>
    <w:rPr>
      <w:rFonts w:ascii="Times New Roman" w:hAnsi="Times New Roman" w:cs="Times New Roman"/>
      <w:sz w:val="20"/>
      <w:szCs w:val="20"/>
      <w:lang w:val="en-GB" w:eastAsia="en-US"/>
    </w:rPr>
  </w:style>
  <w:style w:type="paragraph" w:styleId="BodyTextIndent2">
    <w:name w:val="Body Text Indent 2"/>
    <w:basedOn w:val="Normal"/>
    <w:link w:val="BodyTextIndent2Char"/>
    <w:semiHidden/>
    <w:rsid w:val="00CC315F"/>
    <w:pPr>
      <w:kinsoku/>
      <w:overflowPunct/>
      <w:autoSpaceDE/>
      <w:autoSpaceDN/>
      <w:adjustRightInd/>
      <w:snapToGrid/>
      <w:spacing w:after="120" w:line="480" w:lineRule="auto"/>
      <w:ind w:left="283"/>
    </w:pPr>
    <w:rPr>
      <w:rFonts w:eastAsia="Times New Roman"/>
      <w:lang w:val="en-GB"/>
    </w:rPr>
  </w:style>
  <w:style w:type="character" w:customStyle="1" w:styleId="BodyTextIndent2Char">
    <w:name w:val="Body Text Indent 2 Char"/>
    <w:basedOn w:val="DefaultParagraphFont"/>
    <w:link w:val="BodyTextIndent2"/>
    <w:semiHidden/>
    <w:rsid w:val="00CC315F"/>
    <w:rPr>
      <w:rFonts w:ascii="Times New Roman" w:hAnsi="Times New Roman" w:cs="Times New Roman"/>
      <w:sz w:val="20"/>
      <w:szCs w:val="20"/>
      <w:lang w:val="en-GB" w:eastAsia="en-US"/>
    </w:rPr>
  </w:style>
  <w:style w:type="paragraph" w:styleId="BodyTextIndent3">
    <w:name w:val="Body Text Indent 3"/>
    <w:basedOn w:val="Normal"/>
    <w:link w:val="BodyTextIndent3Char"/>
    <w:semiHidden/>
    <w:rsid w:val="00CC315F"/>
    <w:pPr>
      <w:kinsoku/>
      <w:overflowPunct/>
      <w:autoSpaceDE/>
      <w:autoSpaceDN/>
      <w:adjustRightInd/>
      <w:snapToGrid/>
      <w:spacing w:after="120"/>
      <w:ind w:left="283"/>
    </w:pPr>
    <w:rPr>
      <w:rFonts w:eastAsia="Times New Roman"/>
      <w:sz w:val="16"/>
      <w:szCs w:val="16"/>
      <w:lang w:val="en-GB"/>
    </w:rPr>
  </w:style>
  <w:style w:type="character" w:customStyle="1" w:styleId="BodyTextIndent3Char">
    <w:name w:val="Body Text Indent 3 Char"/>
    <w:basedOn w:val="DefaultParagraphFont"/>
    <w:link w:val="BodyTextIndent3"/>
    <w:semiHidden/>
    <w:rsid w:val="00CC315F"/>
    <w:rPr>
      <w:rFonts w:ascii="Times New Roman" w:hAnsi="Times New Roman" w:cs="Times New Roman"/>
      <w:sz w:val="16"/>
      <w:szCs w:val="16"/>
      <w:lang w:val="en-GB" w:eastAsia="en-US"/>
    </w:rPr>
  </w:style>
  <w:style w:type="paragraph" w:styleId="Closing">
    <w:name w:val="Closing"/>
    <w:basedOn w:val="Normal"/>
    <w:link w:val="ClosingChar"/>
    <w:semiHidden/>
    <w:rsid w:val="00CC315F"/>
    <w:pPr>
      <w:kinsoku/>
      <w:overflowPunct/>
      <w:autoSpaceDE/>
      <w:autoSpaceDN/>
      <w:adjustRightInd/>
      <w:snapToGrid/>
      <w:ind w:left="4252"/>
    </w:pPr>
    <w:rPr>
      <w:rFonts w:eastAsia="Times New Roman"/>
      <w:lang w:val="en-GB"/>
    </w:rPr>
  </w:style>
  <w:style w:type="character" w:customStyle="1" w:styleId="ClosingChar">
    <w:name w:val="Closing Char"/>
    <w:basedOn w:val="DefaultParagraphFont"/>
    <w:link w:val="Closing"/>
    <w:semiHidden/>
    <w:rsid w:val="00CC315F"/>
    <w:rPr>
      <w:rFonts w:ascii="Times New Roman" w:hAnsi="Times New Roman" w:cs="Times New Roman"/>
      <w:sz w:val="20"/>
      <w:szCs w:val="20"/>
      <w:lang w:val="en-GB" w:eastAsia="en-US"/>
    </w:rPr>
  </w:style>
  <w:style w:type="paragraph" w:styleId="Date">
    <w:name w:val="Date"/>
    <w:basedOn w:val="Normal"/>
    <w:next w:val="Normal"/>
    <w:link w:val="DateChar"/>
    <w:semiHidden/>
    <w:rsid w:val="00CC315F"/>
    <w:pPr>
      <w:kinsoku/>
      <w:overflowPunct/>
      <w:autoSpaceDE/>
      <w:autoSpaceDN/>
      <w:adjustRightInd/>
      <w:snapToGrid/>
    </w:pPr>
    <w:rPr>
      <w:rFonts w:eastAsia="Times New Roman"/>
      <w:lang w:val="en-GB"/>
    </w:rPr>
  </w:style>
  <w:style w:type="character" w:customStyle="1" w:styleId="DateChar">
    <w:name w:val="Date Char"/>
    <w:basedOn w:val="DefaultParagraphFont"/>
    <w:link w:val="Date"/>
    <w:semiHidden/>
    <w:rsid w:val="00CC315F"/>
    <w:rPr>
      <w:rFonts w:ascii="Times New Roman" w:hAnsi="Times New Roman" w:cs="Times New Roman"/>
      <w:sz w:val="20"/>
      <w:szCs w:val="20"/>
      <w:lang w:val="en-GB" w:eastAsia="en-US"/>
    </w:rPr>
  </w:style>
  <w:style w:type="paragraph" w:styleId="E-mailSignature">
    <w:name w:val="E-mail Signature"/>
    <w:basedOn w:val="Normal"/>
    <w:link w:val="E-mailSignatureChar"/>
    <w:semiHidden/>
    <w:rsid w:val="00CC315F"/>
    <w:pPr>
      <w:kinsoku/>
      <w:overflowPunct/>
      <w:autoSpaceDE/>
      <w:autoSpaceDN/>
      <w:adjustRightInd/>
      <w:snapToGrid/>
    </w:pPr>
    <w:rPr>
      <w:rFonts w:eastAsia="Times New Roman"/>
      <w:lang w:val="en-GB"/>
    </w:rPr>
  </w:style>
  <w:style w:type="character" w:customStyle="1" w:styleId="E-mailSignatureChar">
    <w:name w:val="E-mail Signature Char"/>
    <w:basedOn w:val="DefaultParagraphFont"/>
    <w:link w:val="E-mailSignature"/>
    <w:semiHidden/>
    <w:rsid w:val="00CC315F"/>
    <w:rPr>
      <w:rFonts w:ascii="Times New Roman" w:hAnsi="Times New Roman" w:cs="Times New Roman"/>
      <w:sz w:val="20"/>
      <w:szCs w:val="20"/>
      <w:lang w:val="en-GB" w:eastAsia="en-US"/>
    </w:rPr>
  </w:style>
  <w:style w:type="character" w:styleId="Emphasis">
    <w:name w:val="Emphasis"/>
    <w:rsid w:val="00CC315F"/>
    <w:rPr>
      <w:i/>
      <w:iCs/>
    </w:rPr>
  </w:style>
  <w:style w:type="paragraph" w:styleId="EnvelopeReturn">
    <w:name w:val="envelope return"/>
    <w:basedOn w:val="Normal"/>
    <w:semiHidden/>
    <w:rsid w:val="00CC315F"/>
    <w:pPr>
      <w:kinsoku/>
      <w:overflowPunct/>
      <w:autoSpaceDE/>
      <w:autoSpaceDN/>
      <w:adjustRightInd/>
      <w:snapToGrid/>
    </w:pPr>
    <w:rPr>
      <w:rFonts w:ascii="Arial" w:eastAsia="Times New Roman" w:hAnsi="Arial" w:cs="Arial"/>
      <w:lang w:val="en-GB"/>
    </w:rPr>
  </w:style>
  <w:style w:type="character" w:styleId="HTMLAcronym">
    <w:name w:val="HTML Acronym"/>
    <w:basedOn w:val="DefaultParagraphFont"/>
    <w:semiHidden/>
    <w:rsid w:val="00CC315F"/>
  </w:style>
  <w:style w:type="paragraph" w:styleId="HTMLAddress">
    <w:name w:val="HTML Address"/>
    <w:basedOn w:val="Normal"/>
    <w:link w:val="HTMLAddressChar"/>
    <w:semiHidden/>
    <w:rsid w:val="00CC315F"/>
    <w:pPr>
      <w:kinsoku/>
      <w:overflowPunct/>
      <w:autoSpaceDE/>
      <w:autoSpaceDN/>
      <w:adjustRightInd/>
      <w:snapToGrid/>
    </w:pPr>
    <w:rPr>
      <w:rFonts w:eastAsia="Times New Roman"/>
      <w:i/>
      <w:iCs/>
      <w:lang w:val="en-GB"/>
    </w:rPr>
  </w:style>
  <w:style w:type="character" w:customStyle="1" w:styleId="HTMLAddressChar">
    <w:name w:val="HTML Address Char"/>
    <w:basedOn w:val="DefaultParagraphFont"/>
    <w:link w:val="HTMLAddress"/>
    <w:semiHidden/>
    <w:rsid w:val="00CC315F"/>
    <w:rPr>
      <w:rFonts w:ascii="Times New Roman" w:hAnsi="Times New Roman" w:cs="Times New Roman"/>
      <w:i/>
      <w:iCs/>
      <w:sz w:val="20"/>
      <w:szCs w:val="20"/>
      <w:lang w:val="en-GB" w:eastAsia="en-US"/>
    </w:rPr>
  </w:style>
  <w:style w:type="character" w:styleId="HTMLCite">
    <w:name w:val="HTML Cite"/>
    <w:semiHidden/>
    <w:rsid w:val="00CC315F"/>
    <w:rPr>
      <w:i/>
      <w:iCs/>
    </w:rPr>
  </w:style>
  <w:style w:type="character" w:styleId="HTMLCode">
    <w:name w:val="HTML Code"/>
    <w:semiHidden/>
    <w:rsid w:val="00CC315F"/>
    <w:rPr>
      <w:rFonts w:ascii="Courier New" w:hAnsi="Courier New" w:cs="Courier New"/>
      <w:sz w:val="20"/>
      <w:szCs w:val="20"/>
    </w:rPr>
  </w:style>
  <w:style w:type="character" w:styleId="HTMLDefinition">
    <w:name w:val="HTML Definition"/>
    <w:semiHidden/>
    <w:rsid w:val="00CC315F"/>
    <w:rPr>
      <w:i/>
      <w:iCs/>
    </w:rPr>
  </w:style>
  <w:style w:type="character" w:styleId="HTMLKeyboard">
    <w:name w:val="HTML Keyboard"/>
    <w:semiHidden/>
    <w:rsid w:val="00CC315F"/>
    <w:rPr>
      <w:rFonts w:ascii="Courier New" w:hAnsi="Courier New" w:cs="Courier New"/>
      <w:sz w:val="20"/>
      <w:szCs w:val="20"/>
    </w:rPr>
  </w:style>
  <w:style w:type="paragraph" w:styleId="HTMLPreformatted">
    <w:name w:val="HTML Preformatted"/>
    <w:basedOn w:val="Normal"/>
    <w:link w:val="HTMLPreformattedChar"/>
    <w:semiHidden/>
    <w:rsid w:val="00CC315F"/>
    <w:pPr>
      <w:kinsoku/>
      <w:overflowPunct/>
      <w:autoSpaceDE/>
      <w:autoSpaceDN/>
      <w:adjustRightInd/>
      <w:snapToGrid/>
    </w:pPr>
    <w:rPr>
      <w:rFonts w:ascii="Courier New" w:eastAsia="Times New Roman" w:hAnsi="Courier New" w:cs="Courier New"/>
      <w:lang w:val="en-GB"/>
    </w:rPr>
  </w:style>
  <w:style w:type="character" w:customStyle="1" w:styleId="HTMLPreformattedChar">
    <w:name w:val="HTML Preformatted Char"/>
    <w:basedOn w:val="DefaultParagraphFont"/>
    <w:link w:val="HTMLPreformatted"/>
    <w:semiHidden/>
    <w:rsid w:val="00CC315F"/>
    <w:rPr>
      <w:rFonts w:ascii="Courier New" w:hAnsi="Courier New" w:cs="Courier New"/>
      <w:sz w:val="20"/>
      <w:szCs w:val="20"/>
      <w:lang w:val="en-GB" w:eastAsia="en-US"/>
    </w:rPr>
  </w:style>
  <w:style w:type="character" w:styleId="HTMLSample">
    <w:name w:val="HTML Sample"/>
    <w:semiHidden/>
    <w:rsid w:val="00CC315F"/>
    <w:rPr>
      <w:rFonts w:ascii="Courier New" w:hAnsi="Courier New" w:cs="Courier New"/>
    </w:rPr>
  </w:style>
  <w:style w:type="character" w:styleId="HTMLTypewriter">
    <w:name w:val="HTML Typewriter"/>
    <w:semiHidden/>
    <w:rsid w:val="00CC315F"/>
    <w:rPr>
      <w:rFonts w:ascii="Courier New" w:hAnsi="Courier New" w:cs="Courier New"/>
      <w:sz w:val="20"/>
      <w:szCs w:val="20"/>
    </w:rPr>
  </w:style>
  <w:style w:type="character" w:styleId="HTMLVariable">
    <w:name w:val="HTML Variable"/>
    <w:semiHidden/>
    <w:rsid w:val="00CC315F"/>
    <w:rPr>
      <w:i/>
      <w:iCs/>
    </w:rPr>
  </w:style>
  <w:style w:type="paragraph" w:styleId="List">
    <w:name w:val="List"/>
    <w:basedOn w:val="Normal"/>
    <w:semiHidden/>
    <w:rsid w:val="00CC315F"/>
    <w:pPr>
      <w:kinsoku/>
      <w:overflowPunct/>
      <w:autoSpaceDE/>
      <w:autoSpaceDN/>
      <w:adjustRightInd/>
      <w:snapToGrid/>
      <w:ind w:left="283" w:hanging="283"/>
    </w:pPr>
    <w:rPr>
      <w:rFonts w:eastAsia="Times New Roman"/>
      <w:lang w:val="en-GB"/>
    </w:rPr>
  </w:style>
  <w:style w:type="paragraph" w:styleId="List2">
    <w:name w:val="List 2"/>
    <w:basedOn w:val="Normal"/>
    <w:semiHidden/>
    <w:rsid w:val="00CC315F"/>
    <w:pPr>
      <w:kinsoku/>
      <w:overflowPunct/>
      <w:autoSpaceDE/>
      <w:autoSpaceDN/>
      <w:adjustRightInd/>
      <w:snapToGrid/>
      <w:ind w:left="566" w:hanging="283"/>
    </w:pPr>
    <w:rPr>
      <w:rFonts w:eastAsia="Times New Roman"/>
      <w:lang w:val="en-GB"/>
    </w:rPr>
  </w:style>
  <w:style w:type="paragraph" w:styleId="List3">
    <w:name w:val="List 3"/>
    <w:basedOn w:val="Normal"/>
    <w:semiHidden/>
    <w:rsid w:val="00CC315F"/>
    <w:pPr>
      <w:kinsoku/>
      <w:overflowPunct/>
      <w:autoSpaceDE/>
      <w:autoSpaceDN/>
      <w:adjustRightInd/>
      <w:snapToGrid/>
      <w:ind w:left="849" w:hanging="283"/>
    </w:pPr>
    <w:rPr>
      <w:rFonts w:eastAsia="Times New Roman"/>
      <w:lang w:val="en-GB"/>
    </w:rPr>
  </w:style>
  <w:style w:type="paragraph" w:styleId="List4">
    <w:name w:val="List 4"/>
    <w:basedOn w:val="Normal"/>
    <w:semiHidden/>
    <w:rsid w:val="00CC315F"/>
    <w:pPr>
      <w:kinsoku/>
      <w:overflowPunct/>
      <w:autoSpaceDE/>
      <w:autoSpaceDN/>
      <w:adjustRightInd/>
      <w:snapToGrid/>
      <w:ind w:left="1132" w:hanging="283"/>
    </w:pPr>
    <w:rPr>
      <w:rFonts w:eastAsia="Times New Roman"/>
      <w:lang w:val="en-GB"/>
    </w:rPr>
  </w:style>
  <w:style w:type="paragraph" w:styleId="List5">
    <w:name w:val="List 5"/>
    <w:basedOn w:val="Normal"/>
    <w:semiHidden/>
    <w:rsid w:val="00CC315F"/>
    <w:pPr>
      <w:kinsoku/>
      <w:overflowPunct/>
      <w:autoSpaceDE/>
      <w:autoSpaceDN/>
      <w:adjustRightInd/>
      <w:snapToGrid/>
      <w:ind w:left="1415" w:hanging="283"/>
    </w:pPr>
    <w:rPr>
      <w:rFonts w:eastAsia="Times New Roman"/>
      <w:lang w:val="en-GB"/>
    </w:rPr>
  </w:style>
  <w:style w:type="paragraph" w:styleId="ListBullet">
    <w:name w:val="List Bullet"/>
    <w:basedOn w:val="Normal"/>
    <w:semiHidden/>
    <w:rsid w:val="00CC315F"/>
    <w:pPr>
      <w:tabs>
        <w:tab w:val="num" w:pos="360"/>
      </w:tabs>
      <w:kinsoku/>
      <w:overflowPunct/>
      <w:autoSpaceDE/>
      <w:autoSpaceDN/>
      <w:adjustRightInd/>
      <w:snapToGrid/>
      <w:ind w:left="360" w:hanging="360"/>
    </w:pPr>
    <w:rPr>
      <w:rFonts w:eastAsia="Times New Roman"/>
      <w:lang w:val="en-GB"/>
    </w:rPr>
  </w:style>
  <w:style w:type="paragraph" w:styleId="ListBullet2">
    <w:name w:val="List Bullet 2"/>
    <w:basedOn w:val="Normal"/>
    <w:semiHidden/>
    <w:rsid w:val="00CC315F"/>
    <w:pPr>
      <w:tabs>
        <w:tab w:val="num" w:pos="643"/>
      </w:tabs>
      <w:kinsoku/>
      <w:overflowPunct/>
      <w:autoSpaceDE/>
      <w:autoSpaceDN/>
      <w:adjustRightInd/>
      <w:snapToGrid/>
      <w:ind w:left="643" w:hanging="360"/>
    </w:pPr>
    <w:rPr>
      <w:rFonts w:eastAsia="Times New Roman"/>
      <w:lang w:val="en-GB"/>
    </w:rPr>
  </w:style>
  <w:style w:type="paragraph" w:styleId="ListBullet3">
    <w:name w:val="List Bullet 3"/>
    <w:basedOn w:val="Normal"/>
    <w:semiHidden/>
    <w:rsid w:val="00CC315F"/>
    <w:pPr>
      <w:tabs>
        <w:tab w:val="num" w:pos="926"/>
      </w:tabs>
      <w:kinsoku/>
      <w:overflowPunct/>
      <w:autoSpaceDE/>
      <w:autoSpaceDN/>
      <w:adjustRightInd/>
      <w:snapToGrid/>
      <w:ind w:left="926" w:hanging="360"/>
    </w:pPr>
    <w:rPr>
      <w:rFonts w:eastAsia="Times New Roman"/>
      <w:lang w:val="en-GB"/>
    </w:rPr>
  </w:style>
  <w:style w:type="paragraph" w:styleId="ListBullet4">
    <w:name w:val="List Bullet 4"/>
    <w:basedOn w:val="Normal"/>
    <w:semiHidden/>
    <w:rsid w:val="00CC315F"/>
    <w:pPr>
      <w:tabs>
        <w:tab w:val="num" w:pos="1209"/>
      </w:tabs>
      <w:kinsoku/>
      <w:overflowPunct/>
      <w:autoSpaceDE/>
      <w:autoSpaceDN/>
      <w:adjustRightInd/>
      <w:snapToGrid/>
      <w:ind w:left="1209" w:hanging="360"/>
    </w:pPr>
    <w:rPr>
      <w:rFonts w:eastAsia="Times New Roman"/>
      <w:lang w:val="en-GB"/>
    </w:rPr>
  </w:style>
  <w:style w:type="paragraph" w:styleId="ListBullet5">
    <w:name w:val="List Bullet 5"/>
    <w:basedOn w:val="Normal"/>
    <w:semiHidden/>
    <w:rsid w:val="00CC315F"/>
    <w:pPr>
      <w:tabs>
        <w:tab w:val="num" w:pos="1492"/>
      </w:tabs>
      <w:kinsoku/>
      <w:overflowPunct/>
      <w:autoSpaceDE/>
      <w:autoSpaceDN/>
      <w:adjustRightInd/>
      <w:snapToGrid/>
      <w:ind w:left="1492" w:hanging="360"/>
    </w:pPr>
    <w:rPr>
      <w:rFonts w:eastAsia="Times New Roman"/>
      <w:lang w:val="en-GB"/>
    </w:rPr>
  </w:style>
  <w:style w:type="paragraph" w:styleId="ListContinue">
    <w:name w:val="List Continue"/>
    <w:basedOn w:val="Normal"/>
    <w:semiHidden/>
    <w:rsid w:val="00CC315F"/>
    <w:pPr>
      <w:kinsoku/>
      <w:overflowPunct/>
      <w:autoSpaceDE/>
      <w:autoSpaceDN/>
      <w:adjustRightInd/>
      <w:snapToGrid/>
      <w:spacing w:after="120"/>
      <w:ind w:left="283"/>
    </w:pPr>
    <w:rPr>
      <w:rFonts w:eastAsia="Times New Roman"/>
      <w:lang w:val="en-GB"/>
    </w:rPr>
  </w:style>
  <w:style w:type="paragraph" w:styleId="ListContinue2">
    <w:name w:val="List Continue 2"/>
    <w:basedOn w:val="Normal"/>
    <w:semiHidden/>
    <w:rsid w:val="00CC315F"/>
    <w:pPr>
      <w:kinsoku/>
      <w:overflowPunct/>
      <w:autoSpaceDE/>
      <w:autoSpaceDN/>
      <w:adjustRightInd/>
      <w:snapToGrid/>
      <w:spacing w:after="120"/>
      <w:ind w:left="566"/>
    </w:pPr>
    <w:rPr>
      <w:rFonts w:eastAsia="Times New Roman"/>
      <w:lang w:val="en-GB"/>
    </w:rPr>
  </w:style>
  <w:style w:type="paragraph" w:styleId="ListContinue3">
    <w:name w:val="List Continue 3"/>
    <w:basedOn w:val="Normal"/>
    <w:semiHidden/>
    <w:rsid w:val="00CC315F"/>
    <w:pPr>
      <w:kinsoku/>
      <w:overflowPunct/>
      <w:autoSpaceDE/>
      <w:autoSpaceDN/>
      <w:adjustRightInd/>
      <w:snapToGrid/>
      <w:spacing w:after="120"/>
      <w:ind w:left="849"/>
    </w:pPr>
    <w:rPr>
      <w:rFonts w:eastAsia="Times New Roman"/>
      <w:lang w:val="en-GB"/>
    </w:rPr>
  </w:style>
  <w:style w:type="paragraph" w:styleId="ListContinue4">
    <w:name w:val="List Continue 4"/>
    <w:basedOn w:val="Normal"/>
    <w:semiHidden/>
    <w:rsid w:val="00CC315F"/>
    <w:pPr>
      <w:kinsoku/>
      <w:overflowPunct/>
      <w:autoSpaceDE/>
      <w:autoSpaceDN/>
      <w:adjustRightInd/>
      <w:snapToGrid/>
      <w:spacing w:after="120"/>
      <w:ind w:left="1132"/>
    </w:pPr>
    <w:rPr>
      <w:rFonts w:eastAsia="Times New Roman"/>
      <w:lang w:val="en-GB"/>
    </w:rPr>
  </w:style>
  <w:style w:type="paragraph" w:styleId="ListContinue5">
    <w:name w:val="List Continue 5"/>
    <w:basedOn w:val="Normal"/>
    <w:semiHidden/>
    <w:rsid w:val="00CC315F"/>
    <w:pPr>
      <w:kinsoku/>
      <w:overflowPunct/>
      <w:autoSpaceDE/>
      <w:autoSpaceDN/>
      <w:adjustRightInd/>
      <w:snapToGrid/>
      <w:spacing w:after="120"/>
      <w:ind w:left="1415"/>
    </w:pPr>
    <w:rPr>
      <w:rFonts w:eastAsia="Times New Roman"/>
      <w:lang w:val="en-GB"/>
    </w:rPr>
  </w:style>
  <w:style w:type="paragraph" w:styleId="ListNumber">
    <w:name w:val="List Number"/>
    <w:basedOn w:val="Normal"/>
    <w:semiHidden/>
    <w:rsid w:val="00CC315F"/>
    <w:pPr>
      <w:tabs>
        <w:tab w:val="num" w:pos="360"/>
      </w:tabs>
      <w:kinsoku/>
      <w:overflowPunct/>
      <w:autoSpaceDE/>
      <w:autoSpaceDN/>
      <w:adjustRightInd/>
      <w:snapToGrid/>
      <w:ind w:left="360" w:hanging="360"/>
    </w:pPr>
    <w:rPr>
      <w:rFonts w:eastAsia="Times New Roman"/>
      <w:lang w:val="en-GB"/>
    </w:rPr>
  </w:style>
  <w:style w:type="paragraph" w:styleId="ListNumber2">
    <w:name w:val="List Number 2"/>
    <w:basedOn w:val="Normal"/>
    <w:semiHidden/>
    <w:rsid w:val="00CC315F"/>
    <w:pPr>
      <w:tabs>
        <w:tab w:val="num" w:pos="643"/>
      </w:tabs>
      <w:kinsoku/>
      <w:overflowPunct/>
      <w:autoSpaceDE/>
      <w:autoSpaceDN/>
      <w:adjustRightInd/>
      <w:snapToGrid/>
      <w:ind w:left="643" w:hanging="360"/>
    </w:pPr>
    <w:rPr>
      <w:rFonts w:eastAsia="Times New Roman"/>
      <w:lang w:val="en-GB"/>
    </w:rPr>
  </w:style>
  <w:style w:type="paragraph" w:styleId="ListNumber3">
    <w:name w:val="List Number 3"/>
    <w:basedOn w:val="Normal"/>
    <w:semiHidden/>
    <w:rsid w:val="00CC315F"/>
    <w:pPr>
      <w:tabs>
        <w:tab w:val="num" w:pos="926"/>
      </w:tabs>
      <w:kinsoku/>
      <w:overflowPunct/>
      <w:autoSpaceDE/>
      <w:autoSpaceDN/>
      <w:adjustRightInd/>
      <w:snapToGrid/>
      <w:ind w:left="926" w:hanging="360"/>
    </w:pPr>
    <w:rPr>
      <w:rFonts w:eastAsia="Times New Roman"/>
      <w:lang w:val="en-GB"/>
    </w:rPr>
  </w:style>
  <w:style w:type="paragraph" w:styleId="ListNumber4">
    <w:name w:val="List Number 4"/>
    <w:basedOn w:val="Normal"/>
    <w:semiHidden/>
    <w:rsid w:val="00CC315F"/>
    <w:pPr>
      <w:tabs>
        <w:tab w:val="num" w:pos="1209"/>
      </w:tabs>
      <w:kinsoku/>
      <w:overflowPunct/>
      <w:autoSpaceDE/>
      <w:autoSpaceDN/>
      <w:adjustRightInd/>
      <w:snapToGrid/>
      <w:ind w:left="1209" w:hanging="360"/>
    </w:pPr>
    <w:rPr>
      <w:rFonts w:eastAsia="Times New Roman"/>
      <w:lang w:val="en-GB"/>
    </w:rPr>
  </w:style>
  <w:style w:type="paragraph" w:styleId="ListNumber5">
    <w:name w:val="List Number 5"/>
    <w:basedOn w:val="Normal"/>
    <w:semiHidden/>
    <w:rsid w:val="00CC315F"/>
    <w:pPr>
      <w:tabs>
        <w:tab w:val="num" w:pos="1492"/>
      </w:tabs>
      <w:kinsoku/>
      <w:overflowPunct/>
      <w:autoSpaceDE/>
      <w:autoSpaceDN/>
      <w:adjustRightInd/>
      <w:snapToGrid/>
      <w:ind w:left="1492" w:hanging="360"/>
    </w:pPr>
    <w:rPr>
      <w:rFonts w:eastAsia="Times New Roman"/>
      <w:lang w:val="en-GB"/>
    </w:rPr>
  </w:style>
  <w:style w:type="paragraph" w:styleId="MessageHeader">
    <w:name w:val="Message Header"/>
    <w:basedOn w:val="Normal"/>
    <w:link w:val="MessageHeaderChar"/>
    <w:semiHidden/>
    <w:rsid w:val="00CC315F"/>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CC315F"/>
    <w:rPr>
      <w:rFonts w:ascii="Arial" w:hAnsi="Arial" w:cs="Arial"/>
      <w:sz w:val="24"/>
      <w:szCs w:val="24"/>
      <w:shd w:val="pct20" w:color="auto" w:fill="auto"/>
      <w:lang w:val="en-GB" w:eastAsia="en-US"/>
    </w:rPr>
  </w:style>
  <w:style w:type="paragraph" w:styleId="NormalWeb">
    <w:name w:val="Normal (Web)"/>
    <w:basedOn w:val="Normal"/>
    <w:semiHidden/>
    <w:rsid w:val="00CC315F"/>
    <w:pPr>
      <w:kinsoku/>
      <w:overflowPunct/>
      <w:autoSpaceDE/>
      <w:autoSpaceDN/>
      <w:adjustRightInd/>
      <w:snapToGrid/>
    </w:pPr>
    <w:rPr>
      <w:rFonts w:eastAsia="Times New Roman"/>
      <w:sz w:val="24"/>
      <w:szCs w:val="24"/>
      <w:lang w:val="en-GB"/>
    </w:rPr>
  </w:style>
  <w:style w:type="paragraph" w:styleId="NormalIndent">
    <w:name w:val="Normal Indent"/>
    <w:basedOn w:val="Normal"/>
    <w:semiHidden/>
    <w:rsid w:val="00CC315F"/>
    <w:pPr>
      <w:kinsoku/>
      <w:overflowPunct/>
      <w:autoSpaceDE/>
      <w:autoSpaceDN/>
      <w:adjustRightInd/>
      <w:snapToGrid/>
      <w:ind w:left="567"/>
    </w:pPr>
    <w:rPr>
      <w:rFonts w:eastAsia="Times New Roman"/>
      <w:lang w:val="en-GB"/>
    </w:rPr>
  </w:style>
  <w:style w:type="paragraph" w:styleId="NoteHeading">
    <w:name w:val="Note Heading"/>
    <w:basedOn w:val="Normal"/>
    <w:next w:val="Normal"/>
    <w:link w:val="NoteHeadingChar"/>
    <w:semiHidden/>
    <w:rsid w:val="00CC315F"/>
    <w:pPr>
      <w:kinsoku/>
      <w:overflowPunct/>
      <w:autoSpaceDE/>
      <w:autoSpaceDN/>
      <w:adjustRightInd/>
      <w:snapToGrid/>
    </w:pPr>
    <w:rPr>
      <w:rFonts w:eastAsia="Times New Roman"/>
      <w:lang w:val="en-GB"/>
    </w:rPr>
  </w:style>
  <w:style w:type="character" w:customStyle="1" w:styleId="NoteHeadingChar">
    <w:name w:val="Note Heading Char"/>
    <w:basedOn w:val="DefaultParagraphFont"/>
    <w:link w:val="NoteHeading"/>
    <w:semiHidden/>
    <w:rsid w:val="00CC315F"/>
    <w:rPr>
      <w:rFonts w:ascii="Times New Roman" w:hAnsi="Times New Roman" w:cs="Times New Roman"/>
      <w:sz w:val="20"/>
      <w:szCs w:val="20"/>
      <w:lang w:val="en-GB" w:eastAsia="en-US"/>
    </w:rPr>
  </w:style>
  <w:style w:type="paragraph" w:styleId="Salutation">
    <w:name w:val="Salutation"/>
    <w:basedOn w:val="Normal"/>
    <w:next w:val="Normal"/>
    <w:link w:val="SalutationChar"/>
    <w:semiHidden/>
    <w:rsid w:val="00CC315F"/>
    <w:pPr>
      <w:kinsoku/>
      <w:overflowPunct/>
      <w:autoSpaceDE/>
      <w:autoSpaceDN/>
      <w:adjustRightInd/>
      <w:snapToGrid/>
    </w:pPr>
    <w:rPr>
      <w:rFonts w:eastAsia="Times New Roman"/>
      <w:lang w:val="en-GB"/>
    </w:rPr>
  </w:style>
  <w:style w:type="character" w:customStyle="1" w:styleId="SalutationChar">
    <w:name w:val="Salutation Char"/>
    <w:basedOn w:val="DefaultParagraphFont"/>
    <w:link w:val="Salutation"/>
    <w:semiHidden/>
    <w:rsid w:val="00CC315F"/>
    <w:rPr>
      <w:rFonts w:ascii="Times New Roman" w:hAnsi="Times New Roman" w:cs="Times New Roman"/>
      <w:sz w:val="20"/>
      <w:szCs w:val="20"/>
      <w:lang w:val="en-GB" w:eastAsia="en-US"/>
    </w:rPr>
  </w:style>
  <w:style w:type="paragraph" w:styleId="Signature">
    <w:name w:val="Signature"/>
    <w:basedOn w:val="Normal"/>
    <w:link w:val="SignatureChar"/>
    <w:semiHidden/>
    <w:rsid w:val="00CC315F"/>
    <w:pPr>
      <w:kinsoku/>
      <w:overflowPunct/>
      <w:autoSpaceDE/>
      <w:autoSpaceDN/>
      <w:adjustRightInd/>
      <w:snapToGrid/>
      <w:ind w:left="4252"/>
    </w:pPr>
    <w:rPr>
      <w:rFonts w:eastAsia="Times New Roman"/>
      <w:lang w:val="en-GB"/>
    </w:rPr>
  </w:style>
  <w:style w:type="character" w:customStyle="1" w:styleId="SignatureChar">
    <w:name w:val="Signature Char"/>
    <w:basedOn w:val="DefaultParagraphFont"/>
    <w:link w:val="Signature"/>
    <w:semiHidden/>
    <w:rsid w:val="00CC315F"/>
    <w:rPr>
      <w:rFonts w:ascii="Times New Roman" w:hAnsi="Times New Roman" w:cs="Times New Roman"/>
      <w:sz w:val="20"/>
      <w:szCs w:val="20"/>
      <w:lang w:val="en-GB" w:eastAsia="en-US"/>
    </w:rPr>
  </w:style>
  <w:style w:type="character" w:styleId="Strong">
    <w:name w:val="Strong"/>
    <w:rsid w:val="00CC315F"/>
    <w:rPr>
      <w:b/>
      <w:bCs/>
    </w:rPr>
  </w:style>
  <w:style w:type="paragraph" w:styleId="Subtitle">
    <w:name w:val="Subtitle"/>
    <w:basedOn w:val="Normal"/>
    <w:link w:val="SubtitleChar"/>
    <w:rsid w:val="00CC315F"/>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CC315F"/>
    <w:rPr>
      <w:rFonts w:ascii="Arial" w:hAnsi="Arial" w:cs="Arial"/>
      <w:sz w:val="24"/>
      <w:szCs w:val="24"/>
      <w:lang w:val="en-GB" w:eastAsia="en-US"/>
    </w:rPr>
  </w:style>
  <w:style w:type="table" w:styleId="Table3Deffects1">
    <w:name w:val="Table 3D effects 1"/>
    <w:basedOn w:val="TableNormal"/>
    <w:semiHidden/>
    <w:rsid w:val="00CC315F"/>
    <w:pPr>
      <w:suppressAutoHyphens/>
      <w:spacing w:after="0" w:line="240" w:lineRule="atLeast"/>
    </w:pPr>
    <w:rPr>
      <w:rFonts w:ascii="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315F"/>
    <w:pPr>
      <w:suppressAutoHyphens/>
      <w:spacing w:after="0" w:line="240" w:lineRule="atLeast"/>
    </w:pPr>
    <w:rPr>
      <w:rFonts w:ascii="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315F"/>
    <w:pPr>
      <w:suppressAutoHyphens/>
      <w:spacing w:after="0" w:line="240" w:lineRule="atLeast"/>
    </w:pPr>
    <w:rPr>
      <w:rFonts w:ascii="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C315F"/>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315F"/>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315F"/>
    <w:pPr>
      <w:suppressAutoHyphens/>
      <w:spacing w:after="0" w:line="240" w:lineRule="atLeast"/>
    </w:pPr>
    <w:rPr>
      <w:rFonts w:ascii="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315F"/>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315F"/>
    <w:pPr>
      <w:suppressAutoHyphens/>
      <w:spacing w:after="0" w:line="240" w:lineRule="atLeast"/>
    </w:pPr>
    <w:rPr>
      <w:rFonts w:ascii="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315F"/>
    <w:pPr>
      <w:suppressAutoHyphens/>
      <w:spacing w:after="0" w:line="240" w:lineRule="atLeast"/>
    </w:pPr>
    <w:rPr>
      <w:rFonts w:ascii="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315F"/>
    <w:pPr>
      <w:suppressAutoHyphens/>
      <w:spacing w:after="0" w:line="240" w:lineRule="atLeast"/>
    </w:pPr>
    <w:rPr>
      <w:rFonts w:ascii="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315F"/>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315F"/>
    <w:pPr>
      <w:suppressAutoHyphens/>
      <w:spacing w:after="0" w:line="240" w:lineRule="atLeast"/>
    </w:pPr>
    <w:rPr>
      <w:rFonts w:ascii="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315F"/>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315F"/>
    <w:pPr>
      <w:suppressAutoHyphens/>
      <w:spacing w:after="0" w:line="240" w:lineRule="atLeast"/>
    </w:pPr>
    <w:rPr>
      <w:rFonts w:ascii="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315F"/>
    <w:pPr>
      <w:suppressAutoHyphens/>
      <w:spacing w:after="0" w:line="240" w:lineRule="atLeast"/>
    </w:pPr>
    <w:rPr>
      <w:rFonts w:ascii="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C315F"/>
    <w:pPr>
      <w:suppressAutoHyphens/>
      <w:spacing w:after="0" w:line="240" w:lineRule="atLeast"/>
    </w:pPr>
    <w:rPr>
      <w:rFonts w:ascii="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315F"/>
    <w:pPr>
      <w:suppressAutoHyphens/>
      <w:spacing w:after="0" w:line="240" w:lineRule="atLeast"/>
    </w:pPr>
    <w:rPr>
      <w:rFonts w:ascii="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C315F"/>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315F"/>
    <w:pPr>
      <w:suppressAutoHyphens/>
      <w:spacing w:after="0" w:line="240" w:lineRule="atLeast"/>
    </w:pPr>
    <w:rPr>
      <w:rFonts w:ascii="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315F"/>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315F"/>
    <w:pPr>
      <w:suppressAutoHyphens/>
      <w:spacing w:after="0" w:line="240" w:lineRule="atLeast"/>
    </w:pPr>
    <w:rPr>
      <w:rFonts w:ascii="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315F"/>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315F"/>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315F"/>
    <w:pPr>
      <w:suppressAutoHyphens/>
      <w:spacing w:after="0" w:line="240" w:lineRule="atLeast"/>
    </w:pPr>
    <w:rPr>
      <w:rFonts w:ascii="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315F"/>
    <w:pPr>
      <w:suppressAutoHyphens/>
      <w:spacing w:after="0" w:line="240" w:lineRule="atLeast"/>
    </w:pPr>
    <w:rPr>
      <w:rFonts w:ascii="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315F"/>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315F"/>
    <w:pPr>
      <w:suppressAutoHyphens/>
      <w:spacing w:after="0" w:line="240" w:lineRule="atLeast"/>
    </w:pPr>
    <w:rPr>
      <w:rFonts w:ascii="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315F"/>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315F"/>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315F"/>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315F"/>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315F"/>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315F"/>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C315F"/>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C315F"/>
    <w:pPr>
      <w:suppressAutoHyphens/>
      <w:spacing w:after="0" w:line="240" w:lineRule="atLeast"/>
    </w:pPr>
    <w:rPr>
      <w:rFonts w:ascii="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315F"/>
    <w:pPr>
      <w:suppressAutoHyphens/>
      <w:spacing w:after="0" w:line="240" w:lineRule="atLeast"/>
    </w:pPr>
    <w:rPr>
      <w:rFonts w:ascii="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315F"/>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315F"/>
    <w:pPr>
      <w:suppressAutoHyphens/>
      <w:spacing w:after="0" w:line="240" w:lineRule="atLeast"/>
    </w:pPr>
    <w:rPr>
      <w:rFonts w:ascii="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315F"/>
    <w:pPr>
      <w:suppressAutoHyphens/>
      <w:spacing w:after="0" w:line="240" w:lineRule="atLeast"/>
    </w:pPr>
    <w:rPr>
      <w:rFonts w:ascii="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C315F"/>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C315F"/>
    <w:pPr>
      <w:suppressAutoHyphens/>
      <w:spacing w:after="0" w:line="240" w:lineRule="atLeast"/>
    </w:pPr>
    <w:rPr>
      <w:rFonts w:ascii="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315F"/>
    <w:pPr>
      <w:suppressAutoHyphens/>
      <w:spacing w:after="0" w:line="240" w:lineRule="atLeast"/>
    </w:pPr>
    <w:rPr>
      <w:rFonts w:ascii="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C315F"/>
    <w:pPr>
      <w:suppressAutoHyphens/>
      <w:spacing w:after="0" w:line="240" w:lineRule="atLeast"/>
    </w:pPr>
    <w:rPr>
      <w:rFonts w:ascii="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CC315F"/>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CC315F"/>
    <w:rPr>
      <w:rFonts w:ascii="Arial" w:hAnsi="Arial" w:cs="Arial"/>
      <w:b/>
      <w:bCs/>
      <w:kern w:val="28"/>
      <w:sz w:val="32"/>
      <w:szCs w:val="32"/>
      <w:lang w:val="en-GB" w:eastAsia="en-US"/>
    </w:rPr>
  </w:style>
  <w:style w:type="paragraph" w:styleId="EnvelopeAddress">
    <w:name w:val="envelope address"/>
    <w:basedOn w:val="Normal"/>
    <w:semiHidden/>
    <w:rsid w:val="00CC315F"/>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paragraph" w:styleId="DocumentMap">
    <w:name w:val="Document Map"/>
    <w:basedOn w:val="Normal"/>
    <w:link w:val="DocumentMapChar"/>
    <w:semiHidden/>
    <w:rsid w:val="00CC315F"/>
    <w:pPr>
      <w:shd w:val="clear" w:color="auto" w:fill="000080"/>
      <w:kinsoku/>
      <w:overflowPunct/>
      <w:autoSpaceDE/>
      <w:autoSpaceDN/>
      <w:adjustRightInd/>
      <w:snapToGrid/>
    </w:pPr>
    <w:rPr>
      <w:rFonts w:ascii="Tahoma" w:eastAsia="Times New Roman" w:hAnsi="Tahoma" w:cs="Tahoma"/>
      <w:lang w:val="en-GB"/>
    </w:rPr>
  </w:style>
  <w:style w:type="character" w:customStyle="1" w:styleId="DocumentMapChar">
    <w:name w:val="Document Map Char"/>
    <w:basedOn w:val="DefaultParagraphFont"/>
    <w:link w:val="DocumentMap"/>
    <w:semiHidden/>
    <w:rsid w:val="00CC315F"/>
    <w:rPr>
      <w:rFonts w:ascii="Tahoma" w:hAnsi="Tahoma" w:cs="Tahoma"/>
      <w:sz w:val="20"/>
      <w:szCs w:val="20"/>
      <w:shd w:val="clear" w:color="auto" w:fill="000080"/>
      <w:lang w:val="en-GB" w:eastAsia="en-US"/>
    </w:rPr>
  </w:style>
  <w:style w:type="character" w:customStyle="1" w:styleId="SingleTxtGChar">
    <w:name w:val="_ Single Txt_G Char"/>
    <w:link w:val="SingleTxtG"/>
    <w:qFormat/>
    <w:rsid w:val="00CC315F"/>
    <w:rPr>
      <w:rFonts w:ascii="Times New Roman" w:eastAsiaTheme="minorHAnsi" w:hAnsi="Times New Roman" w:cs="Times New Roman"/>
      <w:sz w:val="20"/>
      <w:szCs w:val="20"/>
      <w:lang w:eastAsia="en-US"/>
    </w:rPr>
  </w:style>
  <w:style w:type="character" w:customStyle="1" w:styleId="H1GChar">
    <w:name w:val="_ H_1_G Char"/>
    <w:link w:val="H1G"/>
    <w:rsid w:val="00CC315F"/>
    <w:rPr>
      <w:rFonts w:ascii="Times New Roman" w:eastAsiaTheme="minorHAnsi" w:hAnsi="Times New Roman" w:cs="Times New Roman"/>
      <w:b/>
      <w:sz w:val="24"/>
      <w:szCs w:val="20"/>
      <w:lang w:eastAsia="en-US"/>
    </w:rPr>
  </w:style>
  <w:style w:type="paragraph" w:customStyle="1" w:styleId="Rom2">
    <w:name w:val="Rom2"/>
    <w:basedOn w:val="SingleTxtG"/>
    <w:semiHidden/>
    <w:rsid w:val="00CC315F"/>
    <w:pPr>
      <w:kinsoku/>
      <w:overflowPunct/>
      <w:autoSpaceDE/>
      <w:autoSpaceDN/>
      <w:adjustRightInd/>
      <w:snapToGrid/>
      <w:ind w:left="2835" w:hanging="397"/>
    </w:pPr>
    <w:rPr>
      <w:rFonts w:eastAsia="Times New Roman"/>
    </w:rPr>
  </w:style>
  <w:style w:type="table" w:customStyle="1" w:styleId="TableGrid10">
    <w:name w:val="Table Grid1"/>
    <w:basedOn w:val="TableNormal"/>
    <w:next w:val="TableGrid"/>
    <w:semiHidden/>
    <w:rsid w:val="00CC315F"/>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NormaltextSpalte">
    <w:name w:val="Normaltext Spalte"/>
    <w:basedOn w:val="Normal"/>
    <w:rsid w:val="00CC315F"/>
    <w:pPr>
      <w:tabs>
        <w:tab w:val="left" w:pos="425"/>
        <w:tab w:val="left" w:pos="851"/>
        <w:tab w:val="left" w:pos="1276"/>
      </w:tabs>
      <w:suppressAutoHyphens w:val="0"/>
      <w:kinsoku/>
      <w:overflowPunct/>
      <w:autoSpaceDE/>
      <w:autoSpaceDN/>
      <w:adjustRightInd/>
      <w:snapToGrid/>
      <w:spacing w:before="180" w:line="240" w:lineRule="auto"/>
      <w:jc w:val="both"/>
    </w:pPr>
    <w:rPr>
      <w:rFonts w:ascii="Arial" w:eastAsia="Times New Roman" w:hAnsi="Arial"/>
      <w:color w:val="000000"/>
      <w:sz w:val="18"/>
      <w:lang w:val="de-DE" w:eastAsia="de-DE"/>
    </w:rPr>
  </w:style>
  <w:style w:type="character" w:customStyle="1" w:styleId="SingleTxtGCar">
    <w:name w:val="_ Single Txt_G Car"/>
    <w:uiPriority w:val="99"/>
    <w:rsid w:val="00CC315F"/>
    <w:rPr>
      <w:lang w:val="fr-CH" w:eastAsia="en-US" w:bidi="ar-SA"/>
    </w:rPr>
  </w:style>
  <w:style w:type="character" w:customStyle="1" w:styleId="H23GChar">
    <w:name w:val="_ H_2/3_G Char"/>
    <w:link w:val="H23G"/>
    <w:locked/>
    <w:rsid w:val="00CC315F"/>
    <w:rPr>
      <w:rFonts w:ascii="Times New Roman" w:eastAsiaTheme="minorHAnsi" w:hAnsi="Times New Roman" w:cs="Times New Roman"/>
      <w:b/>
      <w:sz w:val="20"/>
      <w:szCs w:val="20"/>
      <w:lang w:eastAsia="en-US"/>
    </w:rPr>
  </w:style>
  <w:style w:type="paragraph" w:customStyle="1" w:styleId="Default">
    <w:name w:val="Default"/>
    <w:rsid w:val="00CC315F"/>
    <w:pPr>
      <w:autoSpaceDE w:val="0"/>
      <w:autoSpaceDN w:val="0"/>
      <w:adjustRightInd w:val="0"/>
      <w:spacing w:after="0" w:line="240" w:lineRule="auto"/>
    </w:pPr>
    <w:rPr>
      <w:rFonts w:ascii="Arial" w:hAnsi="Arial" w:cs="Arial"/>
      <w:color w:val="000000"/>
      <w:sz w:val="24"/>
      <w:szCs w:val="24"/>
      <w:lang w:val="en-US" w:eastAsia="fr-FR"/>
    </w:rPr>
  </w:style>
  <w:style w:type="paragraph" w:styleId="CommentSubject">
    <w:name w:val="annotation subject"/>
    <w:basedOn w:val="CommentText"/>
    <w:next w:val="CommentText"/>
    <w:link w:val="CommentSubjectChar"/>
    <w:semiHidden/>
    <w:unhideWhenUsed/>
    <w:rsid w:val="00CC315F"/>
    <w:pPr>
      <w:spacing w:line="240" w:lineRule="auto"/>
    </w:pPr>
    <w:rPr>
      <w:b/>
      <w:bCs/>
    </w:rPr>
  </w:style>
  <w:style w:type="character" w:customStyle="1" w:styleId="CommentSubjectChar">
    <w:name w:val="Comment Subject Char"/>
    <w:basedOn w:val="CommentTextChar"/>
    <w:link w:val="CommentSubject"/>
    <w:semiHidden/>
    <w:rsid w:val="00CC315F"/>
    <w:rPr>
      <w:rFonts w:ascii="Times New Roman" w:hAnsi="Times New Roman" w:cs="Times New Roman"/>
      <w:b/>
      <w:bCs/>
      <w:sz w:val="20"/>
      <w:szCs w:val="20"/>
      <w:lang w:val="en-GB" w:eastAsia="en-US"/>
    </w:rPr>
  </w:style>
  <w:style w:type="paragraph" w:styleId="Revision">
    <w:name w:val="Revision"/>
    <w:hidden/>
    <w:uiPriority w:val="99"/>
    <w:semiHidden/>
    <w:rsid w:val="00CC315F"/>
    <w:pPr>
      <w:spacing w:after="0" w:line="240" w:lineRule="auto"/>
    </w:pPr>
    <w:rPr>
      <w:rFonts w:ascii="Times New Roman" w:hAnsi="Times New Roman" w:cs="Times New Roman"/>
      <w:sz w:val="20"/>
      <w:szCs w:val="20"/>
      <w:lang w:val="en-GB" w:eastAsia="en-US"/>
    </w:rPr>
  </w:style>
  <w:style w:type="character" w:customStyle="1" w:styleId="st">
    <w:name w:val="st"/>
    <w:basedOn w:val="DefaultParagraphFont"/>
    <w:rsid w:val="00CC315F"/>
  </w:style>
  <w:style w:type="paragraph" w:customStyle="1" w:styleId="SingleTxt">
    <w:name w:val="__Single Txt"/>
    <w:basedOn w:val="Normal"/>
    <w:uiPriority w:val="99"/>
    <w:rsid w:val="00CC315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Times New Roman"/>
      <w:spacing w:val="4"/>
      <w:w w:val="103"/>
      <w:kern w:val="14"/>
      <w:szCs w:val="22"/>
      <w:lang w:val="fr-CA"/>
    </w:rPr>
  </w:style>
  <w:style w:type="character" w:customStyle="1" w:styleId="CCMCvariableitalic">
    <w:name w:val="CCMCvariable_italic"/>
    <w:uiPriority w:val="99"/>
    <w:rsid w:val="00CC315F"/>
    <w:rPr>
      <w:rFonts w:ascii="Times New Roman" w:hAnsi="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3B4DE-729A-491C-BDA9-6120F66C4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9826</Words>
  <Characters>56011</Characters>
  <Application>Microsoft Office Word</Application>
  <DocSecurity>0</DocSecurity>
  <Lines>466</Lines>
  <Paragraphs>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ECE/TRANS/WP.15/AC.1/150</vt:lpstr>
      <vt:lpstr>ECE/TRANS/WP.15/AC.1/150</vt:lpstr>
    </vt:vector>
  </TitlesOfParts>
  <Company>DCM</Company>
  <LinksUpToDate>false</LinksUpToDate>
  <CharactersWithSpaces>65706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ECE/TRANS/WP.15/AC.1/150</dc:title>
  <dc:subject/>
  <dc:creator>Corinne ROBERT</dc:creator>
  <cp:keywords/>
  <cp:lastModifiedBy>Christine Barrio-Champeau</cp:lastModifiedBy>
  <cp:revision>2</cp:revision>
  <cp:lastPrinted>2018-07-27T09:11:00Z</cp:lastPrinted>
  <dcterms:created xsi:type="dcterms:W3CDTF">2018-07-31T06:20:00Z</dcterms:created>
  <dcterms:modified xsi:type="dcterms:W3CDTF">2018-07-31T06:20:00Z</dcterms:modified>
</cp:coreProperties>
</file>