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367E6A" w:rsidTr="00F01516">
        <w:trPr>
          <w:trHeight w:hRule="exact" w:val="851"/>
        </w:trPr>
        <w:tc>
          <w:tcPr>
            <w:tcW w:w="1277" w:type="dxa"/>
            <w:tcBorders>
              <w:bottom w:val="single" w:sz="4" w:space="0" w:color="auto"/>
            </w:tcBorders>
          </w:tcPr>
          <w:p w:rsidR="003D1DF3" w:rsidRPr="00367E6A" w:rsidRDefault="003D1DF3" w:rsidP="00F01516">
            <w:pPr>
              <w:rPr>
                <w:lang w:val="fr-FR"/>
              </w:rPr>
            </w:pPr>
          </w:p>
        </w:tc>
        <w:tc>
          <w:tcPr>
            <w:tcW w:w="2268" w:type="dxa"/>
            <w:tcBorders>
              <w:bottom w:val="single" w:sz="4" w:space="0" w:color="auto"/>
            </w:tcBorders>
            <w:vAlign w:val="bottom"/>
          </w:tcPr>
          <w:p w:rsidR="003D1DF3" w:rsidRPr="00367E6A" w:rsidRDefault="003D1DF3" w:rsidP="00F01516">
            <w:pPr>
              <w:spacing w:after="80" w:line="300" w:lineRule="exact"/>
              <w:rPr>
                <w:sz w:val="28"/>
                <w:lang w:val="fr-FR"/>
              </w:rPr>
            </w:pPr>
            <w:r w:rsidRPr="00367E6A">
              <w:rPr>
                <w:sz w:val="28"/>
                <w:lang w:val="fr-FR"/>
              </w:rPr>
              <w:t>Nations Unies</w:t>
            </w:r>
          </w:p>
        </w:tc>
        <w:tc>
          <w:tcPr>
            <w:tcW w:w="6094" w:type="dxa"/>
            <w:gridSpan w:val="2"/>
            <w:tcBorders>
              <w:bottom w:val="single" w:sz="4" w:space="0" w:color="auto"/>
            </w:tcBorders>
            <w:vAlign w:val="bottom"/>
          </w:tcPr>
          <w:p w:rsidR="003D1DF3" w:rsidRPr="00367E6A" w:rsidRDefault="00765650" w:rsidP="00765650">
            <w:pPr>
              <w:jc w:val="right"/>
              <w:rPr>
                <w:lang w:val="fr-FR"/>
              </w:rPr>
            </w:pPr>
            <w:r w:rsidRPr="00765650">
              <w:rPr>
                <w:sz w:val="40"/>
                <w:lang w:val="fr-FR"/>
              </w:rPr>
              <w:t>ECE</w:t>
            </w:r>
            <w:r>
              <w:rPr>
                <w:lang w:val="fr-FR"/>
              </w:rPr>
              <w:t>/TRANS/WP.15/2</w:t>
            </w:r>
            <w:r w:rsidR="00356CB6">
              <w:rPr>
                <w:lang w:val="fr-FR"/>
              </w:rPr>
              <w:t>42</w:t>
            </w:r>
          </w:p>
        </w:tc>
      </w:tr>
      <w:tr w:rsidR="003D1DF3" w:rsidRPr="00367E6A" w:rsidTr="00F01516">
        <w:trPr>
          <w:trHeight w:hRule="exact" w:val="2835"/>
        </w:trPr>
        <w:tc>
          <w:tcPr>
            <w:tcW w:w="1276" w:type="dxa"/>
            <w:tcBorders>
              <w:top w:val="single" w:sz="4" w:space="0" w:color="auto"/>
              <w:bottom w:val="single" w:sz="12" w:space="0" w:color="auto"/>
            </w:tcBorders>
          </w:tcPr>
          <w:p w:rsidR="003D1DF3" w:rsidRPr="00367E6A" w:rsidRDefault="00367E6A" w:rsidP="00F01516">
            <w:pPr>
              <w:spacing w:before="120"/>
              <w:jc w:val="center"/>
              <w:rPr>
                <w:lang w:val="fr-FR"/>
              </w:rPr>
            </w:pPr>
            <w:r>
              <w:rPr>
                <w:noProof/>
                <w:lang w:val="fr-FR" w:eastAsia="fr-FR"/>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367E6A" w:rsidRDefault="003D1DF3" w:rsidP="00F01516">
            <w:pPr>
              <w:spacing w:before="120" w:line="420" w:lineRule="exact"/>
              <w:rPr>
                <w:b/>
                <w:sz w:val="40"/>
                <w:szCs w:val="40"/>
                <w:lang w:val="fr-FR"/>
              </w:rPr>
            </w:pPr>
            <w:r w:rsidRPr="00367E6A">
              <w:rPr>
                <w:b/>
                <w:sz w:val="40"/>
                <w:szCs w:val="40"/>
                <w:lang w:val="fr-FR"/>
              </w:rPr>
              <w:t>Conseil économique et social</w:t>
            </w:r>
          </w:p>
        </w:tc>
        <w:tc>
          <w:tcPr>
            <w:tcW w:w="2835" w:type="dxa"/>
            <w:tcBorders>
              <w:top w:val="single" w:sz="4" w:space="0" w:color="auto"/>
              <w:bottom w:val="single" w:sz="12" w:space="0" w:color="auto"/>
            </w:tcBorders>
          </w:tcPr>
          <w:p w:rsidR="003D1DF3" w:rsidRDefault="00765650" w:rsidP="00765650">
            <w:pPr>
              <w:spacing w:before="240" w:line="240" w:lineRule="exact"/>
              <w:rPr>
                <w:lang w:val="fr-FR"/>
              </w:rPr>
            </w:pPr>
            <w:proofErr w:type="spellStart"/>
            <w:r>
              <w:rPr>
                <w:lang w:val="fr-FR"/>
              </w:rPr>
              <w:t>Distr</w:t>
            </w:r>
            <w:proofErr w:type="spellEnd"/>
            <w:r>
              <w:rPr>
                <w:lang w:val="fr-FR"/>
              </w:rPr>
              <w:t xml:space="preserve">. </w:t>
            </w:r>
            <w:proofErr w:type="gramStart"/>
            <w:r>
              <w:rPr>
                <w:lang w:val="fr-FR"/>
              </w:rPr>
              <w:t>générale</w:t>
            </w:r>
            <w:proofErr w:type="gramEnd"/>
          </w:p>
          <w:p w:rsidR="00765650" w:rsidRDefault="0071416B" w:rsidP="00765650">
            <w:pPr>
              <w:spacing w:line="240" w:lineRule="exact"/>
              <w:rPr>
                <w:lang w:val="fr-FR"/>
              </w:rPr>
            </w:pPr>
            <w:r>
              <w:rPr>
                <w:lang w:val="fr-FR"/>
              </w:rPr>
              <w:t xml:space="preserve">6 June </w:t>
            </w:r>
            <w:r w:rsidR="00765650">
              <w:rPr>
                <w:lang w:val="fr-FR"/>
              </w:rPr>
              <w:t>201</w:t>
            </w:r>
            <w:r w:rsidR="00356CB6">
              <w:rPr>
                <w:lang w:val="fr-FR"/>
              </w:rPr>
              <w:t>8</w:t>
            </w:r>
          </w:p>
          <w:p w:rsidR="00977495" w:rsidRDefault="00977495" w:rsidP="00765650">
            <w:pPr>
              <w:spacing w:line="240" w:lineRule="exact"/>
              <w:rPr>
                <w:lang w:val="fr-FR"/>
              </w:rPr>
            </w:pPr>
          </w:p>
          <w:p w:rsidR="00765650" w:rsidRPr="00367E6A" w:rsidRDefault="00765650" w:rsidP="00765650">
            <w:pPr>
              <w:spacing w:line="240" w:lineRule="exact"/>
              <w:rPr>
                <w:lang w:val="fr-FR"/>
              </w:rPr>
            </w:pPr>
            <w:proofErr w:type="gramStart"/>
            <w:r>
              <w:rPr>
                <w:lang w:val="fr-FR"/>
              </w:rPr>
              <w:t>Original:</w:t>
            </w:r>
            <w:proofErr w:type="gramEnd"/>
            <w:r>
              <w:rPr>
                <w:lang w:val="fr-FR"/>
              </w:rPr>
              <w:t xml:space="preserve"> français </w:t>
            </w:r>
          </w:p>
        </w:tc>
      </w:tr>
    </w:tbl>
    <w:p w:rsidR="00FF1DBD" w:rsidRPr="00367E6A" w:rsidRDefault="000312C0" w:rsidP="000312C0">
      <w:pPr>
        <w:spacing w:before="120"/>
        <w:rPr>
          <w:b/>
          <w:sz w:val="28"/>
          <w:szCs w:val="28"/>
          <w:lang w:val="fr-FR"/>
        </w:rPr>
      </w:pPr>
      <w:r w:rsidRPr="00367E6A">
        <w:rPr>
          <w:b/>
          <w:sz w:val="28"/>
          <w:szCs w:val="28"/>
          <w:lang w:val="fr-FR"/>
        </w:rPr>
        <w:t>Commission économique pour l’Europe</w:t>
      </w:r>
    </w:p>
    <w:p w:rsidR="00B93E72" w:rsidRPr="00367E6A" w:rsidRDefault="00B93E72" w:rsidP="00B93E72">
      <w:pPr>
        <w:spacing w:before="120"/>
        <w:rPr>
          <w:sz w:val="28"/>
          <w:szCs w:val="28"/>
          <w:lang w:val="fr-FR"/>
        </w:rPr>
      </w:pPr>
      <w:r w:rsidRPr="00367E6A">
        <w:rPr>
          <w:sz w:val="28"/>
          <w:szCs w:val="28"/>
          <w:lang w:val="fr-FR"/>
        </w:rPr>
        <w:t>Comité des transports intérieurs</w:t>
      </w:r>
    </w:p>
    <w:p w:rsidR="00B93E72" w:rsidRPr="00367E6A" w:rsidRDefault="00B93E72" w:rsidP="00B93E72">
      <w:pPr>
        <w:spacing w:before="120"/>
        <w:rPr>
          <w:b/>
          <w:sz w:val="24"/>
          <w:szCs w:val="24"/>
          <w:lang w:val="fr-FR"/>
        </w:rPr>
      </w:pPr>
      <w:r w:rsidRPr="00367E6A">
        <w:rPr>
          <w:b/>
          <w:sz w:val="24"/>
          <w:szCs w:val="24"/>
          <w:lang w:val="fr-FR"/>
        </w:rPr>
        <w:t>Groupe de travail des transports</w:t>
      </w:r>
      <w:r w:rsidR="00FA6422" w:rsidRPr="00367E6A">
        <w:rPr>
          <w:b/>
          <w:sz w:val="24"/>
          <w:szCs w:val="24"/>
          <w:lang w:val="fr-FR"/>
        </w:rPr>
        <w:t xml:space="preserve"> </w:t>
      </w:r>
      <w:r w:rsidRPr="00367E6A">
        <w:rPr>
          <w:b/>
          <w:sz w:val="24"/>
          <w:szCs w:val="24"/>
          <w:lang w:val="fr-FR"/>
        </w:rPr>
        <w:t>de marchandises dangereuses</w:t>
      </w:r>
    </w:p>
    <w:p w:rsidR="00E16D6E" w:rsidRPr="00A34F4A" w:rsidRDefault="00E16D6E" w:rsidP="00E16D6E">
      <w:pPr>
        <w:keepNext/>
        <w:keepLines/>
        <w:tabs>
          <w:tab w:val="right" w:pos="851"/>
        </w:tabs>
        <w:spacing w:before="360" w:after="120" w:line="300" w:lineRule="exact"/>
        <w:ind w:left="1134" w:right="1134" w:hanging="1134"/>
        <w:rPr>
          <w:sz w:val="28"/>
          <w:lang w:val="fr-FR"/>
        </w:rPr>
      </w:pPr>
      <w:r w:rsidRPr="00A34F4A">
        <w:rPr>
          <w:b/>
          <w:sz w:val="28"/>
          <w:lang w:val="fr-FR"/>
        </w:rPr>
        <w:tab/>
      </w:r>
      <w:r w:rsidRPr="00A34F4A">
        <w:rPr>
          <w:b/>
          <w:sz w:val="28"/>
          <w:lang w:val="fr-FR"/>
        </w:rPr>
        <w:tab/>
        <w:t xml:space="preserve">Rapport du Groupe de travail sur sa </w:t>
      </w:r>
      <w:r>
        <w:rPr>
          <w:b/>
          <w:sz w:val="28"/>
          <w:lang w:val="fr-FR"/>
        </w:rPr>
        <w:t>10</w:t>
      </w:r>
      <w:r w:rsidR="00356CB6">
        <w:rPr>
          <w:b/>
          <w:sz w:val="28"/>
          <w:lang w:val="fr-FR"/>
        </w:rPr>
        <w:t>4</w:t>
      </w:r>
      <w:r w:rsidR="007C4E5F">
        <w:rPr>
          <w:b/>
          <w:sz w:val="28"/>
          <w:lang w:val="fr-FR"/>
        </w:rPr>
        <w:t>e</w:t>
      </w:r>
      <w:r w:rsidR="003F3A64">
        <w:rPr>
          <w:b/>
          <w:sz w:val="28"/>
          <w:lang w:val="fr-FR"/>
        </w:rPr>
        <w:t xml:space="preserve"> </w:t>
      </w:r>
      <w:r w:rsidRPr="00A34F4A">
        <w:rPr>
          <w:b/>
          <w:sz w:val="28"/>
          <w:lang w:val="fr-FR"/>
        </w:rPr>
        <w:t>session</w:t>
      </w:r>
    </w:p>
    <w:p w:rsidR="00E16D6E" w:rsidRPr="00A34F4A" w:rsidRDefault="00E16D6E" w:rsidP="00E16D6E">
      <w:pPr>
        <w:keepNext/>
        <w:keepLines/>
        <w:tabs>
          <w:tab w:val="right" w:pos="851"/>
        </w:tabs>
        <w:spacing w:before="120" w:after="120" w:line="240" w:lineRule="exact"/>
        <w:ind w:left="1134" w:right="1134" w:hanging="1134"/>
      </w:pPr>
      <w:r w:rsidRPr="00A34F4A">
        <w:rPr>
          <w:lang w:val="fr-FR"/>
        </w:rPr>
        <w:tab/>
      </w:r>
      <w:r w:rsidRPr="00A34F4A">
        <w:rPr>
          <w:lang w:val="fr-FR"/>
        </w:rPr>
        <w:tab/>
      </w:r>
      <w:proofErr w:type="gramStart"/>
      <w:r w:rsidRPr="00A34F4A">
        <w:rPr>
          <w:lang w:val="fr-FR"/>
        </w:rPr>
        <w:t>tenue</w:t>
      </w:r>
      <w:proofErr w:type="gramEnd"/>
      <w:r w:rsidRPr="00A34F4A">
        <w:rPr>
          <w:lang w:val="fr-FR"/>
        </w:rPr>
        <w:t xml:space="preserve"> à Genève du </w:t>
      </w:r>
      <w:r w:rsidR="00356CB6">
        <w:rPr>
          <w:lang w:val="fr-FR"/>
        </w:rPr>
        <w:t>15</w:t>
      </w:r>
      <w:r w:rsidR="00783355">
        <w:rPr>
          <w:lang w:val="fr-FR"/>
        </w:rPr>
        <w:t xml:space="preserve"> au 1</w:t>
      </w:r>
      <w:r w:rsidR="00356CB6">
        <w:rPr>
          <w:lang w:val="fr-FR"/>
        </w:rPr>
        <w:t>7</w:t>
      </w:r>
      <w:r>
        <w:rPr>
          <w:lang w:val="fr-FR"/>
        </w:rPr>
        <w:t xml:space="preserve"> mai 201</w:t>
      </w:r>
      <w:r w:rsidR="00356CB6">
        <w:rPr>
          <w:lang w:val="fr-FR"/>
        </w:rPr>
        <w:t>8</w:t>
      </w:r>
    </w:p>
    <w:p w:rsidR="00E16D6E" w:rsidRDefault="00E16D6E" w:rsidP="00E16D6E">
      <w:pPr>
        <w:spacing w:after="120"/>
        <w:rPr>
          <w:sz w:val="28"/>
          <w:lang w:val="fr-FR"/>
        </w:rPr>
      </w:pPr>
      <w:r w:rsidRPr="008F27A7">
        <w:rPr>
          <w:sz w:val="28"/>
          <w:lang w:val="fr-FR"/>
        </w:rPr>
        <w:t>Table des matières</w:t>
      </w:r>
    </w:p>
    <w:p w:rsidR="00C64452" w:rsidRDefault="00C64452" w:rsidP="00F025AD">
      <w:pPr>
        <w:tabs>
          <w:tab w:val="right" w:pos="8929"/>
          <w:tab w:val="right" w:pos="9638"/>
        </w:tabs>
        <w:spacing w:after="120"/>
        <w:ind w:left="284"/>
        <w:rPr>
          <w:lang w:val="fr-FR"/>
        </w:rPr>
      </w:pPr>
      <w:r>
        <w:rPr>
          <w:i/>
          <w:sz w:val="18"/>
          <w:lang w:val="fr-FR"/>
        </w:rPr>
        <w:tab/>
        <w:t>Paragraphes</w:t>
      </w:r>
      <w:r>
        <w:rPr>
          <w:i/>
          <w:sz w:val="18"/>
          <w:lang w:val="fr-FR"/>
        </w:rPr>
        <w:tab/>
        <w:t>Page</w:t>
      </w:r>
    </w:p>
    <w:p w:rsidR="00C64452" w:rsidRPr="00144F2B" w:rsidRDefault="00C64452" w:rsidP="00C64452">
      <w:pPr>
        <w:tabs>
          <w:tab w:val="right" w:pos="850"/>
          <w:tab w:val="left" w:pos="1190"/>
          <w:tab w:val="left" w:pos="1559"/>
          <w:tab w:val="left" w:pos="1984"/>
          <w:tab w:val="left" w:leader="dot" w:pos="7654"/>
          <w:tab w:val="right" w:pos="8929"/>
          <w:tab w:val="right" w:pos="9638"/>
        </w:tabs>
        <w:spacing w:after="120"/>
      </w:pPr>
      <w:r>
        <w:tab/>
        <w:t>I.</w:t>
      </w:r>
      <w:r>
        <w:tab/>
        <w:t>Participation</w:t>
      </w:r>
      <w:r>
        <w:tab/>
      </w:r>
      <w:r>
        <w:tab/>
      </w:r>
      <w:r w:rsidRPr="001B507C">
        <w:t>1-5</w:t>
      </w:r>
      <w:r w:rsidRPr="001B507C">
        <w:tab/>
      </w:r>
      <w:r w:rsidR="00845F25">
        <w:t>4</w:t>
      </w:r>
    </w:p>
    <w:p w:rsidR="00C64452" w:rsidRPr="00144F2B" w:rsidRDefault="00C64452" w:rsidP="00C64452">
      <w:pPr>
        <w:tabs>
          <w:tab w:val="right" w:pos="850"/>
          <w:tab w:val="left" w:pos="1204"/>
          <w:tab w:val="left" w:pos="1559"/>
          <w:tab w:val="left" w:pos="1984"/>
          <w:tab w:val="left" w:leader="dot" w:pos="7654"/>
          <w:tab w:val="right" w:pos="8929"/>
          <w:tab w:val="right" w:pos="9638"/>
        </w:tabs>
        <w:spacing w:after="120"/>
      </w:pPr>
      <w:r w:rsidRPr="00144F2B">
        <w:tab/>
        <w:t>II.</w:t>
      </w:r>
      <w:r w:rsidRPr="00144F2B">
        <w:tab/>
      </w:r>
      <w:r w:rsidRPr="00C71525">
        <w:t>Adoption de l</w:t>
      </w:r>
      <w:r>
        <w:t>’</w:t>
      </w:r>
      <w:r w:rsidRPr="00C71525">
        <w:t>ordre du jour (point 1 de l</w:t>
      </w:r>
      <w:r>
        <w:t>’</w:t>
      </w:r>
      <w:r w:rsidRPr="00C71525">
        <w:t>o</w:t>
      </w:r>
      <w:r>
        <w:t>rdre du jour)</w:t>
      </w:r>
      <w:r>
        <w:tab/>
      </w:r>
      <w:r>
        <w:tab/>
      </w:r>
      <w:r w:rsidRPr="001B507C">
        <w:t>6</w:t>
      </w:r>
      <w:r w:rsidRPr="001B507C">
        <w:tab/>
      </w:r>
      <w:r w:rsidR="00845F25">
        <w:t>4</w:t>
      </w:r>
    </w:p>
    <w:p w:rsidR="00C64452" w:rsidRDefault="00C64452" w:rsidP="00C64452">
      <w:pPr>
        <w:tabs>
          <w:tab w:val="right" w:pos="850"/>
          <w:tab w:val="left" w:pos="1984"/>
          <w:tab w:val="left" w:leader="dot" w:pos="7654"/>
          <w:tab w:val="right" w:pos="8929"/>
          <w:tab w:val="right" w:pos="9638"/>
        </w:tabs>
        <w:spacing w:after="120"/>
        <w:ind w:left="1200" w:hanging="600"/>
      </w:pPr>
      <w:r>
        <w:t>III.</w:t>
      </w:r>
      <w:r>
        <w:tab/>
      </w:r>
      <w:r>
        <w:tab/>
      </w:r>
      <w:r w:rsidR="00DF527A">
        <w:t>Quatre-vingtième</w:t>
      </w:r>
      <w:r w:rsidRPr="005B2C1D">
        <w:t xml:space="preserve"> session du Comité des transports intérieurs</w:t>
      </w:r>
      <w:r>
        <w:br/>
      </w:r>
      <w:r w:rsidRPr="005B2C1D">
        <w:t>(point 2 de l</w:t>
      </w:r>
      <w:r>
        <w:t>’</w:t>
      </w:r>
      <w:r w:rsidRPr="005B2C1D">
        <w:t>ordre du jour)</w:t>
      </w:r>
      <w:r>
        <w:rPr>
          <w:lang w:val="fr-FR"/>
        </w:rPr>
        <w:tab/>
      </w:r>
      <w:r>
        <w:rPr>
          <w:lang w:val="fr-FR"/>
        </w:rPr>
        <w:tab/>
        <w:t>7</w:t>
      </w:r>
      <w:r w:rsidRPr="001B507C">
        <w:rPr>
          <w:lang w:val="fr-FR"/>
        </w:rPr>
        <w:tab/>
      </w:r>
      <w:r w:rsidR="00845F25">
        <w:rPr>
          <w:lang w:val="fr-FR"/>
        </w:rPr>
        <w:t>4</w:t>
      </w:r>
    </w:p>
    <w:p w:rsidR="00C64452" w:rsidRDefault="00C64452" w:rsidP="00C64452">
      <w:pPr>
        <w:tabs>
          <w:tab w:val="right" w:pos="850"/>
          <w:tab w:val="left" w:pos="1984"/>
          <w:tab w:val="left" w:leader="dot" w:pos="7654"/>
          <w:tab w:val="right" w:pos="8929"/>
          <w:tab w:val="right" w:pos="9638"/>
        </w:tabs>
        <w:spacing w:after="120"/>
        <w:ind w:left="1200" w:hanging="600"/>
      </w:pPr>
      <w:r w:rsidRPr="00144F2B">
        <w:t>I</w:t>
      </w:r>
      <w:r>
        <w:t>V</w:t>
      </w:r>
      <w:r w:rsidRPr="00144F2B">
        <w:t>.</w:t>
      </w:r>
      <w:r w:rsidRPr="00144F2B">
        <w:tab/>
      </w:r>
      <w:r w:rsidRPr="005B2C1D">
        <w:t>État de l</w:t>
      </w:r>
      <w:r>
        <w:t>’</w:t>
      </w:r>
      <w:r w:rsidRPr="005B2C1D">
        <w:t xml:space="preserve">Accord européen relatif au transport international </w:t>
      </w:r>
      <w:r>
        <w:br/>
      </w:r>
      <w:r w:rsidRPr="005B2C1D">
        <w:t xml:space="preserve">des marchandises dangereuses par route (ADR) et </w:t>
      </w:r>
      <w:r>
        <w:br/>
      </w:r>
      <w:r w:rsidRPr="005B2C1D">
        <w:t>questions connexes (point 3 de l</w:t>
      </w:r>
      <w:r>
        <w:t>’</w:t>
      </w:r>
      <w:r w:rsidRPr="005B2C1D">
        <w:t>ordre du jour)</w:t>
      </w:r>
      <w:r>
        <w:tab/>
      </w:r>
      <w:r>
        <w:tab/>
      </w:r>
      <w:r w:rsidR="00917269">
        <w:t>8-</w:t>
      </w:r>
      <w:r w:rsidR="005620AE">
        <w:t>11</w:t>
      </w:r>
      <w:r w:rsidRPr="001B507C">
        <w:tab/>
      </w:r>
      <w:r w:rsidR="00845F25">
        <w:t>5</w:t>
      </w:r>
    </w:p>
    <w:p w:rsidR="00C64452" w:rsidRDefault="00C64452" w:rsidP="00C64452">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AF7A57">
        <w:rPr>
          <w:lang w:val="fr-FR"/>
        </w:rPr>
        <w:tab/>
      </w:r>
      <w:r w:rsidRPr="00AF7A57">
        <w:rPr>
          <w:lang w:val="fr-FR"/>
        </w:rPr>
        <w:tab/>
      </w:r>
      <w:r>
        <w:rPr>
          <w:lang w:val="fr-FR"/>
        </w:rPr>
        <w:t>A</w:t>
      </w:r>
      <w:r w:rsidRPr="00AF7A57">
        <w:rPr>
          <w:lang w:val="fr-FR"/>
        </w:rPr>
        <w:t>.</w:t>
      </w:r>
      <w:r w:rsidRPr="00AF7A57">
        <w:rPr>
          <w:lang w:val="fr-FR"/>
        </w:rPr>
        <w:tab/>
      </w:r>
      <w:r w:rsidRPr="00D05A1D">
        <w:t>État de l’Accord</w:t>
      </w:r>
      <w:r w:rsidRPr="00AF7A57">
        <w:rPr>
          <w:lang w:val="fr-FR"/>
        </w:rPr>
        <w:tab/>
      </w:r>
      <w:r w:rsidRPr="00AF7A57">
        <w:rPr>
          <w:lang w:val="fr-FR"/>
        </w:rPr>
        <w:tab/>
      </w:r>
      <w:r w:rsidR="005620AE">
        <w:rPr>
          <w:lang w:val="fr-FR"/>
        </w:rPr>
        <w:t>8-9</w:t>
      </w:r>
      <w:r w:rsidRPr="001B507C">
        <w:rPr>
          <w:lang w:val="fr-FR"/>
        </w:rPr>
        <w:tab/>
      </w:r>
      <w:r w:rsidR="00845F25">
        <w:rPr>
          <w:lang w:val="fr-FR"/>
        </w:rPr>
        <w:t>5</w:t>
      </w:r>
    </w:p>
    <w:p w:rsidR="00C64452" w:rsidRDefault="00C64452" w:rsidP="00C64452">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AF7A57">
        <w:rPr>
          <w:lang w:val="fr-FR"/>
        </w:rPr>
        <w:tab/>
      </w:r>
      <w:r w:rsidRPr="00AF7A57">
        <w:rPr>
          <w:lang w:val="fr-FR"/>
        </w:rPr>
        <w:tab/>
      </w:r>
      <w:r>
        <w:rPr>
          <w:lang w:val="fr-FR"/>
        </w:rPr>
        <w:t>B</w:t>
      </w:r>
      <w:r w:rsidRPr="00AF7A57">
        <w:rPr>
          <w:lang w:val="fr-FR"/>
        </w:rPr>
        <w:t>.</w:t>
      </w:r>
      <w:r w:rsidRPr="00AF7A57">
        <w:rPr>
          <w:lang w:val="fr-FR"/>
        </w:rPr>
        <w:tab/>
      </w:r>
      <w:r w:rsidR="00917269" w:rsidRPr="00466F75">
        <w:rPr>
          <w:lang w:val="fr-FR"/>
        </w:rPr>
        <w:t>Protocole d’amendement de 1993</w:t>
      </w:r>
      <w:r w:rsidRPr="00AF7A57">
        <w:rPr>
          <w:lang w:val="fr-FR"/>
        </w:rPr>
        <w:tab/>
      </w:r>
      <w:r w:rsidRPr="00AF7A57">
        <w:rPr>
          <w:lang w:val="fr-FR"/>
        </w:rPr>
        <w:tab/>
      </w:r>
      <w:r w:rsidRPr="001B507C">
        <w:rPr>
          <w:lang w:val="fr-FR"/>
        </w:rPr>
        <w:t>1</w:t>
      </w:r>
      <w:r w:rsidR="005620AE">
        <w:rPr>
          <w:lang w:val="fr-FR"/>
        </w:rPr>
        <w:t>0-11</w:t>
      </w:r>
      <w:r w:rsidRPr="001B507C">
        <w:rPr>
          <w:lang w:val="fr-FR"/>
        </w:rPr>
        <w:tab/>
      </w:r>
      <w:r w:rsidR="00845F25">
        <w:rPr>
          <w:lang w:val="fr-FR"/>
        </w:rPr>
        <w:t>5</w:t>
      </w:r>
    </w:p>
    <w:p w:rsidR="00C64452" w:rsidRDefault="00C64452" w:rsidP="00C64452">
      <w:pPr>
        <w:tabs>
          <w:tab w:val="right" w:pos="850"/>
          <w:tab w:val="left" w:pos="1984"/>
          <w:tab w:val="left" w:leader="dot" w:pos="7654"/>
          <w:tab w:val="right" w:pos="8929"/>
          <w:tab w:val="right" w:pos="9638"/>
        </w:tabs>
        <w:spacing w:after="120"/>
        <w:ind w:left="1200" w:hanging="600"/>
      </w:pPr>
      <w:r>
        <w:t>V.</w:t>
      </w:r>
      <w:r>
        <w:tab/>
      </w:r>
      <w:r>
        <w:tab/>
      </w:r>
      <w:r w:rsidRPr="005B2C1D">
        <w:t>Travaux de la Réunion commune RID/A</w:t>
      </w:r>
      <w:r>
        <w:t>DR/ADN</w:t>
      </w:r>
      <w:r>
        <w:br/>
      </w:r>
      <w:r w:rsidRPr="005B2C1D">
        <w:t xml:space="preserve">(point </w:t>
      </w:r>
      <w:r>
        <w:t>4</w:t>
      </w:r>
      <w:r w:rsidRPr="005B2C1D">
        <w:t xml:space="preserve"> de l</w:t>
      </w:r>
      <w:r>
        <w:t>’</w:t>
      </w:r>
      <w:r w:rsidR="00C76112">
        <w:t>ordre du jour)</w:t>
      </w:r>
      <w:r>
        <w:tab/>
      </w:r>
      <w:r>
        <w:tab/>
        <w:t>1</w:t>
      </w:r>
      <w:r w:rsidR="0021199C">
        <w:t>2</w:t>
      </w:r>
      <w:r w:rsidR="00F06EBE">
        <w:t>-20</w:t>
      </w:r>
      <w:r w:rsidRPr="001B507C">
        <w:tab/>
      </w:r>
      <w:r w:rsidR="00845F25">
        <w:t>5</w:t>
      </w:r>
    </w:p>
    <w:p w:rsidR="00C64452" w:rsidRDefault="00C64452" w:rsidP="00C64452">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AF7A57">
        <w:rPr>
          <w:lang w:val="fr-FR"/>
        </w:rPr>
        <w:tab/>
      </w:r>
      <w:r w:rsidRPr="00AF7A57">
        <w:rPr>
          <w:lang w:val="fr-FR"/>
        </w:rPr>
        <w:tab/>
      </w:r>
      <w:r>
        <w:rPr>
          <w:lang w:val="fr-FR"/>
        </w:rPr>
        <w:t>A</w:t>
      </w:r>
      <w:r w:rsidRPr="00AF7A57">
        <w:rPr>
          <w:lang w:val="fr-FR"/>
        </w:rPr>
        <w:t>.</w:t>
      </w:r>
      <w:r w:rsidRPr="00AF7A57">
        <w:rPr>
          <w:lang w:val="fr-FR"/>
        </w:rPr>
        <w:tab/>
      </w:r>
      <w:r w:rsidR="00917269">
        <w:t>Questions en suspens</w:t>
      </w:r>
      <w:r w:rsidRPr="00AF7A57">
        <w:rPr>
          <w:lang w:val="fr-FR"/>
        </w:rPr>
        <w:tab/>
      </w:r>
      <w:r w:rsidRPr="00AF7A57">
        <w:rPr>
          <w:lang w:val="fr-FR"/>
        </w:rPr>
        <w:tab/>
      </w:r>
      <w:r>
        <w:rPr>
          <w:lang w:val="fr-FR"/>
        </w:rPr>
        <w:t>1</w:t>
      </w:r>
      <w:r w:rsidR="0021199C">
        <w:rPr>
          <w:lang w:val="fr-FR"/>
        </w:rPr>
        <w:t>2</w:t>
      </w:r>
      <w:r w:rsidRPr="001B507C">
        <w:rPr>
          <w:lang w:val="fr-FR"/>
        </w:rPr>
        <w:tab/>
      </w:r>
      <w:r w:rsidR="00845F25">
        <w:rPr>
          <w:lang w:val="fr-FR"/>
        </w:rPr>
        <w:t>5</w:t>
      </w:r>
    </w:p>
    <w:p w:rsidR="00917269" w:rsidRDefault="00C64452" w:rsidP="0076227D">
      <w:pPr>
        <w:tabs>
          <w:tab w:val="right" w:pos="850"/>
          <w:tab w:val="left" w:pos="1134"/>
          <w:tab w:val="left" w:pos="1560"/>
          <w:tab w:val="left" w:pos="1984"/>
          <w:tab w:val="left" w:leader="dot" w:pos="7654"/>
          <w:tab w:val="right" w:pos="8929"/>
          <w:tab w:val="right" w:pos="9638"/>
        </w:tabs>
        <w:spacing w:after="120"/>
        <w:ind w:left="1559" w:hanging="1559"/>
        <w:rPr>
          <w:lang w:val="fr-FR"/>
        </w:rPr>
      </w:pPr>
      <w:r w:rsidRPr="00AF7A57">
        <w:rPr>
          <w:lang w:val="fr-FR"/>
        </w:rPr>
        <w:tab/>
      </w:r>
      <w:r w:rsidRPr="00AF7A57">
        <w:rPr>
          <w:lang w:val="fr-FR"/>
        </w:rPr>
        <w:tab/>
      </w:r>
      <w:r>
        <w:rPr>
          <w:lang w:val="fr-FR"/>
        </w:rPr>
        <w:t>B</w:t>
      </w:r>
      <w:r w:rsidRPr="00AF7A57">
        <w:rPr>
          <w:lang w:val="fr-FR"/>
        </w:rPr>
        <w:t>.</w:t>
      </w:r>
      <w:r w:rsidRPr="00AF7A57">
        <w:rPr>
          <w:lang w:val="fr-FR"/>
        </w:rPr>
        <w:tab/>
      </w:r>
      <w:r w:rsidR="0076227D">
        <w:t>Amendements proposés par la Réunion commune à sa session</w:t>
      </w:r>
      <w:r w:rsidR="0076227D">
        <w:br/>
        <w:t xml:space="preserve">de printemps 2018 pour </w:t>
      </w:r>
      <w:proofErr w:type="spellStart"/>
      <w:r w:rsidR="0076227D">
        <w:t>entrée</w:t>
      </w:r>
      <w:proofErr w:type="spellEnd"/>
      <w:r w:rsidR="0076227D">
        <w:t xml:space="preserve"> en vigueur le 1er</w:t>
      </w:r>
      <w:r w:rsidR="0076227D">
        <w:rPr>
          <w:vertAlign w:val="superscript"/>
        </w:rPr>
        <w:t xml:space="preserve"> </w:t>
      </w:r>
      <w:r w:rsidR="0076227D">
        <w:t>janvier 2019</w:t>
      </w:r>
      <w:r w:rsidR="0076227D">
        <w:rPr>
          <w:lang w:val="fr-FR"/>
        </w:rPr>
        <w:t xml:space="preserve"> </w:t>
      </w:r>
      <w:r w:rsidR="005620AE">
        <w:rPr>
          <w:lang w:val="fr-FR"/>
        </w:rPr>
        <w:t>………………….</w:t>
      </w:r>
      <w:r w:rsidR="005620AE">
        <w:rPr>
          <w:lang w:val="fr-FR"/>
        </w:rPr>
        <w:tab/>
        <w:t>1</w:t>
      </w:r>
      <w:r w:rsidR="0021199C">
        <w:rPr>
          <w:lang w:val="fr-FR"/>
        </w:rPr>
        <w:t>3-14</w:t>
      </w:r>
      <w:r w:rsidR="005620AE">
        <w:rPr>
          <w:lang w:val="fr-FR"/>
        </w:rPr>
        <w:tab/>
      </w:r>
      <w:r w:rsidR="00845F25">
        <w:rPr>
          <w:lang w:val="fr-FR"/>
        </w:rPr>
        <w:t>5</w:t>
      </w:r>
    </w:p>
    <w:p w:rsidR="004B17D3" w:rsidRDefault="004B17D3" w:rsidP="0076227D">
      <w:pPr>
        <w:tabs>
          <w:tab w:val="right" w:pos="850"/>
          <w:tab w:val="left" w:pos="1134"/>
          <w:tab w:val="left" w:pos="1559"/>
          <w:tab w:val="left" w:pos="1984"/>
          <w:tab w:val="left" w:leader="dot" w:pos="7654"/>
          <w:tab w:val="right" w:pos="8929"/>
          <w:tab w:val="right" w:pos="9638"/>
        </w:tabs>
        <w:spacing w:after="120"/>
        <w:ind w:left="1559" w:hanging="1559"/>
        <w:rPr>
          <w:lang w:val="fr-FR"/>
        </w:rPr>
      </w:pPr>
      <w:r>
        <w:rPr>
          <w:lang w:val="fr-FR"/>
        </w:rPr>
        <w:tab/>
      </w:r>
      <w:r>
        <w:rPr>
          <w:lang w:val="fr-FR"/>
        </w:rPr>
        <w:tab/>
        <w:t>C.</w:t>
      </w:r>
      <w:r>
        <w:rPr>
          <w:lang w:val="fr-FR"/>
        </w:rPr>
        <w:tab/>
      </w:r>
      <w:r w:rsidR="0076227D">
        <w:t>Corrections au document ECE/TRANS/WP.15/240</w:t>
      </w:r>
      <w:r w:rsidR="0076227D">
        <w:rPr>
          <w:lang w:val="fr-FR"/>
        </w:rPr>
        <w:t xml:space="preserve"> </w:t>
      </w:r>
      <w:r>
        <w:rPr>
          <w:lang w:val="fr-FR"/>
        </w:rPr>
        <w:t>…………………………</w:t>
      </w:r>
      <w:r>
        <w:rPr>
          <w:lang w:val="fr-FR"/>
        </w:rPr>
        <w:tab/>
        <w:t>15-18</w:t>
      </w:r>
      <w:r>
        <w:rPr>
          <w:lang w:val="fr-FR"/>
        </w:rPr>
        <w:tab/>
      </w:r>
      <w:r w:rsidR="00845F25">
        <w:rPr>
          <w:lang w:val="fr-FR"/>
        </w:rPr>
        <w:t>6</w:t>
      </w:r>
    </w:p>
    <w:p w:rsidR="004B17D3" w:rsidRDefault="004B17D3" w:rsidP="0076227D">
      <w:pPr>
        <w:tabs>
          <w:tab w:val="right" w:pos="850"/>
          <w:tab w:val="left" w:pos="1134"/>
          <w:tab w:val="left" w:pos="1559"/>
          <w:tab w:val="left" w:pos="1984"/>
          <w:tab w:val="left" w:leader="dot" w:pos="7654"/>
          <w:tab w:val="right" w:pos="8929"/>
          <w:tab w:val="right" w:pos="9638"/>
        </w:tabs>
        <w:spacing w:after="120"/>
        <w:ind w:left="1559" w:hanging="1559"/>
        <w:rPr>
          <w:lang w:val="fr-FR"/>
        </w:rPr>
      </w:pPr>
      <w:r>
        <w:rPr>
          <w:lang w:val="fr-FR"/>
        </w:rPr>
        <w:tab/>
      </w:r>
      <w:r>
        <w:rPr>
          <w:lang w:val="fr-FR"/>
        </w:rPr>
        <w:tab/>
        <w:t>D.</w:t>
      </w:r>
      <w:r>
        <w:rPr>
          <w:lang w:val="fr-FR"/>
        </w:rPr>
        <w:tab/>
      </w:r>
      <w:r w:rsidR="0076227D">
        <w:t xml:space="preserve">Références à la norme EN </w:t>
      </w:r>
      <w:proofErr w:type="gramStart"/>
      <w:r w:rsidR="0076227D">
        <w:t>590:</w:t>
      </w:r>
      <w:proofErr w:type="gramEnd"/>
      <w:r w:rsidR="0076227D">
        <w:t>2013 + A1:2014</w:t>
      </w:r>
      <w:r w:rsidR="0076227D">
        <w:rPr>
          <w:lang w:val="fr-FR"/>
        </w:rPr>
        <w:t xml:space="preserve"> </w:t>
      </w:r>
      <w:r>
        <w:rPr>
          <w:lang w:val="fr-FR"/>
        </w:rPr>
        <w:t>………………………….</w:t>
      </w:r>
      <w:r>
        <w:rPr>
          <w:lang w:val="fr-FR"/>
        </w:rPr>
        <w:tab/>
      </w:r>
      <w:r>
        <w:rPr>
          <w:lang w:val="fr-FR"/>
        </w:rPr>
        <w:tab/>
        <w:t>19</w:t>
      </w:r>
      <w:r>
        <w:rPr>
          <w:lang w:val="fr-FR"/>
        </w:rPr>
        <w:tab/>
      </w:r>
      <w:r w:rsidR="00845F25">
        <w:rPr>
          <w:lang w:val="fr-FR"/>
        </w:rPr>
        <w:t>6</w:t>
      </w:r>
    </w:p>
    <w:p w:rsidR="004B17D3" w:rsidRPr="005620AE" w:rsidRDefault="004B17D3" w:rsidP="0076227D">
      <w:pPr>
        <w:tabs>
          <w:tab w:val="right" w:pos="850"/>
          <w:tab w:val="left" w:pos="1134"/>
          <w:tab w:val="left" w:pos="1560"/>
          <w:tab w:val="left" w:pos="1984"/>
          <w:tab w:val="left" w:leader="dot" w:pos="7654"/>
          <w:tab w:val="right" w:pos="8929"/>
          <w:tab w:val="right" w:pos="9638"/>
        </w:tabs>
        <w:spacing w:after="120"/>
        <w:ind w:left="1559" w:hanging="1559"/>
        <w:rPr>
          <w:lang w:val="fr-FR"/>
        </w:rPr>
      </w:pPr>
      <w:r>
        <w:rPr>
          <w:lang w:val="fr-FR"/>
        </w:rPr>
        <w:tab/>
      </w:r>
      <w:r>
        <w:rPr>
          <w:lang w:val="fr-FR"/>
        </w:rPr>
        <w:tab/>
        <w:t>E.</w:t>
      </w:r>
      <w:r>
        <w:rPr>
          <w:lang w:val="fr-FR"/>
        </w:rPr>
        <w:tab/>
      </w:r>
      <w:r w:rsidR="0076227D">
        <w:rPr>
          <w:lang w:val="fr-FR"/>
        </w:rPr>
        <w:t xml:space="preserve">Ligne directrice pour l’application de la norme EN </w:t>
      </w:r>
      <w:proofErr w:type="gramStart"/>
      <w:r w:rsidR="0076227D">
        <w:rPr>
          <w:lang w:val="fr-FR"/>
        </w:rPr>
        <w:t>13094:</w:t>
      </w:r>
      <w:proofErr w:type="gramEnd"/>
      <w:r w:rsidR="0076227D">
        <w:rPr>
          <w:lang w:val="fr-FR"/>
        </w:rPr>
        <w:t xml:space="preserve">2015 </w:t>
      </w:r>
      <w:r w:rsidR="0076227D">
        <w:rPr>
          <w:lang w:val="fr-FR"/>
        </w:rPr>
        <w:br/>
        <w:t xml:space="preserve">afin de respecter les prescriptions de l’ADR </w:t>
      </w:r>
      <w:r>
        <w:rPr>
          <w:lang w:val="fr-FR"/>
        </w:rPr>
        <w:t>…………………………………</w:t>
      </w:r>
      <w:r>
        <w:rPr>
          <w:lang w:val="fr-FR"/>
        </w:rPr>
        <w:tab/>
      </w:r>
      <w:r w:rsidR="003D68F0">
        <w:rPr>
          <w:lang w:val="fr-FR"/>
        </w:rPr>
        <w:t>20</w:t>
      </w:r>
      <w:r w:rsidR="003D68F0">
        <w:rPr>
          <w:lang w:val="fr-FR"/>
        </w:rPr>
        <w:tab/>
      </w:r>
      <w:r w:rsidR="00845F25">
        <w:rPr>
          <w:lang w:val="fr-FR"/>
        </w:rPr>
        <w:t>6</w:t>
      </w:r>
    </w:p>
    <w:p w:rsidR="00C64452" w:rsidRDefault="00C64452" w:rsidP="005620AE">
      <w:pPr>
        <w:tabs>
          <w:tab w:val="right" w:pos="850"/>
          <w:tab w:val="left" w:pos="1984"/>
          <w:tab w:val="left" w:leader="dot" w:pos="7654"/>
          <w:tab w:val="right" w:pos="8929"/>
          <w:tab w:val="right" w:pos="9638"/>
        </w:tabs>
        <w:spacing w:before="240" w:after="120" w:line="0" w:lineRule="atLeast"/>
        <w:ind w:left="1200" w:hanging="600"/>
      </w:pPr>
      <w:r w:rsidRPr="00DF3E0D">
        <w:t>VI.</w:t>
      </w:r>
      <w:r w:rsidRPr="00DF3E0D">
        <w:tab/>
      </w:r>
      <w:r w:rsidRPr="00787CF7">
        <w:rPr>
          <w:lang w:val="fr-FR"/>
        </w:rPr>
        <w:t>Propositions d'amendement aux annexes A et B de l'ADR</w:t>
      </w:r>
      <w:r>
        <w:br/>
      </w:r>
      <w:r w:rsidRPr="005B2C1D">
        <w:t xml:space="preserve">(point </w:t>
      </w:r>
      <w:r>
        <w:t>5</w:t>
      </w:r>
      <w:r w:rsidRPr="005B2C1D">
        <w:t xml:space="preserve"> de l</w:t>
      </w:r>
      <w:r>
        <w:t>’</w:t>
      </w:r>
      <w:r w:rsidRPr="005B2C1D">
        <w:t>ordre du jour)</w:t>
      </w:r>
      <w:r>
        <w:tab/>
      </w:r>
      <w:r>
        <w:tab/>
        <w:t>2</w:t>
      </w:r>
      <w:r w:rsidR="00F06EBE">
        <w:t>1</w:t>
      </w:r>
      <w:r>
        <w:t>-</w:t>
      </w:r>
      <w:r w:rsidR="003306BF">
        <w:t>38</w:t>
      </w:r>
      <w:r w:rsidRPr="001B507C">
        <w:tab/>
      </w:r>
      <w:r w:rsidR="00FC537E">
        <w:t>7</w:t>
      </w:r>
    </w:p>
    <w:p w:rsidR="00C64452" w:rsidRDefault="00C64452" w:rsidP="00C64452">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AF7A57">
        <w:rPr>
          <w:lang w:val="fr-FR"/>
        </w:rPr>
        <w:tab/>
      </w:r>
      <w:r w:rsidRPr="00AF7A57">
        <w:rPr>
          <w:lang w:val="fr-FR"/>
        </w:rPr>
        <w:tab/>
      </w:r>
      <w:r>
        <w:rPr>
          <w:lang w:val="fr-FR"/>
        </w:rPr>
        <w:t>A</w:t>
      </w:r>
      <w:r w:rsidRPr="00AF7A57">
        <w:rPr>
          <w:lang w:val="fr-FR"/>
        </w:rPr>
        <w:t>.</w:t>
      </w:r>
      <w:r w:rsidRPr="00AF7A57">
        <w:rPr>
          <w:lang w:val="fr-FR"/>
        </w:rPr>
        <w:tab/>
      </w:r>
      <w:r w:rsidRPr="00214393">
        <w:rPr>
          <w:lang w:val="fr-FR"/>
        </w:rPr>
        <w:t>Construction et agrément des véhicules</w:t>
      </w:r>
      <w:r>
        <w:rPr>
          <w:lang w:val="fr-FR"/>
        </w:rPr>
        <w:tab/>
      </w:r>
      <w:r>
        <w:rPr>
          <w:lang w:val="fr-FR"/>
        </w:rPr>
        <w:tab/>
        <w:t>2</w:t>
      </w:r>
      <w:r w:rsidR="00F06EBE">
        <w:rPr>
          <w:lang w:val="fr-FR"/>
        </w:rPr>
        <w:t>1</w:t>
      </w:r>
      <w:r>
        <w:rPr>
          <w:lang w:val="fr-FR"/>
        </w:rPr>
        <w:t>-</w:t>
      </w:r>
      <w:r w:rsidR="00F06EBE">
        <w:rPr>
          <w:lang w:val="fr-FR"/>
        </w:rPr>
        <w:t>2</w:t>
      </w:r>
      <w:r w:rsidR="003306BF">
        <w:rPr>
          <w:lang w:val="fr-FR"/>
        </w:rPr>
        <w:t>9</w:t>
      </w:r>
      <w:r>
        <w:rPr>
          <w:lang w:val="fr-FR"/>
        </w:rPr>
        <w:tab/>
      </w:r>
      <w:r w:rsidR="00FC537E">
        <w:rPr>
          <w:lang w:val="fr-FR"/>
        </w:rPr>
        <w:t>7</w:t>
      </w:r>
    </w:p>
    <w:p w:rsidR="00C64452" w:rsidRPr="0076227D" w:rsidRDefault="00C64452" w:rsidP="00C64452">
      <w:pPr>
        <w:tabs>
          <w:tab w:val="right" w:pos="850"/>
          <w:tab w:val="left" w:pos="1134"/>
          <w:tab w:val="left" w:pos="1559"/>
          <w:tab w:val="left" w:pos="1984"/>
          <w:tab w:val="left" w:leader="dot" w:pos="7654"/>
          <w:tab w:val="right" w:pos="8929"/>
          <w:tab w:val="right" w:pos="9638"/>
        </w:tabs>
        <w:spacing w:after="120"/>
        <w:ind w:left="1980" w:hanging="1980"/>
      </w:pPr>
      <w:r>
        <w:rPr>
          <w:lang w:val="fr-FR"/>
        </w:rPr>
        <w:tab/>
      </w:r>
      <w:r>
        <w:rPr>
          <w:lang w:val="fr-FR"/>
        </w:rPr>
        <w:tab/>
      </w:r>
      <w:r>
        <w:rPr>
          <w:lang w:val="fr-FR"/>
        </w:rPr>
        <w:tab/>
      </w:r>
      <w:r w:rsidRPr="0076227D">
        <w:t>1.</w:t>
      </w:r>
      <w:r w:rsidRPr="0076227D">
        <w:tab/>
      </w:r>
      <w:r w:rsidR="00F06EBE" w:rsidRPr="0076227D">
        <w:t>Groupe de travail informel pour la clarification du 9.3.4.2</w:t>
      </w:r>
      <w:r w:rsidRPr="0076227D">
        <w:tab/>
      </w:r>
      <w:r w:rsidRPr="0076227D">
        <w:tab/>
        <w:t>2</w:t>
      </w:r>
      <w:r w:rsidR="00F06EBE" w:rsidRPr="0076227D">
        <w:t>1</w:t>
      </w:r>
      <w:r w:rsidRPr="0076227D">
        <w:t>-2</w:t>
      </w:r>
      <w:r w:rsidR="00F06EBE" w:rsidRPr="0076227D">
        <w:t>5</w:t>
      </w:r>
      <w:r w:rsidRPr="0076227D">
        <w:tab/>
      </w:r>
      <w:r w:rsidR="00FC537E">
        <w:t>7</w:t>
      </w:r>
    </w:p>
    <w:p w:rsidR="00C64452" w:rsidRPr="0076227D" w:rsidRDefault="00C64452" w:rsidP="00C64452">
      <w:pPr>
        <w:tabs>
          <w:tab w:val="right" w:pos="850"/>
          <w:tab w:val="left" w:pos="1134"/>
          <w:tab w:val="left" w:pos="1559"/>
          <w:tab w:val="left" w:pos="1984"/>
          <w:tab w:val="left" w:leader="dot" w:pos="7654"/>
          <w:tab w:val="right" w:pos="8929"/>
          <w:tab w:val="right" w:pos="9638"/>
        </w:tabs>
        <w:spacing w:after="120"/>
        <w:ind w:left="1980" w:hanging="1980"/>
      </w:pPr>
      <w:r w:rsidRPr="0076227D">
        <w:lastRenderedPageBreak/>
        <w:tab/>
      </w:r>
      <w:r w:rsidRPr="0076227D">
        <w:tab/>
      </w:r>
      <w:r w:rsidRPr="0076227D">
        <w:tab/>
        <w:t>2.</w:t>
      </w:r>
      <w:r w:rsidRPr="0076227D">
        <w:tab/>
      </w:r>
      <w:r w:rsidR="000843FF" w:rsidRPr="0076227D">
        <w:t>Fonction de limitation de vitesse (FLV)</w:t>
      </w:r>
      <w:r w:rsidRPr="0076227D">
        <w:tab/>
      </w:r>
      <w:r w:rsidRPr="0076227D">
        <w:tab/>
        <w:t>2</w:t>
      </w:r>
      <w:r w:rsidR="000843FF" w:rsidRPr="0076227D">
        <w:t>6</w:t>
      </w:r>
      <w:r w:rsidRPr="0076227D">
        <w:t>-2</w:t>
      </w:r>
      <w:r w:rsidR="000843FF" w:rsidRPr="0076227D">
        <w:t>8</w:t>
      </w:r>
      <w:r w:rsidRPr="0076227D">
        <w:tab/>
      </w:r>
      <w:r w:rsidR="00845F25">
        <w:t>7</w:t>
      </w:r>
    </w:p>
    <w:p w:rsidR="00C64452" w:rsidRDefault="00C64452" w:rsidP="000843FF">
      <w:pPr>
        <w:tabs>
          <w:tab w:val="right" w:pos="850"/>
          <w:tab w:val="left" w:pos="1134"/>
          <w:tab w:val="left" w:pos="1559"/>
          <w:tab w:val="left" w:pos="1984"/>
          <w:tab w:val="left" w:leader="dot" w:pos="7654"/>
          <w:tab w:val="right" w:pos="8929"/>
          <w:tab w:val="right" w:pos="9638"/>
        </w:tabs>
        <w:spacing w:after="120"/>
        <w:ind w:left="1980" w:hanging="1980"/>
      </w:pPr>
      <w:r w:rsidRPr="0076227D">
        <w:tab/>
      </w:r>
      <w:r w:rsidRPr="0076227D">
        <w:tab/>
      </w:r>
      <w:r w:rsidRPr="0076227D">
        <w:tab/>
      </w:r>
      <w:r w:rsidR="000843FF" w:rsidRPr="0076227D">
        <w:t>3</w:t>
      </w:r>
      <w:r w:rsidRPr="0076227D">
        <w:t>.</w:t>
      </w:r>
      <w:r w:rsidRPr="0076227D">
        <w:tab/>
      </w:r>
      <w:r w:rsidR="0076227D" w:rsidRPr="0076227D">
        <w:t xml:space="preserve">Dispense de première visite technique pour les véhicules EX/II, EX/III, FL </w:t>
      </w:r>
      <w:r w:rsidR="0076227D" w:rsidRPr="0076227D">
        <w:br/>
        <w:t xml:space="preserve">et AT et les MEMU homologués conformément au paragraphe 9.1.2.2 </w:t>
      </w:r>
      <w:r w:rsidR="0076227D" w:rsidRPr="0076227D">
        <w:br/>
        <w:t xml:space="preserve">et pour lesquels une déclaration de conformité aux prescriptions </w:t>
      </w:r>
      <w:r w:rsidR="0076227D" w:rsidRPr="0076227D">
        <w:br/>
        <w:t xml:space="preserve">du </w:t>
      </w:r>
      <w:proofErr w:type="spellStart"/>
      <w:r w:rsidR="0076227D" w:rsidRPr="0076227D">
        <w:t>ch</w:t>
      </w:r>
      <w:r w:rsidR="0076227D">
        <w:rPr>
          <w:lang w:val="fr-FR"/>
        </w:rPr>
        <w:t>apitre</w:t>
      </w:r>
      <w:proofErr w:type="spellEnd"/>
      <w:r w:rsidR="0076227D">
        <w:rPr>
          <w:lang w:val="fr-FR"/>
        </w:rPr>
        <w:t xml:space="preserve"> 9.2 a été délivrée</w:t>
      </w:r>
      <w:r>
        <w:tab/>
      </w:r>
      <w:r>
        <w:tab/>
        <w:t>2</w:t>
      </w:r>
      <w:r w:rsidR="000843FF">
        <w:t>9</w:t>
      </w:r>
      <w:r>
        <w:tab/>
      </w:r>
      <w:r w:rsidR="00845F25">
        <w:t>7</w:t>
      </w:r>
    </w:p>
    <w:p w:rsidR="00C64452" w:rsidRDefault="00C64452" w:rsidP="00C64452">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AF7A57">
        <w:rPr>
          <w:lang w:val="fr-FR"/>
        </w:rPr>
        <w:tab/>
      </w:r>
      <w:r w:rsidRPr="00AF7A57">
        <w:rPr>
          <w:lang w:val="fr-FR"/>
        </w:rPr>
        <w:tab/>
      </w:r>
      <w:r>
        <w:rPr>
          <w:lang w:val="fr-FR"/>
        </w:rPr>
        <w:t>B</w:t>
      </w:r>
      <w:r w:rsidRPr="00AF7A57">
        <w:rPr>
          <w:lang w:val="fr-FR"/>
        </w:rPr>
        <w:t>.</w:t>
      </w:r>
      <w:r w:rsidRPr="00AF7A57">
        <w:rPr>
          <w:lang w:val="fr-FR"/>
        </w:rPr>
        <w:tab/>
      </w:r>
      <w:r>
        <w:rPr>
          <w:lang w:val="fr-FR"/>
        </w:rPr>
        <w:t>Propositions diverses</w:t>
      </w:r>
      <w:r>
        <w:rPr>
          <w:lang w:val="fr-FR"/>
        </w:rPr>
        <w:tab/>
      </w:r>
      <w:r>
        <w:rPr>
          <w:lang w:val="fr-FR"/>
        </w:rPr>
        <w:tab/>
        <w:t>3</w:t>
      </w:r>
      <w:r w:rsidR="000843FF">
        <w:rPr>
          <w:lang w:val="fr-FR"/>
        </w:rPr>
        <w:t>0</w:t>
      </w:r>
      <w:r>
        <w:rPr>
          <w:lang w:val="fr-FR"/>
        </w:rPr>
        <w:t>-</w:t>
      </w:r>
      <w:r w:rsidR="0058170A">
        <w:rPr>
          <w:lang w:val="fr-FR"/>
        </w:rPr>
        <w:t>38</w:t>
      </w:r>
      <w:r>
        <w:rPr>
          <w:lang w:val="fr-FR"/>
        </w:rPr>
        <w:tab/>
      </w:r>
      <w:r w:rsidR="00CB44D7">
        <w:rPr>
          <w:lang w:val="fr-FR"/>
        </w:rPr>
        <w:t>8</w:t>
      </w:r>
    </w:p>
    <w:p w:rsidR="00C64452" w:rsidRDefault="00C64452" w:rsidP="0076227D">
      <w:pPr>
        <w:tabs>
          <w:tab w:val="right" w:pos="850"/>
          <w:tab w:val="left" w:pos="1134"/>
          <w:tab w:val="left" w:pos="1559"/>
          <w:tab w:val="left" w:pos="1984"/>
          <w:tab w:val="left" w:leader="dot" w:pos="7654"/>
          <w:tab w:val="right" w:pos="8929"/>
          <w:tab w:val="right" w:pos="9638"/>
        </w:tabs>
        <w:spacing w:after="120"/>
        <w:ind w:left="1980" w:hanging="1980"/>
      </w:pPr>
      <w:r>
        <w:tab/>
      </w:r>
      <w:r>
        <w:tab/>
      </w:r>
      <w:r>
        <w:tab/>
        <w:t>1.</w:t>
      </w:r>
      <w:r>
        <w:tab/>
      </w:r>
      <w:r w:rsidR="00284094" w:rsidRPr="0076227D">
        <w:t xml:space="preserve">Alignement de la terminologie utilisée pour les paragraphes 2.2.61.1.4 </w:t>
      </w:r>
      <w:r w:rsidR="00284094" w:rsidRPr="0076227D">
        <w:br/>
        <w:t>et 2.2.8.1.3 dans la version française</w:t>
      </w:r>
      <w:r>
        <w:tab/>
      </w:r>
      <w:r>
        <w:tab/>
        <w:t>3</w:t>
      </w:r>
      <w:r w:rsidR="00FC6DEB">
        <w:t>0</w:t>
      </w:r>
      <w:r>
        <w:tab/>
      </w:r>
      <w:r w:rsidR="00CB44D7">
        <w:t>8</w:t>
      </w:r>
    </w:p>
    <w:p w:rsidR="00C64452" w:rsidRDefault="00C64452" w:rsidP="00C64452">
      <w:pPr>
        <w:tabs>
          <w:tab w:val="right" w:pos="850"/>
          <w:tab w:val="left" w:pos="1134"/>
          <w:tab w:val="left" w:pos="1559"/>
          <w:tab w:val="left" w:pos="1984"/>
          <w:tab w:val="left" w:leader="dot" w:pos="7654"/>
          <w:tab w:val="right" w:pos="8929"/>
          <w:tab w:val="right" w:pos="9638"/>
        </w:tabs>
        <w:spacing w:after="120"/>
        <w:ind w:left="1980" w:hanging="1980"/>
      </w:pPr>
      <w:r>
        <w:tab/>
      </w:r>
      <w:r>
        <w:tab/>
      </w:r>
      <w:r>
        <w:tab/>
        <w:t>2.</w:t>
      </w:r>
      <w:r>
        <w:tab/>
      </w:r>
      <w:r w:rsidR="00AA49FD">
        <w:t xml:space="preserve">Paragraphe </w:t>
      </w:r>
      <w:r w:rsidR="007830B1">
        <w:t>5.3.2.1.6</w:t>
      </w:r>
      <w:r>
        <w:tab/>
      </w:r>
      <w:r>
        <w:tab/>
        <w:t>3</w:t>
      </w:r>
      <w:r w:rsidR="007830B1">
        <w:t>1</w:t>
      </w:r>
      <w:r>
        <w:tab/>
      </w:r>
      <w:r w:rsidR="00845F25">
        <w:t>8</w:t>
      </w:r>
    </w:p>
    <w:p w:rsidR="00C64452" w:rsidRDefault="00C64452" w:rsidP="0076227D">
      <w:pPr>
        <w:tabs>
          <w:tab w:val="right" w:pos="850"/>
          <w:tab w:val="left" w:pos="1134"/>
          <w:tab w:val="left" w:pos="1559"/>
          <w:tab w:val="left" w:pos="1984"/>
          <w:tab w:val="left" w:leader="dot" w:pos="7654"/>
          <w:tab w:val="right" w:pos="8929"/>
          <w:tab w:val="right" w:pos="9638"/>
        </w:tabs>
        <w:spacing w:after="120"/>
        <w:ind w:left="1980" w:hanging="1980"/>
      </w:pPr>
      <w:r w:rsidRPr="0076227D">
        <w:tab/>
      </w:r>
      <w:r w:rsidRPr="0076227D">
        <w:tab/>
      </w:r>
      <w:r w:rsidRPr="0076227D">
        <w:tab/>
      </w:r>
      <w:r>
        <w:t>3.</w:t>
      </w:r>
      <w:r>
        <w:tab/>
      </w:r>
      <w:r w:rsidR="00284094" w:rsidRPr="0076227D">
        <w:t xml:space="preserve">Prescriptions relatives aux précautions contre </w:t>
      </w:r>
      <w:r w:rsidR="00284094" w:rsidRPr="0076227D">
        <w:br/>
        <w:t>les charges électrostatiques</w:t>
      </w:r>
      <w:r>
        <w:tab/>
      </w:r>
      <w:r>
        <w:tab/>
        <w:t>3</w:t>
      </w:r>
      <w:r w:rsidR="00D76B18">
        <w:t>2</w:t>
      </w:r>
      <w:r>
        <w:tab/>
      </w:r>
      <w:r w:rsidR="00845F25">
        <w:t>8</w:t>
      </w:r>
    </w:p>
    <w:p w:rsidR="00C64452" w:rsidRDefault="00C64452" w:rsidP="0076227D">
      <w:pPr>
        <w:tabs>
          <w:tab w:val="right" w:pos="850"/>
          <w:tab w:val="left" w:pos="1134"/>
          <w:tab w:val="left" w:pos="1559"/>
          <w:tab w:val="left" w:pos="1984"/>
          <w:tab w:val="left" w:leader="dot" w:pos="7654"/>
          <w:tab w:val="right" w:pos="8929"/>
          <w:tab w:val="right" w:pos="9638"/>
        </w:tabs>
        <w:spacing w:after="120"/>
        <w:ind w:left="1980" w:hanging="1980"/>
      </w:pPr>
      <w:r>
        <w:tab/>
      </w:r>
      <w:r>
        <w:tab/>
      </w:r>
      <w:r>
        <w:tab/>
        <w:t>4.</w:t>
      </w:r>
      <w:r>
        <w:tab/>
      </w:r>
      <w:r w:rsidR="00284094" w:rsidRPr="0076227D">
        <w:t xml:space="preserve">Proposition visant à inclure une date de début de validité </w:t>
      </w:r>
      <w:r w:rsidR="00284094" w:rsidRPr="0076227D">
        <w:br/>
        <w:t>dans le certificat de formation de conducteur (8.2.2.8.5)</w:t>
      </w:r>
      <w:r>
        <w:tab/>
      </w:r>
      <w:r>
        <w:tab/>
      </w:r>
      <w:r w:rsidR="00D76B18">
        <w:t>33</w:t>
      </w:r>
      <w:r>
        <w:tab/>
      </w:r>
      <w:r w:rsidR="00845F25">
        <w:t>8</w:t>
      </w:r>
    </w:p>
    <w:p w:rsidR="00C64452" w:rsidRDefault="00C64452" w:rsidP="0076227D">
      <w:pPr>
        <w:tabs>
          <w:tab w:val="right" w:pos="850"/>
          <w:tab w:val="left" w:pos="1134"/>
          <w:tab w:val="left" w:pos="1559"/>
          <w:tab w:val="left" w:pos="1984"/>
          <w:tab w:val="left" w:leader="dot" w:pos="7654"/>
          <w:tab w:val="right" w:pos="8929"/>
          <w:tab w:val="right" w:pos="9638"/>
        </w:tabs>
        <w:spacing w:after="120"/>
        <w:ind w:left="1980" w:hanging="1980"/>
      </w:pPr>
      <w:r>
        <w:tab/>
      </w:r>
      <w:r>
        <w:tab/>
      </w:r>
      <w:r>
        <w:tab/>
        <w:t>5.</w:t>
      </w:r>
      <w:r>
        <w:tab/>
      </w:r>
      <w:r w:rsidR="00284094" w:rsidRPr="0076227D">
        <w:t xml:space="preserve">Projet d’amendements relatifs aux engrais au nitrate d’ammonium </w:t>
      </w:r>
      <w:r w:rsidR="00284094" w:rsidRPr="0076227D">
        <w:br/>
        <w:t xml:space="preserve">pour </w:t>
      </w:r>
      <w:proofErr w:type="spellStart"/>
      <w:r w:rsidR="00284094" w:rsidRPr="0076227D">
        <w:t>entrée</w:t>
      </w:r>
      <w:proofErr w:type="spellEnd"/>
      <w:r w:rsidR="00284094" w:rsidRPr="0076227D">
        <w:t xml:space="preserve"> en vigueur le 1er janvier 2019</w:t>
      </w:r>
      <w:r>
        <w:tab/>
      </w:r>
      <w:r w:rsidR="00D76B18">
        <w:tab/>
      </w:r>
      <w:r>
        <w:t>3</w:t>
      </w:r>
      <w:r w:rsidR="00D76B18">
        <w:t>4-35</w:t>
      </w:r>
      <w:r>
        <w:tab/>
      </w:r>
      <w:r w:rsidR="00CB44D7">
        <w:t>9</w:t>
      </w:r>
    </w:p>
    <w:p w:rsidR="00C64452" w:rsidRPr="0076227D" w:rsidRDefault="00C64452" w:rsidP="0076227D">
      <w:pPr>
        <w:tabs>
          <w:tab w:val="right" w:pos="850"/>
          <w:tab w:val="left" w:pos="1134"/>
          <w:tab w:val="left" w:pos="1559"/>
          <w:tab w:val="left" w:pos="1984"/>
          <w:tab w:val="left" w:leader="dot" w:pos="7654"/>
          <w:tab w:val="right" w:pos="8929"/>
          <w:tab w:val="right" w:pos="9638"/>
        </w:tabs>
        <w:spacing w:after="120"/>
        <w:ind w:left="1980" w:hanging="1980"/>
      </w:pPr>
      <w:r w:rsidRPr="0076227D">
        <w:tab/>
      </w:r>
      <w:r w:rsidRPr="0076227D">
        <w:tab/>
      </w:r>
      <w:r w:rsidRPr="0076227D">
        <w:tab/>
        <w:t>6.</w:t>
      </w:r>
      <w:r w:rsidRPr="0076227D">
        <w:tab/>
      </w:r>
      <w:r w:rsidR="00284094" w:rsidRPr="0076227D">
        <w:t xml:space="preserve">Projet d’amendements relatifs au tableau des modèles d’étiquettes </w:t>
      </w:r>
      <w:r w:rsidR="00284094" w:rsidRPr="0076227D">
        <w:br/>
        <w:t xml:space="preserve">pour </w:t>
      </w:r>
      <w:proofErr w:type="spellStart"/>
      <w:r w:rsidR="00284094" w:rsidRPr="0076227D">
        <w:t>entrée</w:t>
      </w:r>
      <w:proofErr w:type="spellEnd"/>
      <w:r w:rsidR="00284094" w:rsidRPr="0076227D">
        <w:t xml:space="preserve"> en vigueur le 1er janvier 2019</w:t>
      </w:r>
      <w:r w:rsidRPr="0076227D">
        <w:tab/>
      </w:r>
      <w:r w:rsidRPr="0076227D">
        <w:tab/>
      </w:r>
      <w:r w:rsidR="009C2D51" w:rsidRPr="0076227D">
        <w:t>36-37</w:t>
      </w:r>
      <w:r w:rsidRPr="0076227D">
        <w:tab/>
      </w:r>
      <w:r w:rsidR="00845F25">
        <w:t>9</w:t>
      </w:r>
    </w:p>
    <w:p w:rsidR="00C64452" w:rsidRDefault="00C64452" w:rsidP="009C2D51">
      <w:pPr>
        <w:tabs>
          <w:tab w:val="right" w:pos="850"/>
          <w:tab w:val="left" w:pos="1134"/>
          <w:tab w:val="left" w:pos="1559"/>
          <w:tab w:val="left" w:pos="1984"/>
          <w:tab w:val="left" w:leader="dot" w:pos="7654"/>
          <w:tab w:val="right" w:pos="8929"/>
          <w:tab w:val="right" w:pos="9638"/>
        </w:tabs>
        <w:spacing w:after="120"/>
        <w:ind w:left="1980" w:hanging="1980"/>
        <w:rPr>
          <w:lang w:val="fr-FR"/>
        </w:rPr>
      </w:pPr>
      <w:r w:rsidRPr="0076227D">
        <w:tab/>
      </w:r>
      <w:r w:rsidRPr="0076227D">
        <w:tab/>
      </w:r>
      <w:r w:rsidRPr="0076227D">
        <w:tab/>
        <w:t>7.</w:t>
      </w:r>
      <w:r w:rsidRPr="0076227D">
        <w:tab/>
      </w:r>
      <w:r w:rsidR="00284094" w:rsidRPr="0076227D">
        <w:t>Correct</w:t>
      </w:r>
      <w:r w:rsidR="00284094">
        <w:rPr>
          <w:lang w:val="fr-FR"/>
        </w:rPr>
        <w:t>ion à la note de bas de page b pour les consignes écrites</w:t>
      </w:r>
      <w:r>
        <w:rPr>
          <w:lang w:val="fr-FR"/>
        </w:rPr>
        <w:tab/>
      </w:r>
      <w:r>
        <w:rPr>
          <w:lang w:val="fr-FR"/>
        </w:rPr>
        <w:tab/>
      </w:r>
      <w:r w:rsidR="009C2D51">
        <w:rPr>
          <w:lang w:val="fr-FR"/>
        </w:rPr>
        <w:t>38</w:t>
      </w:r>
      <w:r>
        <w:rPr>
          <w:lang w:val="fr-FR"/>
        </w:rPr>
        <w:tab/>
      </w:r>
      <w:r w:rsidR="00845F25">
        <w:rPr>
          <w:lang w:val="fr-FR"/>
        </w:rPr>
        <w:t>9</w:t>
      </w:r>
    </w:p>
    <w:p w:rsidR="00C64452" w:rsidRDefault="00C64452" w:rsidP="00C64452">
      <w:pPr>
        <w:tabs>
          <w:tab w:val="right" w:pos="850"/>
          <w:tab w:val="left" w:pos="1134"/>
          <w:tab w:val="left" w:pos="1984"/>
          <w:tab w:val="left" w:leader="dot" w:pos="7654"/>
          <w:tab w:val="right" w:pos="8929"/>
          <w:tab w:val="right" w:pos="9638"/>
        </w:tabs>
        <w:spacing w:after="120"/>
        <w:ind w:left="1134" w:hanging="1134"/>
      </w:pPr>
      <w:r>
        <w:rPr>
          <w:lang w:val="fr-FR"/>
        </w:rPr>
        <w:tab/>
      </w:r>
      <w:r>
        <w:t>VII.</w:t>
      </w:r>
      <w:r>
        <w:tab/>
      </w:r>
      <w:r w:rsidRPr="00787CF7">
        <w:rPr>
          <w:lang w:val="fr-FR"/>
        </w:rPr>
        <w:t>Interprétation de l’ADR</w:t>
      </w:r>
      <w:r>
        <w:rPr>
          <w:lang w:val="fr-FR"/>
        </w:rPr>
        <w:t xml:space="preserve"> </w:t>
      </w:r>
      <w:r w:rsidRPr="005B2C1D">
        <w:t xml:space="preserve">(point </w:t>
      </w:r>
      <w:r>
        <w:t>6</w:t>
      </w:r>
      <w:r w:rsidRPr="005B2C1D">
        <w:t xml:space="preserve"> de l</w:t>
      </w:r>
      <w:r>
        <w:t>’</w:t>
      </w:r>
      <w:r w:rsidRPr="005B2C1D">
        <w:t>ordre du jour)</w:t>
      </w:r>
      <w:r w:rsidR="00741FFF">
        <w:tab/>
      </w:r>
      <w:r w:rsidR="00741FFF">
        <w:tab/>
        <w:t>39-</w:t>
      </w:r>
      <w:r w:rsidR="00BB422E">
        <w:t>41</w:t>
      </w:r>
      <w:r>
        <w:tab/>
      </w:r>
      <w:r w:rsidR="00845F25">
        <w:t>9</w:t>
      </w:r>
    </w:p>
    <w:p w:rsidR="00C64452" w:rsidRPr="00741FFF" w:rsidRDefault="00284094" w:rsidP="00284094">
      <w:pPr>
        <w:tabs>
          <w:tab w:val="right" w:pos="850"/>
          <w:tab w:val="left" w:pos="1134"/>
          <w:tab w:val="left" w:pos="1559"/>
          <w:tab w:val="left" w:pos="1984"/>
          <w:tab w:val="left" w:leader="dot" w:pos="7654"/>
          <w:tab w:val="right" w:pos="8929"/>
          <w:tab w:val="right" w:pos="9638"/>
        </w:tabs>
        <w:spacing w:after="120"/>
        <w:ind w:left="1559" w:hanging="1559"/>
        <w:rPr>
          <w:lang w:val="fr-FR"/>
        </w:rPr>
      </w:pPr>
      <w:r>
        <w:tab/>
      </w:r>
      <w:r>
        <w:tab/>
        <w:t>A.</w:t>
      </w:r>
      <w:r>
        <w:tab/>
        <w:t>Objets non-emballés autres que les objets de la classe 1</w:t>
      </w:r>
      <w:r w:rsidR="00393E5A">
        <w:t> :</w:t>
      </w:r>
      <w:r>
        <w:t xml:space="preserve"> </w:t>
      </w:r>
      <w:r>
        <w:br/>
        <w:t>Approbation par les autorités compétentes</w:t>
      </w:r>
      <w:r w:rsidR="00C64452" w:rsidRPr="00741FFF">
        <w:rPr>
          <w:lang w:val="fr-FR"/>
        </w:rPr>
        <w:tab/>
      </w:r>
      <w:r w:rsidR="00C64452" w:rsidRPr="00741FFF">
        <w:rPr>
          <w:lang w:val="fr-FR"/>
        </w:rPr>
        <w:tab/>
      </w:r>
      <w:r w:rsidR="00741FFF">
        <w:rPr>
          <w:lang w:val="fr-FR"/>
        </w:rPr>
        <w:t>39</w:t>
      </w:r>
      <w:r w:rsidR="00C64452" w:rsidRPr="00741FFF">
        <w:rPr>
          <w:lang w:val="fr-FR"/>
        </w:rPr>
        <w:tab/>
      </w:r>
      <w:r w:rsidR="00845F25">
        <w:rPr>
          <w:lang w:val="fr-FR"/>
        </w:rPr>
        <w:t>9</w:t>
      </w:r>
    </w:p>
    <w:p w:rsidR="00C64452" w:rsidRDefault="00C64452" w:rsidP="00C64452">
      <w:pPr>
        <w:tabs>
          <w:tab w:val="right" w:pos="850"/>
          <w:tab w:val="left" w:pos="1134"/>
          <w:tab w:val="left" w:pos="1559"/>
          <w:tab w:val="left" w:pos="1984"/>
          <w:tab w:val="left" w:leader="dot" w:pos="7654"/>
          <w:tab w:val="right" w:pos="8929"/>
          <w:tab w:val="right" w:pos="9638"/>
        </w:tabs>
        <w:spacing w:after="120"/>
        <w:ind w:left="1559" w:hanging="1559"/>
        <w:rPr>
          <w:lang w:val="fr-FR"/>
        </w:rPr>
      </w:pPr>
      <w:r>
        <w:rPr>
          <w:lang w:val="fr-FR"/>
        </w:rPr>
        <w:tab/>
      </w:r>
      <w:r>
        <w:rPr>
          <w:lang w:val="fr-FR"/>
        </w:rPr>
        <w:tab/>
        <w:t>B</w:t>
      </w:r>
      <w:r w:rsidRPr="004B4555">
        <w:rPr>
          <w:lang w:val="fr-FR"/>
        </w:rPr>
        <w:t>.</w:t>
      </w:r>
      <w:r w:rsidRPr="004B4555">
        <w:rPr>
          <w:lang w:val="fr-FR"/>
        </w:rPr>
        <w:tab/>
      </w:r>
      <w:r w:rsidR="00284094">
        <w:rPr>
          <w:lang w:val="fr-FR"/>
        </w:rPr>
        <w:t>Interprétation de la terminologie au 5.4.1.1.1 f)</w:t>
      </w:r>
      <w:r>
        <w:rPr>
          <w:lang w:val="fr-FR"/>
        </w:rPr>
        <w:tab/>
      </w:r>
      <w:r>
        <w:rPr>
          <w:lang w:val="fr-FR"/>
        </w:rPr>
        <w:tab/>
      </w:r>
      <w:r w:rsidR="00741FFF">
        <w:rPr>
          <w:lang w:val="fr-FR"/>
        </w:rPr>
        <w:t>40-41</w:t>
      </w:r>
      <w:r>
        <w:rPr>
          <w:lang w:val="fr-FR"/>
        </w:rPr>
        <w:tab/>
      </w:r>
      <w:r w:rsidR="00CB44D7">
        <w:rPr>
          <w:lang w:val="fr-FR"/>
        </w:rPr>
        <w:t>10</w:t>
      </w:r>
    </w:p>
    <w:p w:rsidR="00C64452" w:rsidRDefault="00C64452" w:rsidP="00BB422E">
      <w:pPr>
        <w:tabs>
          <w:tab w:val="right" w:pos="850"/>
          <w:tab w:val="left" w:pos="1134"/>
          <w:tab w:val="left" w:pos="1984"/>
          <w:tab w:val="left" w:leader="dot" w:pos="7654"/>
          <w:tab w:val="right" w:pos="8929"/>
          <w:tab w:val="right" w:pos="9638"/>
        </w:tabs>
        <w:spacing w:after="120"/>
        <w:ind w:left="1134" w:hanging="1134"/>
        <w:rPr>
          <w:lang w:val="fr-FR"/>
        </w:rPr>
      </w:pPr>
      <w:r>
        <w:rPr>
          <w:lang w:val="fr-FR"/>
        </w:rPr>
        <w:tab/>
      </w:r>
      <w:r w:rsidRPr="008E380C">
        <w:t>VII</w:t>
      </w:r>
      <w:r>
        <w:t>I</w:t>
      </w:r>
      <w:r w:rsidRPr="008E380C">
        <w:t>.</w:t>
      </w:r>
      <w:r w:rsidRPr="008E380C">
        <w:tab/>
      </w:r>
      <w:r w:rsidRPr="00F078D1">
        <w:rPr>
          <w:lang w:val="fr-FR"/>
        </w:rPr>
        <w:t>Programme de travail (point 7 de l’ordre du jour)</w:t>
      </w:r>
      <w:r>
        <w:rPr>
          <w:lang w:val="fr-FR"/>
        </w:rPr>
        <w:tab/>
      </w:r>
      <w:r>
        <w:rPr>
          <w:lang w:val="fr-FR"/>
        </w:rPr>
        <w:tab/>
      </w:r>
      <w:r w:rsidR="00BB422E">
        <w:rPr>
          <w:lang w:val="fr-FR"/>
        </w:rPr>
        <w:t>42-44</w:t>
      </w:r>
      <w:r>
        <w:rPr>
          <w:lang w:val="fr-FR"/>
        </w:rPr>
        <w:tab/>
      </w:r>
      <w:r w:rsidR="00304E93">
        <w:rPr>
          <w:lang w:val="fr-FR"/>
        </w:rPr>
        <w:t>10</w:t>
      </w:r>
    </w:p>
    <w:p w:rsidR="00C64452" w:rsidRDefault="00C64452" w:rsidP="00C64452">
      <w:pPr>
        <w:tabs>
          <w:tab w:val="right" w:pos="850"/>
          <w:tab w:val="left" w:pos="1134"/>
          <w:tab w:val="left" w:pos="1559"/>
          <w:tab w:val="left" w:pos="1984"/>
          <w:tab w:val="left" w:leader="dot" w:pos="7654"/>
          <w:tab w:val="right" w:pos="8929"/>
          <w:tab w:val="right" w:pos="9638"/>
        </w:tabs>
        <w:spacing w:after="120"/>
        <w:ind w:left="1559" w:hanging="1559"/>
        <w:rPr>
          <w:lang w:val="fr-FR"/>
        </w:rPr>
      </w:pPr>
      <w:r>
        <w:rPr>
          <w:lang w:val="fr-FR"/>
        </w:rPr>
        <w:tab/>
      </w:r>
      <w:r>
        <w:rPr>
          <w:lang w:val="fr-FR"/>
        </w:rPr>
        <w:tab/>
      </w:r>
      <w:r w:rsidR="00BB422E">
        <w:rPr>
          <w:lang w:val="fr-FR"/>
        </w:rPr>
        <w:t>A</w:t>
      </w:r>
      <w:r w:rsidRPr="00F078D1">
        <w:rPr>
          <w:lang w:val="fr-FR"/>
        </w:rPr>
        <w:t>.</w:t>
      </w:r>
      <w:r w:rsidRPr="00F078D1">
        <w:rPr>
          <w:lang w:val="fr-FR"/>
        </w:rPr>
        <w:tab/>
      </w:r>
      <w:r w:rsidR="00983D84">
        <w:rPr>
          <w:lang w:val="fr-FR"/>
        </w:rPr>
        <w:t>Ordre du jour de la 105</w:t>
      </w:r>
      <w:r w:rsidR="00983D84">
        <w:rPr>
          <w:vertAlign w:val="superscript"/>
          <w:lang w:val="fr-FR"/>
        </w:rPr>
        <w:t>e</w:t>
      </w:r>
      <w:r w:rsidR="00983D84">
        <w:rPr>
          <w:lang w:val="fr-FR"/>
        </w:rPr>
        <w:t xml:space="preserve"> session</w:t>
      </w:r>
      <w:r>
        <w:rPr>
          <w:lang w:val="fr-FR"/>
        </w:rPr>
        <w:tab/>
      </w:r>
      <w:r>
        <w:rPr>
          <w:lang w:val="fr-FR"/>
        </w:rPr>
        <w:tab/>
      </w:r>
      <w:r w:rsidR="00BB422E">
        <w:rPr>
          <w:lang w:val="fr-FR"/>
        </w:rPr>
        <w:t>42</w:t>
      </w:r>
      <w:r>
        <w:rPr>
          <w:lang w:val="fr-FR"/>
        </w:rPr>
        <w:tab/>
      </w:r>
      <w:r w:rsidR="00304E93">
        <w:rPr>
          <w:lang w:val="fr-FR"/>
        </w:rPr>
        <w:t>10</w:t>
      </w:r>
    </w:p>
    <w:p w:rsidR="00C64452" w:rsidRDefault="00C64452" w:rsidP="00C64452">
      <w:pPr>
        <w:tabs>
          <w:tab w:val="right" w:pos="850"/>
          <w:tab w:val="left" w:pos="1134"/>
          <w:tab w:val="left" w:pos="1559"/>
          <w:tab w:val="left" w:pos="1984"/>
          <w:tab w:val="left" w:leader="dot" w:pos="7654"/>
          <w:tab w:val="right" w:pos="8929"/>
          <w:tab w:val="right" w:pos="9638"/>
        </w:tabs>
        <w:spacing w:after="120"/>
        <w:ind w:left="1559" w:hanging="1559"/>
        <w:rPr>
          <w:lang w:val="fr-FR"/>
        </w:rPr>
      </w:pPr>
      <w:r>
        <w:rPr>
          <w:lang w:val="fr-FR"/>
        </w:rPr>
        <w:tab/>
      </w:r>
      <w:r>
        <w:rPr>
          <w:lang w:val="fr-FR"/>
        </w:rPr>
        <w:tab/>
      </w:r>
      <w:r w:rsidR="00BB422E">
        <w:rPr>
          <w:lang w:val="fr-FR"/>
        </w:rPr>
        <w:t>B</w:t>
      </w:r>
      <w:r w:rsidRPr="00F078D1">
        <w:rPr>
          <w:lang w:val="fr-FR"/>
        </w:rPr>
        <w:t>.</w:t>
      </w:r>
      <w:r w:rsidRPr="00F078D1">
        <w:rPr>
          <w:lang w:val="fr-FR"/>
        </w:rPr>
        <w:tab/>
      </w:r>
      <w:r w:rsidR="00983D84">
        <w:rPr>
          <w:lang w:val="fr-FR"/>
        </w:rPr>
        <w:t>Amendements pour l’édition 2019 de l’ADR</w:t>
      </w:r>
      <w:r>
        <w:rPr>
          <w:lang w:val="fr-FR"/>
        </w:rPr>
        <w:tab/>
      </w:r>
      <w:r>
        <w:rPr>
          <w:lang w:val="fr-FR"/>
        </w:rPr>
        <w:tab/>
      </w:r>
      <w:r w:rsidR="00BB422E">
        <w:rPr>
          <w:lang w:val="fr-FR"/>
        </w:rPr>
        <w:t>43-44</w:t>
      </w:r>
      <w:r>
        <w:rPr>
          <w:lang w:val="fr-FR"/>
        </w:rPr>
        <w:tab/>
      </w:r>
      <w:r w:rsidR="00304E93">
        <w:rPr>
          <w:lang w:val="fr-FR"/>
        </w:rPr>
        <w:t>10</w:t>
      </w:r>
    </w:p>
    <w:p w:rsidR="00C64452" w:rsidRDefault="00C64452" w:rsidP="00C64452">
      <w:pPr>
        <w:tabs>
          <w:tab w:val="right" w:pos="850"/>
          <w:tab w:val="left" w:pos="1134"/>
          <w:tab w:val="left" w:pos="1984"/>
          <w:tab w:val="left" w:leader="dot" w:pos="7654"/>
          <w:tab w:val="right" w:pos="8929"/>
          <w:tab w:val="right" w:pos="9638"/>
        </w:tabs>
        <w:spacing w:after="120"/>
        <w:ind w:left="1134" w:hanging="1134"/>
      </w:pPr>
      <w:r w:rsidRPr="00DF4D2A">
        <w:rPr>
          <w:b/>
          <w:sz w:val="28"/>
        </w:rPr>
        <w:tab/>
      </w:r>
      <w:r w:rsidRPr="00113838">
        <w:t>IX.</w:t>
      </w:r>
      <w:r w:rsidRPr="00113838">
        <w:tab/>
      </w:r>
      <w:r w:rsidRPr="00F078D1">
        <w:rPr>
          <w:lang w:val="fr-FR"/>
        </w:rPr>
        <w:t>Questions diverses (point 8 de l’ordre du jour)</w:t>
      </w:r>
      <w:r w:rsidRPr="00113838">
        <w:t xml:space="preserve"> </w:t>
      </w:r>
      <w:r>
        <w:tab/>
      </w:r>
      <w:r>
        <w:tab/>
      </w:r>
      <w:r w:rsidR="00611471">
        <w:t>45-</w:t>
      </w:r>
      <w:r w:rsidR="002D43AD">
        <w:t>59</w:t>
      </w:r>
      <w:r>
        <w:tab/>
      </w:r>
      <w:r w:rsidR="00304E93">
        <w:t>1</w:t>
      </w:r>
      <w:r w:rsidR="00212675">
        <w:t>1</w:t>
      </w:r>
      <w:bookmarkStart w:id="0" w:name="_GoBack"/>
      <w:bookmarkEnd w:id="0"/>
    </w:p>
    <w:p w:rsidR="00611471" w:rsidRPr="0076227D" w:rsidRDefault="00611471" w:rsidP="0076227D">
      <w:pPr>
        <w:tabs>
          <w:tab w:val="right" w:pos="850"/>
          <w:tab w:val="left" w:pos="1134"/>
          <w:tab w:val="left" w:pos="1559"/>
          <w:tab w:val="left" w:pos="1984"/>
          <w:tab w:val="left" w:leader="dot" w:pos="7654"/>
          <w:tab w:val="right" w:pos="8929"/>
          <w:tab w:val="right" w:pos="9638"/>
        </w:tabs>
        <w:spacing w:after="120"/>
        <w:ind w:left="1559" w:hanging="1559"/>
        <w:rPr>
          <w:lang w:val="fr-FR"/>
        </w:rPr>
      </w:pPr>
      <w:r>
        <w:tab/>
      </w:r>
      <w:r>
        <w:tab/>
      </w:r>
      <w:r w:rsidR="00983D84" w:rsidRPr="0076227D">
        <w:rPr>
          <w:lang w:val="fr-FR"/>
        </w:rPr>
        <w:t>A.</w:t>
      </w:r>
      <w:r w:rsidRPr="0076227D">
        <w:rPr>
          <w:lang w:val="fr-FR"/>
        </w:rPr>
        <w:tab/>
      </w:r>
      <w:r w:rsidR="00B90B26">
        <w:rPr>
          <w:lang w:val="fr-FR"/>
        </w:rPr>
        <w:t>Révision</w:t>
      </w:r>
      <w:r w:rsidR="00983D84">
        <w:rPr>
          <w:lang w:val="fr-FR"/>
        </w:rPr>
        <w:t xml:space="preserve"> du titre actuel de l’ADR</w:t>
      </w:r>
      <w:r w:rsidRPr="0076227D">
        <w:rPr>
          <w:lang w:val="fr-FR"/>
        </w:rPr>
        <w:t xml:space="preserve"> </w:t>
      </w:r>
      <w:r w:rsidRPr="0076227D">
        <w:rPr>
          <w:lang w:val="fr-FR"/>
        </w:rPr>
        <w:tab/>
      </w:r>
      <w:r w:rsidRPr="0076227D">
        <w:rPr>
          <w:lang w:val="fr-FR"/>
        </w:rPr>
        <w:tab/>
        <w:t>45-49</w:t>
      </w:r>
      <w:r w:rsidRPr="0076227D">
        <w:rPr>
          <w:lang w:val="fr-FR"/>
        </w:rPr>
        <w:tab/>
      </w:r>
      <w:r w:rsidR="00304E93">
        <w:rPr>
          <w:lang w:val="fr-FR"/>
        </w:rPr>
        <w:t>1</w:t>
      </w:r>
      <w:r w:rsidR="00CB44D7">
        <w:rPr>
          <w:lang w:val="fr-FR"/>
        </w:rPr>
        <w:t>1</w:t>
      </w:r>
    </w:p>
    <w:p w:rsidR="00611471" w:rsidRPr="0076227D" w:rsidRDefault="00611471" w:rsidP="0076227D">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76227D">
        <w:rPr>
          <w:lang w:val="fr-FR"/>
        </w:rPr>
        <w:tab/>
      </w:r>
      <w:r w:rsidRPr="0076227D">
        <w:rPr>
          <w:lang w:val="fr-FR"/>
        </w:rPr>
        <w:tab/>
      </w:r>
      <w:r w:rsidR="00E157A7">
        <w:rPr>
          <w:lang w:val="fr-FR"/>
        </w:rPr>
        <w:t>B.</w:t>
      </w:r>
      <w:r w:rsidR="00983D84">
        <w:rPr>
          <w:lang w:val="fr-FR"/>
        </w:rPr>
        <w:tab/>
        <w:t xml:space="preserve">Avenir des travaux du Groupe de travail </w:t>
      </w:r>
      <w:r w:rsidRPr="0076227D">
        <w:rPr>
          <w:lang w:val="fr-FR"/>
        </w:rPr>
        <w:t>………</w:t>
      </w:r>
      <w:r w:rsidRPr="0076227D">
        <w:rPr>
          <w:lang w:val="fr-FR"/>
        </w:rPr>
        <w:tab/>
      </w:r>
      <w:r w:rsidR="00983D84" w:rsidRPr="0076227D">
        <w:rPr>
          <w:lang w:val="fr-FR"/>
        </w:rPr>
        <w:tab/>
      </w:r>
      <w:r w:rsidRPr="0076227D">
        <w:rPr>
          <w:lang w:val="fr-FR"/>
        </w:rPr>
        <w:t>50-52</w:t>
      </w:r>
      <w:r w:rsidRPr="0076227D">
        <w:rPr>
          <w:lang w:val="fr-FR"/>
        </w:rPr>
        <w:tab/>
        <w:t>1</w:t>
      </w:r>
      <w:r w:rsidR="00304E93">
        <w:rPr>
          <w:lang w:val="fr-FR"/>
        </w:rPr>
        <w:t>1</w:t>
      </w:r>
    </w:p>
    <w:p w:rsidR="00EB60D5" w:rsidRPr="0076227D" w:rsidRDefault="00EB60D5" w:rsidP="0076227D">
      <w:pPr>
        <w:tabs>
          <w:tab w:val="right" w:pos="850"/>
          <w:tab w:val="left" w:pos="1134"/>
          <w:tab w:val="left" w:pos="1560"/>
          <w:tab w:val="left" w:pos="1984"/>
          <w:tab w:val="left" w:leader="dot" w:pos="7654"/>
          <w:tab w:val="right" w:pos="8929"/>
          <w:tab w:val="right" w:pos="9638"/>
        </w:tabs>
        <w:spacing w:after="120"/>
        <w:ind w:left="1559" w:hanging="1559"/>
        <w:rPr>
          <w:lang w:val="fr-FR"/>
        </w:rPr>
      </w:pPr>
      <w:r w:rsidRPr="0076227D">
        <w:rPr>
          <w:lang w:val="fr-FR"/>
        </w:rPr>
        <w:tab/>
      </w:r>
      <w:r w:rsidRPr="0076227D">
        <w:rPr>
          <w:lang w:val="fr-FR"/>
        </w:rPr>
        <w:tab/>
      </w:r>
      <w:r w:rsidR="00E157A7">
        <w:rPr>
          <w:lang w:val="fr-FR"/>
        </w:rPr>
        <w:t>C.</w:t>
      </w:r>
      <w:r w:rsidR="00983D84">
        <w:rPr>
          <w:lang w:val="fr-FR"/>
        </w:rPr>
        <w:tab/>
        <w:t xml:space="preserve">Report du numéro de certificat au verso du certificat de </w:t>
      </w:r>
      <w:r w:rsidR="00983D84">
        <w:rPr>
          <w:lang w:val="fr-FR"/>
        </w:rPr>
        <w:br/>
        <w:t xml:space="preserve">formation de conducteur selon le 8.2.2.8.5 </w:t>
      </w:r>
      <w:r w:rsidR="00983D84" w:rsidRPr="0076227D">
        <w:rPr>
          <w:lang w:val="fr-FR"/>
        </w:rPr>
        <w:t>………………………………………</w:t>
      </w:r>
      <w:r w:rsidRPr="0076227D">
        <w:rPr>
          <w:lang w:val="fr-FR"/>
        </w:rPr>
        <w:t>.</w:t>
      </w:r>
      <w:r w:rsidRPr="0076227D">
        <w:rPr>
          <w:lang w:val="fr-FR"/>
        </w:rPr>
        <w:tab/>
        <w:t>53</w:t>
      </w:r>
      <w:r w:rsidRPr="0076227D">
        <w:rPr>
          <w:lang w:val="fr-FR"/>
        </w:rPr>
        <w:tab/>
        <w:t>1</w:t>
      </w:r>
      <w:r w:rsidR="00CB44D7">
        <w:rPr>
          <w:lang w:val="fr-FR"/>
        </w:rPr>
        <w:t>2</w:t>
      </w:r>
    </w:p>
    <w:p w:rsidR="00EB60D5" w:rsidRPr="0076227D" w:rsidRDefault="00EB60D5" w:rsidP="0076227D">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76227D">
        <w:rPr>
          <w:lang w:val="fr-FR"/>
        </w:rPr>
        <w:tab/>
      </w:r>
      <w:r w:rsidRPr="0076227D">
        <w:rPr>
          <w:lang w:val="fr-FR"/>
        </w:rPr>
        <w:tab/>
      </w:r>
      <w:r w:rsidR="00E157A7">
        <w:rPr>
          <w:lang w:val="fr-FR"/>
        </w:rPr>
        <w:t>D.</w:t>
      </w:r>
      <w:r w:rsidR="00983D84" w:rsidRPr="0076227D">
        <w:rPr>
          <w:lang w:val="fr-FR"/>
        </w:rPr>
        <w:tab/>
        <w:t xml:space="preserve">Tableau consolidé sur l’applicabilité des prescriptions de la Partie 9 </w:t>
      </w:r>
      <w:r w:rsidR="00983D84" w:rsidRPr="0076227D">
        <w:rPr>
          <w:lang w:val="fr-FR"/>
        </w:rPr>
        <w:br/>
        <w:t xml:space="preserve">de l’ADR pour les véhicules EX/II, EX/III, FL et AT et les </w:t>
      </w:r>
      <w:proofErr w:type="spellStart"/>
      <w:r w:rsidR="00983D84" w:rsidRPr="0076227D">
        <w:rPr>
          <w:lang w:val="fr-FR"/>
        </w:rPr>
        <w:t>MEMUs</w:t>
      </w:r>
      <w:proofErr w:type="spellEnd"/>
      <w:r w:rsidRPr="0076227D">
        <w:rPr>
          <w:lang w:val="fr-FR"/>
        </w:rPr>
        <w:tab/>
      </w:r>
      <w:r w:rsidRPr="0076227D">
        <w:rPr>
          <w:lang w:val="fr-FR"/>
        </w:rPr>
        <w:tab/>
        <w:t>54</w:t>
      </w:r>
      <w:r w:rsidRPr="0076227D">
        <w:rPr>
          <w:lang w:val="fr-FR"/>
        </w:rPr>
        <w:tab/>
        <w:t>1</w:t>
      </w:r>
      <w:r w:rsidR="00CB44D7">
        <w:rPr>
          <w:lang w:val="fr-FR"/>
        </w:rPr>
        <w:t>2</w:t>
      </w:r>
    </w:p>
    <w:p w:rsidR="00B333B7" w:rsidRPr="0076227D" w:rsidRDefault="00B333B7" w:rsidP="0076227D">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76227D">
        <w:rPr>
          <w:lang w:val="fr-FR"/>
        </w:rPr>
        <w:tab/>
      </w:r>
      <w:r w:rsidRPr="0076227D">
        <w:rPr>
          <w:lang w:val="fr-FR"/>
        </w:rPr>
        <w:tab/>
      </w:r>
      <w:r w:rsidR="00E157A7">
        <w:rPr>
          <w:lang w:val="fr-FR"/>
        </w:rPr>
        <w:t>E.</w:t>
      </w:r>
      <w:r w:rsidR="0076227D">
        <w:rPr>
          <w:lang w:val="fr-FR"/>
        </w:rPr>
        <w:tab/>
        <w:t>Surveillance des véhicules</w:t>
      </w:r>
      <w:r w:rsidR="00B90B26">
        <w:rPr>
          <w:lang w:val="fr-FR"/>
        </w:rPr>
        <w:t xml:space="preserve"> (</w:t>
      </w:r>
      <w:r w:rsidR="0076227D">
        <w:rPr>
          <w:lang w:val="fr-FR"/>
        </w:rPr>
        <w:t>chapitre 8.5</w:t>
      </w:r>
      <w:r w:rsidR="00B90B26">
        <w:rPr>
          <w:lang w:val="fr-FR"/>
        </w:rPr>
        <w:t>)</w:t>
      </w:r>
      <w:r w:rsidR="0076227D" w:rsidRPr="0076227D">
        <w:rPr>
          <w:lang w:val="fr-FR"/>
        </w:rPr>
        <w:t xml:space="preserve"> </w:t>
      </w:r>
      <w:r w:rsidRPr="0076227D">
        <w:rPr>
          <w:lang w:val="fr-FR"/>
        </w:rPr>
        <w:tab/>
      </w:r>
      <w:r w:rsidRPr="0076227D">
        <w:rPr>
          <w:lang w:val="fr-FR"/>
        </w:rPr>
        <w:tab/>
        <w:t>55-57</w:t>
      </w:r>
      <w:r w:rsidRPr="0076227D">
        <w:rPr>
          <w:lang w:val="fr-FR"/>
        </w:rPr>
        <w:tab/>
        <w:t>1</w:t>
      </w:r>
      <w:r w:rsidR="00304E93">
        <w:rPr>
          <w:lang w:val="fr-FR"/>
        </w:rPr>
        <w:t>2</w:t>
      </w:r>
    </w:p>
    <w:p w:rsidR="007D2AB9" w:rsidRPr="0076227D" w:rsidRDefault="00B333B7" w:rsidP="0076227D">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76227D">
        <w:rPr>
          <w:lang w:val="fr-FR"/>
        </w:rPr>
        <w:tab/>
      </w:r>
      <w:r w:rsidRPr="0076227D">
        <w:rPr>
          <w:lang w:val="fr-FR"/>
        </w:rPr>
        <w:tab/>
      </w:r>
      <w:r w:rsidR="00E157A7">
        <w:rPr>
          <w:lang w:val="fr-FR"/>
        </w:rPr>
        <w:t>F.</w:t>
      </w:r>
      <w:r w:rsidR="0076227D" w:rsidRPr="0076227D">
        <w:rPr>
          <w:lang w:val="fr-FR"/>
        </w:rPr>
        <w:tab/>
        <w:t xml:space="preserve">Marquage des unités de transport et des conteneurs transportant </w:t>
      </w:r>
      <w:r w:rsidR="0076227D" w:rsidRPr="0076227D">
        <w:rPr>
          <w:lang w:val="fr-FR"/>
        </w:rPr>
        <w:br/>
        <w:t xml:space="preserve">des marchandises dangereuses en quantités limitées </w:t>
      </w:r>
      <w:r w:rsidRPr="0076227D">
        <w:rPr>
          <w:lang w:val="fr-FR"/>
        </w:rPr>
        <w:t>……………………</w:t>
      </w:r>
      <w:r w:rsidRPr="0076227D">
        <w:rPr>
          <w:lang w:val="fr-FR"/>
        </w:rPr>
        <w:tab/>
      </w:r>
      <w:r w:rsidR="0076227D" w:rsidRPr="0076227D">
        <w:rPr>
          <w:lang w:val="fr-FR"/>
        </w:rPr>
        <w:tab/>
      </w:r>
      <w:r w:rsidR="007D2AB9" w:rsidRPr="0076227D">
        <w:rPr>
          <w:lang w:val="fr-FR"/>
        </w:rPr>
        <w:t>58</w:t>
      </w:r>
      <w:r w:rsidR="007D2AB9" w:rsidRPr="0076227D">
        <w:rPr>
          <w:lang w:val="fr-FR"/>
        </w:rPr>
        <w:tab/>
        <w:t>1</w:t>
      </w:r>
      <w:r w:rsidR="00304E93">
        <w:rPr>
          <w:lang w:val="fr-FR"/>
        </w:rPr>
        <w:t>2</w:t>
      </w:r>
    </w:p>
    <w:p w:rsidR="00611471" w:rsidRPr="0076227D" w:rsidRDefault="007D2AB9" w:rsidP="0076227D">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76227D">
        <w:rPr>
          <w:lang w:val="fr-FR"/>
        </w:rPr>
        <w:tab/>
      </w:r>
      <w:r w:rsidRPr="0076227D">
        <w:rPr>
          <w:lang w:val="fr-FR"/>
        </w:rPr>
        <w:tab/>
      </w:r>
      <w:r w:rsidR="00E157A7">
        <w:rPr>
          <w:lang w:val="fr-FR"/>
        </w:rPr>
        <w:t>G.</w:t>
      </w:r>
      <w:r w:rsidR="0076227D" w:rsidRPr="0076227D">
        <w:rPr>
          <w:lang w:val="fr-FR"/>
        </w:rPr>
        <w:tab/>
        <w:t>Changement des matières chargées dans les véhicules-citernes</w:t>
      </w:r>
      <w:r w:rsidRPr="0076227D">
        <w:rPr>
          <w:lang w:val="fr-FR"/>
        </w:rPr>
        <w:tab/>
      </w:r>
      <w:r w:rsidRPr="0076227D">
        <w:rPr>
          <w:lang w:val="fr-FR"/>
        </w:rPr>
        <w:tab/>
        <w:t>59</w:t>
      </w:r>
      <w:r w:rsidRPr="0076227D">
        <w:rPr>
          <w:lang w:val="fr-FR"/>
        </w:rPr>
        <w:tab/>
        <w:t>1</w:t>
      </w:r>
      <w:r w:rsidR="00CB44D7">
        <w:rPr>
          <w:lang w:val="fr-FR"/>
        </w:rPr>
        <w:t>3</w:t>
      </w:r>
    </w:p>
    <w:p w:rsidR="00C64452" w:rsidRDefault="00C64452" w:rsidP="00C64452">
      <w:pPr>
        <w:tabs>
          <w:tab w:val="right" w:pos="850"/>
          <w:tab w:val="left" w:pos="1134"/>
          <w:tab w:val="left" w:pos="1984"/>
          <w:tab w:val="left" w:leader="dot" w:pos="7654"/>
          <w:tab w:val="right" w:pos="8929"/>
          <w:tab w:val="right" w:pos="9638"/>
        </w:tabs>
        <w:spacing w:after="120"/>
        <w:ind w:left="1134" w:hanging="1134"/>
      </w:pPr>
      <w:r>
        <w:tab/>
      </w:r>
      <w:r w:rsidRPr="00113838">
        <w:t>X.</w:t>
      </w:r>
      <w:r w:rsidRPr="00113838">
        <w:tab/>
      </w:r>
      <w:r w:rsidRPr="00F078D1">
        <w:rPr>
          <w:lang w:val="fr-FR"/>
        </w:rPr>
        <w:t>Adoption du rapport (point 9 de l’ordre du jour)</w:t>
      </w:r>
      <w:r>
        <w:tab/>
      </w:r>
      <w:r>
        <w:tab/>
        <w:t>6</w:t>
      </w:r>
      <w:r w:rsidR="007D2AB9">
        <w:t>0</w:t>
      </w:r>
      <w:r>
        <w:tab/>
      </w:r>
      <w:r w:rsidR="006D3E0A">
        <w:t>1</w:t>
      </w:r>
      <w:r w:rsidR="00CB44D7">
        <w:t>3</w:t>
      </w:r>
    </w:p>
    <w:p w:rsidR="00C64452" w:rsidRDefault="00C64452" w:rsidP="00F025AD">
      <w:pPr>
        <w:pStyle w:val="HChG"/>
        <w:spacing w:before="240"/>
      </w:pPr>
      <w:r w:rsidRPr="00A72FF5">
        <w:lastRenderedPageBreak/>
        <w:t>Annexes</w:t>
      </w:r>
    </w:p>
    <w:p w:rsidR="00C64452" w:rsidRDefault="00C64452" w:rsidP="00C64452">
      <w:pPr>
        <w:tabs>
          <w:tab w:val="right" w:pos="850"/>
          <w:tab w:val="left" w:pos="1134"/>
          <w:tab w:val="left" w:pos="1984"/>
          <w:tab w:val="left" w:leader="dot" w:pos="7654"/>
          <w:tab w:val="right" w:pos="8929"/>
          <w:tab w:val="right" w:pos="9638"/>
        </w:tabs>
        <w:spacing w:after="120"/>
        <w:ind w:left="1134" w:hanging="1134"/>
      </w:pPr>
      <w:r>
        <w:tab/>
        <w:t>I.</w:t>
      </w:r>
      <w:r>
        <w:tab/>
      </w:r>
      <w:r w:rsidR="0076227D">
        <w:t xml:space="preserve">Projet d’amendements aux annexes A et B de l’ADR adopté par le Groupe de travail </w:t>
      </w:r>
      <w:r w:rsidR="0076227D">
        <w:br/>
        <w:t xml:space="preserve">pour </w:t>
      </w:r>
      <w:proofErr w:type="spellStart"/>
      <w:r w:rsidR="0076227D">
        <w:t>entrée</w:t>
      </w:r>
      <w:proofErr w:type="spellEnd"/>
      <w:r w:rsidR="0076227D">
        <w:t xml:space="preserve"> en vigueur le 1er janvier 2019</w:t>
      </w:r>
      <w:r>
        <w:tab/>
      </w:r>
      <w:r>
        <w:tab/>
      </w:r>
      <w:r>
        <w:tab/>
        <w:t>1</w:t>
      </w:r>
      <w:r w:rsidR="00AA4831">
        <w:t>4</w:t>
      </w:r>
    </w:p>
    <w:p w:rsidR="0076227D" w:rsidRDefault="00C64452" w:rsidP="007D2AB9">
      <w:pPr>
        <w:tabs>
          <w:tab w:val="right" w:pos="850"/>
          <w:tab w:val="left" w:pos="1134"/>
          <w:tab w:val="left" w:pos="1984"/>
          <w:tab w:val="left" w:leader="dot" w:pos="7654"/>
          <w:tab w:val="right" w:pos="8929"/>
          <w:tab w:val="right" w:pos="9638"/>
        </w:tabs>
        <w:spacing w:after="120"/>
        <w:ind w:left="1134" w:hanging="1134"/>
      </w:pPr>
      <w:r>
        <w:tab/>
      </w:r>
      <w:r w:rsidR="00E157A7">
        <w:t>II.</w:t>
      </w:r>
      <w:r w:rsidR="00225FD8">
        <w:tab/>
      </w:r>
      <w:r w:rsidR="0076227D">
        <w:t xml:space="preserve">Ligne directrice pour l’application de la norme EN </w:t>
      </w:r>
      <w:proofErr w:type="gramStart"/>
      <w:r w:rsidR="0076227D">
        <w:t>13094:</w:t>
      </w:r>
      <w:proofErr w:type="gramEnd"/>
      <w:r w:rsidR="0076227D">
        <w:t xml:space="preserve">2015 </w:t>
      </w:r>
      <w:r w:rsidR="0076227D">
        <w:br/>
        <w:t>afin de respecter les prescriptions de l’ADR</w:t>
      </w:r>
      <w:r w:rsidR="00225FD8">
        <w:tab/>
      </w:r>
      <w:r w:rsidR="00225FD8">
        <w:tab/>
      </w:r>
      <w:r w:rsidR="0076227D">
        <w:tab/>
        <w:t>1</w:t>
      </w:r>
      <w:r w:rsidR="00AA4831">
        <w:t>5</w:t>
      </w:r>
    </w:p>
    <w:p w:rsidR="002F5CAB" w:rsidRDefault="002F5CAB" w:rsidP="009A0461">
      <w:pPr>
        <w:tabs>
          <w:tab w:val="right" w:pos="850"/>
          <w:tab w:val="left" w:pos="1134"/>
          <w:tab w:val="left" w:pos="1984"/>
          <w:tab w:val="left" w:leader="dot" w:pos="7654"/>
          <w:tab w:val="right" w:pos="8929"/>
          <w:tab w:val="right" w:pos="9638"/>
        </w:tabs>
        <w:spacing w:before="240" w:after="120"/>
        <w:ind w:left="1134" w:hanging="1134"/>
      </w:pPr>
      <w:r>
        <w:tab/>
        <w:t>III.</w:t>
      </w:r>
      <w:r>
        <w:tab/>
        <w:t xml:space="preserve">Projet d’amendements relatifs aux normes </w:t>
      </w:r>
      <w:r w:rsidRPr="002F5CAB">
        <w:t xml:space="preserve">EN </w:t>
      </w:r>
      <w:proofErr w:type="gramStart"/>
      <w:r w:rsidRPr="002F5CAB">
        <w:t>14025:</w:t>
      </w:r>
      <w:proofErr w:type="gramEnd"/>
      <w:r w:rsidRPr="002F5CAB">
        <w:t>2018 et EN 12972:2018</w:t>
      </w:r>
      <w:r w:rsidR="005A29FC">
        <w:t xml:space="preserve"> pour </w:t>
      </w:r>
      <w:r w:rsidR="009A0461">
        <w:br/>
      </w:r>
      <w:proofErr w:type="spellStart"/>
      <w:r w:rsidR="005A29FC">
        <w:t>entrée</w:t>
      </w:r>
      <w:proofErr w:type="spellEnd"/>
      <w:r w:rsidR="005A29FC">
        <w:t xml:space="preserve"> en vigueur dès que possible après que ces normes sont publiées</w:t>
      </w:r>
      <w:r>
        <w:tab/>
      </w:r>
      <w:r>
        <w:tab/>
      </w:r>
      <w:r>
        <w:tab/>
      </w:r>
      <w:r w:rsidR="00AA4831">
        <w:t>16</w:t>
      </w:r>
    </w:p>
    <w:p w:rsidR="002F5CAB" w:rsidRDefault="002F5CAB" w:rsidP="009A0461">
      <w:pPr>
        <w:tabs>
          <w:tab w:val="right" w:pos="850"/>
          <w:tab w:val="left" w:pos="1134"/>
          <w:tab w:val="left" w:pos="1984"/>
          <w:tab w:val="left" w:leader="dot" w:pos="7654"/>
          <w:tab w:val="right" w:pos="8929"/>
          <w:tab w:val="right" w:pos="9638"/>
        </w:tabs>
        <w:spacing w:after="120"/>
        <w:ind w:left="1134" w:hanging="1134"/>
      </w:pPr>
      <w:r>
        <w:tab/>
        <w:t>IV.</w:t>
      </w:r>
      <w:r>
        <w:tab/>
        <w:t xml:space="preserve">Projet d’amendements relatifs aux normes </w:t>
      </w:r>
      <w:r>
        <w:rPr>
          <w:lang w:val="fr-FR"/>
        </w:rPr>
        <w:t xml:space="preserve">EN ISO </w:t>
      </w:r>
      <w:proofErr w:type="gramStart"/>
      <w:r>
        <w:rPr>
          <w:lang w:val="fr-FR"/>
        </w:rPr>
        <w:t>17871:</w:t>
      </w:r>
      <w:proofErr w:type="gramEnd"/>
      <w:r>
        <w:rPr>
          <w:lang w:val="fr-FR"/>
        </w:rPr>
        <w:t xml:space="preserve">2015 + A1:2018, </w:t>
      </w:r>
      <w:r>
        <w:rPr>
          <w:lang w:val="fr-FR"/>
        </w:rPr>
        <w:br/>
        <w:t>EN 1440:2016 +A1:2018, EN 16728:2016 +A1:2018 et EN 13317:2018</w:t>
      </w:r>
      <w:r w:rsidR="005A29FC">
        <w:rPr>
          <w:lang w:val="fr-FR"/>
        </w:rPr>
        <w:t xml:space="preserve"> pour </w:t>
      </w:r>
      <w:proofErr w:type="spellStart"/>
      <w:r w:rsidR="005A29FC">
        <w:rPr>
          <w:lang w:val="fr-FR"/>
        </w:rPr>
        <w:t>entrée</w:t>
      </w:r>
      <w:proofErr w:type="spellEnd"/>
      <w:r w:rsidR="005A29FC">
        <w:rPr>
          <w:lang w:val="fr-FR"/>
        </w:rPr>
        <w:t xml:space="preserve"> </w:t>
      </w:r>
      <w:r w:rsidR="009A0461">
        <w:rPr>
          <w:lang w:val="fr-FR"/>
        </w:rPr>
        <w:br/>
      </w:r>
      <w:r w:rsidR="005A29FC">
        <w:rPr>
          <w:lang w:val="fr-FR"/>
        </w:rPr>
        <w:t>en vigueur dès que possible après que ces normes sont publiées</w:t>
      </w:r>
      <w:r>
        <w:tab/>
      </w:r>
      <w:r>
        <w:tab/>
      </w:r>
      <w:r>
        <w:tab/>
      </w:r>
      <w:r w:rsidR="00AA4831">
        <w:t>17</w:t>
      </w:r>
    </w:p>
    <w:p w:rsidR="002F5CAB" w:rsidRDefault="002F5CAB" w:rsidP="007D2AB9">
      <w:pPr>
        <w:tabs>
          <w:tab w:val="right" w:pos="850"/>
          <w:tab w:val="left" w:pos="1134"/>
          <w:tab w:val="left" w:pos="1984"/>
          <w:tab w:val="left" w:leader="dot" w:pos="7654"/>
          <w:tab w:val="right" w:pos="8929"/>
          <w:tab w:val="right" w:pos="9638"/>
        </w:tabs>
        <w:spacing w:after="120"/>
        <w:ind w:left="1134" w:hanging="1134"/>
      </w:pPr>
    </w:p>
    <w:p w:rsidR="0076227D" w:rsidRDefault="0076227D">
      <w:pPr>
        <w:suppressAutoHyphens w:val="0"/>
        <w:spacing w:line="240" w:lineRule="auto"/>
      </w:pPr>
      <w:r>
        <w:br w:type="page"/>
      </w:r>
    </w:p>
    <w:p w:rsidR="00E16D6E" w:rsidRPr="0066732B" w:rsidRDefault="00E16D6E" w:rsidP="00476853">
      <w:pPr>
        <w:pStyle w:val="HChG"/>
      </w:pPr>
      <w:r w:rsidRPr="0066732B">
        <w:lastRenderedPageBreak/>
        <w:tab/>
        <w:t>I.</w:t>
      </w:r>
      <w:r w:rsidRPr="0066732B">
        <w:tab/>
        <w:t>Participation</w:t>
      </w:r>
    </w:p>
    <w:p w:rsidR="00F879D5" w:rsidRPr="005A592F" w:rsidRDefault="00F879D5" w:rsidP="00F879D5">
      <w:pPr>
        <w:pStyle w:val="SingleTxtG"/>
      </w:pPr>
      <w:r w:rsidRPr="005A592F">
        <w:t>1.</w:t>
      </w:r>
      <w:r w:rsidRPr="005A592F">
        <w:tab/>
        <w:t xml:space="preserve">Le Groupe de travail des transports de marchandises dangereuses a tenu sa </w:t>
      </w:r>
      <w:r w:rsidRPr="005A592F">
        <w:rPr>
          <w:lang w:val="fr-FR"/>
        </w:rPr>
        <w:t>10</w:t>
      </w:r>
      <w:r>
        <w:rPr>
          <w:lang w:val="fr-FR"/>
        </w:rPr>
        <w:t>4</w:t>
      </w:r>
      <w:r w:rsidR="007C4E5F">
        <w:rPr>
          <w:lang w:val="fr-FR"/>
        </w:rPr>
        <w:t>e</w:t>
      </w:r>
      <w:r w:rsidRPr="005A592F">
        <w:t xml:space="preserve"> session du </w:t>
      </w:r>
      <w:r>
        <w:t xml:space="preserve">15 </w:t>
      </w:r>
      <w:r w:rsidRPr="005A592F">
        <w:t>au 1</w:t>
      </w:r>
      <w:r>
        <w:t>7 mai</w:t>
      </w:r>
      <w:r w:rsidRPr="005A592F">
        <w:t xml:space="preserve"> </w:t>
      </w:r>
      <w:r>
        <w:t>2018</w:t>
      </w:r>
      <w:r w:rsidRPr="005A592F">
        <w:t xml:space="preserve"> sous la présidence de M. J. A. Franco (Portugal) et la vice-présidence de M</w:t>
      </w:r>
      <w:r w:rsidRPr="00FB4BC0">
        <w:t>me</w:t>
      </w:r>
      <w:r w:rsidRPr="005A592F">
        <w:t> A. </w:t>
      </w:r>
      <w:proofErr w:type="spellStart"/>
      <w:r w:rsidRPr="005A592F">
        <w:t>Roumier</w:t>
      </w:r>
      <w:proofErr w:type="spellEnd"/>
      <w:r w:rsidRPr="005A592F">
        <w:t xml:space="preserve"> (France).</w:t>
      </w:r>
    </w:p>
    <w:p w:rsidR="007D1F7E" w:rsidRDefault="007D1F7E" w:rsidP="007D1F7E">
      <w:pPr>
        <w:pStyle w:val="SingleTxtG"/>
      </w:pPr>
      <w:r w:rsidRPr="005E50EC">
        <w:t>2.</w:t>
      </w:r>
      <w:r w:rsidRPr="005E50EC">
        <w:tab/>
        <w:t>Ont pris part à ses travaux des représentants des pays suivants</w:t>
      </w:r>
      <w:r>
        <w:t> </w:t>
      </w:r>
      <w:r w:rsidRPr="005E50EC">
        <w:t xml:space="preserve">: </w:t>
      </w:r>
      <w:r w:rsidRPr="00E734A3">
        <w:t xml:space="preserve">Allemagne, Autriche, </w:t>
      </w:r>
      <w:r>
        <w:t xml:space="preserve">Bélarus, </w:t>
      </w:r>
      <w:r w:rsidRPr="00E734A3">
        <w:t xml:space="preserve">Belgique, </w:t>
      </w:r>
      <w:r>
        <w:t>Bulgarie,</w:t>
      </w:r>
      <w:r w:rsidRPr="00E734A3">
        <w:t xml:space="preserve"> Danemark, Fédération de Russie, Finlande, France, </w:t>
      </w:r>
      <w:r>
        <w:t xml:space="preserve">Géorgie, Irlande, </w:t>
      </w:r>
      <w:r w:rsidRPr="00E734A3">
        <w:t xml:space="preserve">Italie, Lettonie, </w:t>
      </w:r>
      <w:r>
        <w:t xml:space="preserve">Luxembourg, </w:t>
      </w:r>
      <w:r w:rsidRPr="00E734A3">
        <w:t>Malte, Pays-Bas, Pologne, Portugal, République tchèque, Roumanie, Royaume-Uni, Suède, Suisse et Turquie.</w:t>
      </w:r>
    </w:p>
    <w:p w:rsidR="00F879D5" w:rsidRPr="00516DB6" w:rsidRDefault="00F879D5" w:rsidP="00F879D5">
      <w:pPr>
        <w:pStyle w:val="SingleTxtG"/>
      </w:pPr>
      <w:r>
        <w:t>3</w:t>
      </w:r>
      <w:r w:rsidRPr="00516DB6">
        <w:t>.</w:t>
      </w:r>
      <w:r w:rsidRPr="00516DB6">
        <w:tab/>
        <w:t>L’Union européenne était représentée.</w:t>
      </w:r>
    </w:p>
    <w:p w:rsidR="00F879D5" w:rsidRDefault="00F879D5" w:rsidP="00F879D5">
      <w:pPr>
        <w:pStyle w:val="SingleTxtG"/>
      </w:pPr>
      <w:r>
        <w:t>4</w:t>
      </w:r>
      <w:r w:rsidRPr="00516DB6">
        <w:t>.</w:t>
      </w:r>
      <w:r w:rsidRPr="00516DB6">
        <w:tab/>
        <w:t>L’organisation intergouvernementale suivante était représentée</w:t>
      </w:r>
      <w:r>
        <w:t> </w:t>
      </w:r>
      <w:r w:rsidRPr="00516DB6">
        <w:t>: Organisation intergouvernementale pour les transports internationaux ferroviaires (OTIF).</w:t>
      </w:r>
    </w:p>
    <w:p w:rsidR="007D1F7E" w:rsidRPr="007D1F7E" w:rsidRDefault="007D1F7E" w:rsidP="007D1F7E">
      <w:pPr>
        <w:pStyle w:val="SingleTxtG"/>
        <w:rPr>
          <w:lang w:val="fr-FR"/>
        </w:rPr>
      </w:pPr>
      <w:r>
        <w:t>5</w:t>
      </w:r>
      <w:r w:rsidRPr="00C050F6">
        <w:t>.</w:t>
      </w:r>
      <w:r w:rsidRPr="00C050F6">
        <w:tab/>
      </w:r>
      <w:r w:rsidRPr="00C050F6">
        <w:rPr>
          <w:lang w:val="fr-FR"/>
        </w:rPr>
        <w:t>Les organisations non gouvernementales suivantes étaient représentées</w:t>
      </w:r>
      <w:r>
        <w:rPr>
          <w:lang w:val="fr-FR"/>
        </w:rPr>
        <w:t> </w:t>
      </w:r>
      <w:r w:rsidRPr="00C050F6">
        <w:rPr>
          <w:lang w:val="fr-FR"/>
        </w:rPr>
        <w:t>:</w:t>
      </w:r>
      <w:r w:rsidRPr="00C050F6">
        <w:rPr>
          <w:bCs/>
          <w:lang w:val="fr-FR"/>
        </w:rPr>
        <w:t xml:space="preserve"> </w:t>
      </w:r>
      <w:r w:rsidRPr="00C050F6">
        <w:rPr>
          <w:lang w:val="fr-FR"/>
        </w:rPr>
        <w:t xml:space="preserve">la Conférence européenne des </w:t>
      </w:r>
      <w:r w:rsidR="003F3A64">
        <w:rPr>
          <w:lang w:val="fr-FR"/>
        </w:rPr>
        <w:t>distributeurs de</w:t>
      </w:r>
      <w:r w:rsidRPr="00C050F6">
        <w:rPr>
          <w:lang w:val="fr-FR"/>
        </w:rPr>
        <w:t xml:space="preserve"> combustibles et carburants </w:t>
      </w:r>
      <w:r w:rsidRPr="00C050F6">
        <w:rPr>
          <w:bCs/>
          <w:lang w:val="fr-FR"/>
        </w:rPr>
        <w:t>(</w:t>
      </w:r>
      <w:r>
        <w:rPr>
          <w:bCs/>
          <w:lang w:val="fr-FR"/>
        </w:rPr>
        <w:t>ECFD</w:t>
      </w:r>
      <w:r w:rsidRPr="00C050F6">
        <w:rPr>
          <w:bCs/>
          <w:lang w:val="fr-FR"/>
        </w:rPr>
        <w:t>),</w:t>
      </w:r>
      <w:r>
        <w:rPr>
          <w:bCs/>
          <w:lang w:val="fr-FR"/>
        </w:rPr>
        <w:t xml:space="preserve"> </w:t>
      </w:r>
      <w:r w:rsidRPr="00C37CD3">
        <w:rPr>
          <w:lang w:val="fr-FR"/>
        </w:rPr>
        <w:t>le Conseil européen d</w:t>
      </w:r>
      <w:r w:rsidR="003F3A64">
        <w:rPr>
          <w:lang w:val="fr-FR"/>
        </w:rPr>
        <w:t>e l’industrie chimique (CEFIC) et</w:t>
      </w:r>
      <w:r>
        <w:rPr>
          <w:lang w:val="fr-FR"/>
        </w:rPr>
        <w:t xml:space="preserve"> </w:t>
      </w:r>
      <w:r w:rsidRPr="00C050F6">
        <w:rPr>
          <w:lang w:val="fr-FR"/>
        </w:rPr>
        <w:t>l’Union internationale des transports routiers (IRU)</w:t>
      </w:r>
      <w:r>
        <w:rPr>
          <w:lang w:val="fr-FR"/>
        </w:rPr>
        <w:t xml:space="preserve">. </w:t>
      </w:r>
    </w:p>
    <w:p w:rsidR="00E16D6E" w:rsidRDefault="00E16D6E" w:rsidP="00E16D6E">
      <w:pPr>
        <w:pStyle w:val="HChG"/>
      </w:pPr>
      <w:r>
        <w:tab/>
        <w:t>I</w:t>
      </w:r>
      <w:r w:rsidRPr="00C71525">
        <w:t>I.</w:t>
      </w:r>
      <w:r w:rsidRPr="00C71525">
        <w:tab/>
        <w:t>Adoption de l</w:t>
      </w:r>
      <w:r>
        <w:t>’</w:t>
      </w:r>
      <w:r w:rsidRPr="00C71525">
        <w:t>ordre du jour (point 1 de l</w:t>
      </w:r>
      <w:r>
        <w:t>’</w:t>
      </w:r>
      <w:r w:rsidRPr="00C71525">
        <w:t>o</w:t>
      </w:r>
      <w:r>
        <w:t>rdre du jour)</w:t>
      </w:r>
    </w:p>
    <w:p w:rsidR="00B76EAE" w:rsidRDefault="00B76EAE" w:rsidP="00B76EAE">
      <w:pPr>
        <w:pStyle w:val="SingleTxtG"/>
        <w:tabs>
          <w:tab w:val="left" w:pos="1418"/>
        </w:tabs>
        <w:ind w:left="3119" w:hanging="1985"/>
        <w:jc w:val="left"/>
      </w:pPr>
      <w:r>
        <w:rPr>
          <w:i/>
        </w:rPr>
        <w:t xml:space="preserve">Documents </w:t>
      </w:r>
      <w:r w:rsidRPr="00FC75FF">
        <w:t>:</w:t>
      </w:r>
      <w:r>
        <w:tab/>
        <w:t>ECE/TRANS/WP.15/241 et Add.1 (Secrétariat)</w:t>
      </w:r>
    </w:p>
    <w:p w:rsidR="00B76EAE" w:rsidRPr="001A0C10" w:rsidRDefault="00B76EAE" w:rsidP="00B76EAE">
      <w:pPr>
        <w:pStyle w:val="SingleTxtG"/>
        <w:tabs>
          <w:tab w:val="left" w:pos="1418"/>
        </w:tabs>
        <w:ind w:left="3119" w:hanging="1985"/>
        <w:jc w:val="left"/>
      </w:pPr>
      <w:r>
        <w:rPr>
          <w:i/>
        </w:rPr>
        <w:t xml:space="preserve">Documents informels </w:t>
      </w:r>
      <w:r w:rsidRPr="00FC75FF">
        <w:t>:</w:t>
      </w:r>
      <w:r>
        <w:tab/>
        <w:t>INF.1 et INF.2/Rev.1 (Secrétariat)</w:t>
      </w:r>
    </w:p>
    <w:p w:rsidR="00B76EAE" w:rsidRPr="00B76EAE" w:rsidRDefault="00B76EAE" w:rsidP="00687E20">
      <w:pPr>
        <w:pStyle w:val="SingleTxtG"/>
      </w:pPr>
      <w:r>
        <w:t>6.</w:t>
      </w:r>
      <w:r>
        <w:tab/>
      </w:r>
      <w:r w:rsidRPr="0054289D">
        <w:rPr>
          <w:bCs/>
          <w:szCs w:val="24"/>
          <w:lang w:val="fr-FR"/>
        </w:rPr>
        <w:t>Le Groupe de travail a adopté l’ordre du jour provisoire préparé par le secrétariat, tel que modifié par le document informel INF.2</w:t>
      </w:r>
      <w:r>
        <w:rPr>
          <w:bCs/>
          <w:szCs w:val="24"/>
          <w:lang w:val="fr-FR"/>
        </w:rPr>
        <w:t>/Rev.1</w:t>
      </w:r>
      <w:r w:rsidRPr="0054289D">
        <w:rPr>
          <w:bCs/>
          <w:szCs w:val="24"/>
          <w:lang w:val="fr-FR"/>
        </w:rPr>
        <w:t xml:space="preserve"> pour tenir compte des documents </w:t>
      </w:r>
      <w:r w:rsidRPr="00D9326C">
        <w:rPr>
          <w:bCs/>
          <w:szCs w:val="24"/>
          <w:lang w:val="fr-FR"/>
        </w:rPr>
        <w:t xml:space="preserve">ECE/TRANS/WP.15/240 et des documents informels INF.1 à </w:t>
      </w:r>
      <w:r>
        <w:rPr>
          <w:bCs/>
          <w:szCs w:val="24"/>
          <w:lang w:val="fr-FR"/>
        </w:rPr>
        <w:t>INF.28</w:t>
      </w:r>
      <w:r w:rsidRPr="00D9326C">
        <w:rPr>
          <w:bCs/>
          <w:szCs w:val="24"/>
          <w:lang w:val="fr-FR"/>
        </w:rPr>
        <w:t>.</w:t>
      </w:r>
    </w:p>
    <w:p w:rsidR="00407DDB" w:rsidRDefault="00B76EAE" w:rsidP="00407DDB">
      <w:pPr>
        <w:pStyle w:val="HChG"/>
      </w:pPr>
      <w:r>
        <w:tab/>
      </w:r>
      <w:r w:rsidR="00407DDB">
        <w:t>III</w:t>
      </w:r>
      <w:r w:rsidR="00407DDB" w:rsidRPr="003659AC">
        <w:t>.</w:t>
      </w:r>
      <w:r w:rsidR="00407DDB" w:rsidRPr="003659AC">
        <w:tab/>
      </w:r>
      <w:r w:rsidR="008935F2">
        <w:tab/>
        <w:t>Quatre-vingtième session du Comité des Transports intérieurs (point 2 de l’ordre du jour)</w:t>
      </w:r>
    </w:p>
    <w:p w:rsidR="00B76EAE" w:rsidRDefault="00B76EAE" w:rsidP="00B76EAE">
      <w:pPr>
        <w:pStyle w:val="SingleTxtG"/>
        <w:tabs>
          <w:tab w:val="left" w:pos="1418"/>
        </w:tabs>
        <w:ind w:left="3119" w:hanging="1985"/>
        <w:jc w:val="left"/>
      </w:pPr>
      <w:r>
        <w:rPr>
          <w:i/>
        </w:rPr>
        <w:t xml:space="preserve">Document </w:t>
      </w:r>
      <w:r w:rsidRPr="00FC75FF">
        <w:t>:</w:t>
      </w:r>
      <w:r>
        <w:tab/>
        <w:t>ECE/TRANS/274 (Secrétariat)</w:t>
      </w:r>
    </w:p>
    <w:p w:rsidR="00B76EAE" w:rsidRPr="001A0C10" w:rsidRDefault="00B76EAE" w:rsidP="00B76EAE">
      <w:pPr>
        <w:pStyle w:val="SingleTxtG"/>
        <w:tabs>
          <w:tab w:val="left" w:pos="1418"/>
        </w:tabs>
        <w:ind w:left="3119" w:hanging="1985"/>
        <w:jc w:val="left"/>
      </w:pPr>
      <w:r>
        <w:rPr>
          <w:i/>
        </w:rPr>
        <w:t xml:space="preserve">Document informel </w:t>
      </w:r>
      <w:r w:rsidRPr="00FC75FF">
        <w:t>:</w:t>
      </w:r>
      <w:r>
        <w:tab/>
        <w:t>CTI No. 13 (2018) de la quatre-vingtième session du Comité des transports intérieurs (Secrétariat)</w:t>
      </w:r>
    </w:p>
    <w:p w:rsidR="00B76EAE" w:rsidRDefault="00B76EAE" w:rsidP="00B76EAE">
      <w:pPr>
        <w:pStyle w:val="SingleTxtG"/>
      </w:pPr>
      <w:r>
        <w:t>7.</w:t>
      </w:r>
      <w:r>
        <w:tab/>
        <w:t>Le secrétariat a informé le Groupe de travail des résultats pertinents de la dernière session du Comité des transports intérieurs (</w:t>
      </w:r>
      <w:r w:rsidRPr="005A592F">
        <w:t>2</w:t>
      </w:r>
      <w:r>
        <w:t>0-23</w:t>
      </w:r>
      <w:r w:rsidRPr="005A592F">
        <w:t xml:space="preserve"> février 201</w:t>
      </w:r>
      <w:r>
        <w:t>8). Le Groupe de travail a noté avec satisfaction que le Comité avait approuvé les résultats de l’évaluation biennale pour 2016-2017 et adopté son programme de travail pour l’exercice biennal 201</w:t>
      </w:r>
      <w:r w:rsidR="00273538">
        <w:t>8-2019 ainsi que la publication,</w:t>
      </w:r>
      <w:r>
        <w:t xml:space="preserve"> par le secrétariat</w:t>
      </w:r>
      <w:r w:rsidR="00273538">
        <w:t>,</w:t>
      </w:r>
      <w:r>
        <w:t xml:space="preserve"> des textes consolidés de l’ADR et de l’ADN tels qu’ils seront amendés le 1</w:t>
      </w:r>
      <w:r w:rsidRPr="00A613E4">
        <w:t>er</w:t>
      </w:r>
      <w:r w:rsidRPr="00713A93">
        <w:t xml:space="preserve"> </w:t>
      </w:r>
      <w:r>
        <w:t xml:space="preserve">janvier 2019. </w:t>
      </w:r>
    </w:p>
    <w:p w:rsidR="00E16D6E" w:rsidRPr="007C0178" w:rsidRDefault="00E16D6E" w:rsidP="00E16D6E">
      <w:pPr>
        <w:pStyle w:val="HChG"/>
      </w:pPr>
      <w:r>
        <w:lastRenderedPageBreak/>
        <w:tab/>
        <w:t>I</w:t>
      </w:r>
      <w:r w:rsidRPr="003659AC">
        <w:t>V.</w:t>
      </w:r>
      <w:r w:rsidRPr="003659AC">
        <w:tab/>
      </w:r>
      <w:r w:rsidRPr="005B2C1D">
        <w:t>État de l</w:t>
      </w:r>
      <w:r>
        <w:t>’</w:t>
      </w:r>
      <w:r w:rsidRPr="005B2C1D">
        <w:t>Accord européen relatif au transport international des marchandises dangereuses par route (ADR) et questions connexes (point 3 de l</w:t>
      </w:r>
      <w:r>
        <w:t>’</w:t>
      </w:r>
      <w:r w:rsidRPr="005B2C1D">
        <w:t>ordre du jour)</w:t>
      </w:r>
    </w:p>
    <w:p w:rsidR="001A1B1E" w:rsidRPr="00466F75" w:rsidRDefault="00E16D6E" w:rsidP="001A1B1E">
      <w:pPr>
        <w:pStyle w:val="H1G"/>
        <w:rPr>
          <w:lang w:val="fr-FR"/>
        </w:rPr>
      </w:pPr>
      <w:r w:rsidRPr="00466F75">
        <w:rPr>
          <w:lang w:val="fr-FR"/>
        </w:rPr>
        <w:tab/>
      </w:r>
      <w:r w:rsidR="001A1B1E">
        <w:rPr>
          <w:lang w:val="fr-FR"/>
        </w:rPr>
        <w:t>A.</w:t>
      </w:r>
      <w:r w:rsidR="001A1B1E">
        <w:rPr>
          <w:lang w:val="fr-FR"/>
        </w:rPr>
        <w:tab/>
      </w:r>
      <w:r w:rsidR="001A1B1E" w:rsidRPr="00D05A1D">
        <w:t>État de l’Accord</w:t>
      </w:r>
      <w:r w:rsidR="001A1B1E" w:rsidRPr="00466F75">
        <w:rPr>
          <w:lang w:val="fr-FR"/>
        </w:rPr>
        <w:t xml:space="preserve"> </w:t>
      </w:r>
    </w:p>
    <w:p w:rsidR="001A1B1E" w:rsidRDefault="001A1B1E" w:rsidP="001A1B1E">
      <w:pPr>
        <w:pStyle w:val="SingleTxtG"/>
      </w:pPr>
      <w:r>
        <w:t>8.</w:t>
      </w:r>
      <w:r>
        <w:tab/>
        <w:t xml:space="preserve">Le Groupe de travail s’est félicité de l’adhésion de Saint-Marin à l’ADR </w:t>
      </w:r>
      <w:r w:rsidRPr="00CB37D6">
        <w:t>(Notification dépositaire C.N.</w:t>
      </w:r>
      <w:proofErr w:type="gramStart"/>
      <w:r w:rsidRPr="00CB37D6">
        <w:t>8.2018.TREATIES</w:t>
      </w:r>
      <w:proofErr w:type="gramEnd"/>
      <w:r w:rsidRPr="00CB37D6">
        <w:t>-XI.B.14)</w:t>
      </w:r>
      <w:r>
        <w:t xml:space="preserve">, portant ainsi le nombre de parties contractantes à 50. </w:t>
      </w:r>
    </w:p>
    <w:p w:rsidR="00687E20" w:rsidRDefault="00687E20" w:rsidP="00687E20">
      <w:pPr>
        <w:pStyle w:val="SingleTxtG"/>
      </w:pPr>
      <w:r>
        <w:t xml:space="preserve">9. </w:t>
      </w:r>
      <w:r>
        <w:tab/>
        <w:t>Les représentants de la Géorgie et d</w:t>
      </w:r>
      <w:r w:rsidR="007C4E5F">
        <w:t>u</w:t>
      </w:r>
      <w:r>
        <w:t xml:space="preserve"> Bélarus </w:t>
      </w:r>
      <w:r w:rsidR="008B15A6">
        <w:t xml:space="preserve">ont </w:t>
      </w:r>
      <w:r>
        <w:t xml:space="preserve">informé le Groupe de travail des modalités de mise en œuvre de l’ADR dans </w:t>
      </w:r>
      <w:r w:rsidR="008B15A6">
        <w:t>leur</w:t>
      </w:r>
      <w:r w:rsidR="007C4E5F">
        <w:t>s</w:t>
      </w:r>
      <w:r w:rsidR="008B15A6">
        <w:t xml:space="preserve"> </w:t>
      </w:r>
      <w:r>
        <w:t xml:space="preserve">pays. Le représentant de </w:t>
      </w:r>
      <w:r w:rsidR="00A613E4">
        <w:t>Géorgie</w:t>
      </w:r>
      <w:r>
        <w:t xml:space="preserve"> a précisé que son Gouvernement avait pris les dispositions nécessaires pour permettre l’application de l’ADR</w:t>
      </w:r>
      <w:r w:rsidRPr="00B7588B">
        <w:t xml:space="preserve"> </w:t>
      </w:r>
      <w:r>
        <w:t>pour les transports nationaux à partir du 1er janvier 2019.</w:t>
      </w:r>
    </w:p>
    <w:p w:rsidR="001A1B1E" w:rsidRDefault="001A1B1E" w:rsidP="001A1B1E">
      <w:pPr>
        <w:pStyle w:val="H1G"/>
        <w:rPr>
          <w:lang w:val="fr-FR"/>
        </w:rPr>
      </w:pPr>
      <w:r>
        <w:rPr>
          <w:lang w:val="fr-FR"/>
        </w:rPr>
        <w:tab/>
        <w:t>B.</w:t>
      </w:r>
      <w:r>
        <w:rPr>
          <w:lang w:val="fr-FR"/>
        </w:rPr>
        <w:tab/>
      </w:r>
      <w:r w:rsidRPr="00466F75">
        <w:rPr>
          <w:lang w:val="fr-FR"/>
        </w:rPr>
        <w:t>Protocole d’amendement de 1993</w:t>
      </w:r>
    </w:p>
    <w:p w:rsidR="001A1B1E" w:rsidRDefault="001A1B1E" w:rsidP="001A1B1E">
      <w:pPr>
        <w:pStyle w:val="SingleTxtG"/>
      </w:pPr>
      <w:r>
        <w:t xml:space="preserve">10. </w:t>
      </w:r>
      <w:r>
        <w:tab/>
        <w:t>Le Groupe de travail a noté avec satisfaction les démarches en cours au Bélarus et en Tunisie pour l’adhésion au Protocole de 1993.</w:t>
      </w:r>
    </w:p>
    <w:p w:rsidR="0021629C" w:rsidRDefault="0021629C" w:rsidP="0021629C">
      <w:pPr>
        <w:pStyle w:val="SingleTxtG"/>
      </w:pPr>
      <w:r>
        <w:t>11.</w:t>
      </w:r>
      <w:r>
        <w:tab/>
        <w:t>Il a encouragé les autres pays qui n’avaient pas encore déposé l’instrument juridique nécessaire pour l’entrée en vigueur du Protocole de 1993 (</w:t>
      </w:r>
      <w:r w:rsidRPr="009110C3">
        <w:t xml:space="preserve">Azerbaïdjan, Bosnie-Herzégovine, Croatie, ex-République yougoslave de Macédoine, </w:t>
      </w:r>
      <w:r>
        <w:t xml:space="preserve">Géorgie, </w:t>
      </w:r>
      <w:r w:rsidRPr="009110C3">
        <w:t>Islande, Kazakhstan, Malte, Maroc, Monténégro</w:t>
      </w:r>
      <w:r w:rsidR="008B15A6">
        <w:t>, Saint-Marin</w:t>
      </w:r>
      <w:r>
        <w:t xml:space="preserve"> et</w:t>
      </w:r>
      <w:r w:rsidRPr="009110C3">
        <w:t xml:space="preserve"> Tadjikistan</w:t>
      </w:r>
      <w:r>
        <w:t>) à prendre les mesures nécessaires pour ratifier le Protocole ou y adhérer, afin qu’il puisse prendre effet.</w:t>
      </w:r>
    </w:p>
    <w:p w:rsidR="004D078B" w:rsidRDefault="00E16D6E" w:rsidP="00E432EC">
      <w:pPr>
        <w:pStyle w:val="HChG"/>
      </w:pPr>
      <w:r>
        <w:tab/>
        <w:t>V.</w:t>
      </w:r>
      <w:r>
        <w:tab/>
      </w:r>
      <w:r w:rsidRPr="005B2C1D">
        <w:t>Travaux de la Réunion commune RID/A</w:t>
      </w:r>
      <w:r>
        <w:t>DR/ADN</w:t>
      </w:r>
      <w:r>
        <w:br/>
      </w:r>
      <w:r w:rsidRPr="005B2C1D">
        <w:t xml:space="preserve">(point </w:t>
      </w:r>
      <w:r>
        <w:t>4</w:t>
      </w:r>
      <w:r w:rsidRPr="005B2C1D">
        <w:t xml:space="preserve"> de l</w:t>
      </w:r>
      <w:r>
        <w:t>’</w:t>
      </w:r>
      <w:r w:rsidRPr="005B2C1D">
        <w:t>ordre du jour)</w:t>
      </w:r>
    </w:p>
    <w:p w:rsidR="00E432EC" w:rsidRPr="003659AC" w:rsidRDefault="00E432EC" w:rsidP="00E432EC">
      <w:pPr>
        <w:pStyle w:val="H1G"/>
      </w:pPr>
      <w:r>
        <w:tab/>
      </w:r>
      <w:r w:rsidRPr="003659AC">
        <w:t>A.</w:t>
      </w:r>
      <w:r w:rsidRPr="003659AC">
        <w:tab/>
      </w:r>
      <w:r>
        <w:t>Question en suspens</w:t>
      </w:r>
    </w:p>
    <w:p w:rsidR="00E432EC" w:rsidRDefault="00E432EC" w:rsidP="00E432EC">
      <w:pPr>
        <w:pStyle w:val="SingleTxtG"/>
        <w:ind w:left="3119" w:hanging="1985"/>
        <w:jc w:val="left"/>
      </w:pPr>
      <w:r w:rsidRPr="003659AC">
        <w:rPr>
          <w:i/>
        </w:rPr>
        <w:t>Document</w:t>
      </w:r>
      <w:r>
        <w:rPr>
          <w:i/>
        </w:rPr>
        <w:t xml:space="preserve">s </w:t>
      </w:r>
      <w:r>
        <w:t>:</w:t>
      </w:r>
      <w:r>
        <w:tab/>
        <w:t>ECE/TRANS/WP.15/AC.1/148, -/Add.1 et -/Add.2 (Secrétariat)</w:t>
      </w:r>
    </w:p>
    <w:p w:rsidR="0021629C" w:rsidRPr="00BC7260" w:rsidRDefault="00BC7260" w:rsidP="00BC7260">
      <w:pPr>
        <w:pStyle w:val="SingleTxtG"/>
      </w:pPr>
      <w:bookmarkStart w:id="1" w:name="_Hlk515364161"/>
      <w:r>
        <w:t>12.</w:t>
      </w:r>
      <w:r>
        <w:tab/>
        <w:t>La déléguée de la France a informé le Groupe de travail que la question en suspens relative au texte du 6.8.2.1.18 a été discutée lors de la session de mars 2018 de la Réunion commune (voir ECE/TRANS/WP.15/AC.1/150/Add.1). La Réunion commune a confirmé l’amendement au 6.8.2.1.18 pour une entrée en vigueur le 1er janvier 2021.</w:t>
      </w:r>
      <w:bookmarkEnd w:id="1"/>
    </w:p>
    <w:p w:rsidR="00E432EC" w:rsidRPr="003659AC" w:rsidRDefault="00E432EC" w:rsidP="00E432EC">
      <w:pPr>
        <w:pStyle w:val="H1G"/>
      </w:pPr>
      <w:r>
        <w:tab/>
        <w:t>B</w:t>
      </w:r>
      <w:r w:rsidRPr="003659AC">
        <w:t>.</w:t>
      </w:r>
      <w:r w:rsidRPr="003659AC">
        <w:tab/>
        <w:t>Amendements proposés par l</w:t>
      </w:r>
      <w:r>
        <w:t>a Réunion commune à sa session</w:t>
      </w:r>
      <w:r>
        <w:br/>
        <w:t xml:space="preserve">de printemps 2018 pour </w:t>
      </w:r>
      <w:proofErr w:type="spellStart"/>
      <w:r>
        <w:t>entrée</w:t>
      </w:r>
      <w:proofErr w:type="spellEnd"/>
      <w:r>
        <w:t xml:space="preserve"> en vigueur </w:t>
      </w:r>
      <w:r w:rsidR="007C4E5F">
        <w:t>le</w:t>
      </w:r>
      <w:r>
        <w:t xml:space="preserve"> 1</w:t>
      </w:r>
      <w:r w:rsidRPr="00A613E4">
        <w:t>er</w:t>
      </w:r>
      <w:r>
        <w:rPr>
          <w:vertAlign w:val="superscript"/>
        </w:rPr>
        <w:t xml:space="preserve"> </w:t>
      </w:r>
      <w:r>
        <w:t>janvier 2019</w:t>
      </w:r>
    </w:p>
    <w:p w:rsidR="00E432EC" w:rsidRDefault="00E432EC" w:rsidP="00E432EC">
      <w:pPr>
        <w:pStyle w:val="SingleTxtG"/>
      </w:pPr>
      <w:r>
        <w:rPr>
          <w:i/>
        </w:rPr>
        <w:t xml:space="preserve">Document informel </w:t>
      </w:r>
      <w:r w:rsidRPr="00FC75FF">
        <w:t>:</w:t>
      </w:r>
      <w:r>
        <w:tab/>
      </w:r>
      <w:r w:rsidR="008569B3">
        <w:tab/>
      </w:r>
      <w:r>
        <w:t>INF.14 (Secrétariat)</w:t>
      </w:r>
    </w:p>
    <w:p w:rsidR="00E432EC" w:rsidRDefault="00E432EC" w:rsidP="00E432EC">
      <w:pPr>
        <w:pStyle w:val="SingleTxtG"/>
        <w:rPr>
          <w:color w:val="000000"/>
          <w:lang w:val="fr-FR"/>
        </w:rPr>
      </w:pPr>
      <w:r>
        <w:rPr>
          <w:color w:val="000000"/>
          <w:lang w:val="fr-FR"/>
        </w:rPr>
        <w:t>13.</w:t>
      </w:r>
      <w:r>
        <w:rPr>
          <w:color w:val="000000"/>
          <w:lang w:val="fr-FR"/>
        </w:rPr>
        <w:tab/>
      </w:r>
      <w:r w:rsidRPr="00185390">
        <w:rPr>
          <w:color w:val="000000"/>
          <w:lang w:val="fr-FR"/>
        </w:rPr>
        <w:t xml:space="preserve">Le Groupe de travail a </w:t>
      </w:r>
      <w:r>
        <w:rPr>
          <w:color w:val="000000"/>
          <w:lang w:val="fr-FR"/>
        </w:rPr>
        <w:t xml:space="preserve">adopté, avec quelques modifications, les amendements additionnels proposés par la Réunion commune pour </w:t>
      </w:r>
      <w:proofErr w:type="spellStart"/>
      <w:r>
        <w:rPr>
          <w:color w:val="000000"/>
          <w:lang w:val="fr-FR"/>
        </w:rPr>
        <w:t>entrée</w:t>
      </w:r>
      <w:proofErr w:type="spellEnd"/>
      <w:r>
        <w:rPr>
          <w:color w:val="000000"/>
          <w:lang w:val="fr-FR"/>
        </w:rPr>
        <w:t xml:space="preserve"> en vigueur </w:t>
      </w:r>
      <w:r w:rsidR="007C4E5F">
        <w:rPr>
          <w:color w:val="000000"/>
          <w:lang w:val="fr-FR"/>
        </w:rPr>
        <w:t>le</w:t>
      </w:r>
      <w:r>
        <w:rPr>
          <w:color w:val="000000"/>
          <w:lang w:val="fr-FR"/>
        </w:rPr>
        <w:t xml:space="preserve"> 1</w:t>
      </w:r>
      <w:r w:rsidRPr="00A613E4">
        <w:rPr>
          <w:color w:val="000000"/>
          <w:lang w:val="fr-FR"/>
        </w:rPr>
        <w:t>er</w:t>
      </w:r>
      <w:r>
        <w:rPr>
          <w:color w:val="000000"/>
          <w:lang w:val="fr-FR"/>
        </w:rPr>
        <w:t xml:space="preserve"> janvier 2019 tels que repris dans le document informel INF.14 (voir annexe</w:t>
      </w:r>
      <w:r w:rsidR="008569B3">
        <w:rPr>
          <w:color w:val="000000"/>
          <w:lang w:val="fr-FR"/>
        </w:rPr>
        <w:t xml:space="preserve"> I)</w:t>
      </w:r>
      <w:r w:rsidR="00FA795E" w:rsidRPr="00DA2E8F">
        <w:rPr>
          <w:rStyle w:val="FootnoteReference"/>
          <w:color w:val="000000"/>
          <w:sz w:val="20"/>
        </w:rPr>
        <w:footnoteReference w:id="2"/>
      </w:r>
      <w:r w:rsidR="008569B3" w:rsidRPr="00DA2E8F">
        <w:rPr>
          <w:color w:val="000000"/>
          <w:lang w:val="fr-FR"/>
        </w:rPr>
        <w:t>.</w:t>
      </w:r>
      <w:r w:rsidR="008569B3">
        <w:rPr>
          <w:color w:val="000000"/>
          <w:lang w:val="fr-FR"/>
        </w:rPr>
        <w:t xml:space="preserve"> </w:t>
      </w:r>
    </w:p>
    <w:p w:rsidR="0007332E" w:rsidRPr="008569B3" w:rsidRDefault="0007332E" w:rsidP="0007332E">
      <w:pPr>
        <w:pStyle w:val="SingleTxtG"/>
        <w:rPr>
          <w:lang w:val="fr-FR"/>
        </w:rPr>
      </w:pPr>
      <w:r w:rsidRPr="008569B3">
        <w:rPr>
          <w:i/>
          <w:lang w:val="fr-FR"/>
        </w:rPr>
        <w:lastRenderedPageBreak/>
        <w:t xml:space="preserve">Document informel </w:t>
      </w:r>
      <w:r w:rsidRPr="008569B3">
        <w:rPr>
          <w:lang w:val="fr-FR"/>
        </w:rPr>
        <w:t>:</w:t>
      </w:r>
      <w:r w:rsidRPr="008569B3">
        <w:rPr>
          <w:lang w:val="fr-FR"/>
        </w:rPr>
        <w:tab/>
      </w:r>
      <w:r w:rsidRPr="008569B3">
        <w:rPr>
          <w:lang w:val="fr-FR"/>
        </w:rPr>
        <w:tab/>
        <w:t>INF.26 (France)</w:t>
      </w:r>
    </w:p>
    <w:p w:rsidR="0007332E" w:rsidRDefault="008569B3" w:rsidP="0007332E">
      <w:pPr>
        <w:pStyle w:val="SingleTxtG"/>
        <w:rPr>
          <w:color w:val="000000"/>
          <w:lang w:val="fr-FR"/>
        </w:rPr>
      </w:pPr>
      <w:r>
        <w:rPr>
          <w:color w:val="000000"/>
          <w:lang w:val="fr-FR"/>
        </w:rPr>
        <w:t>14</w:t>
      </w:r>
      <w:r w:rsidR="0007332E" w:rsidRPr="008569B3">
        <w:rPr>
          <w:color w:val="000000"/>
          <w:lang w:val="fr-FR"/>
        </w:rPr>
        <w:t>.</w:t>
      </w:r>
      <w:r w:rsidR="0007332E" w:rsidRPr="008569B3">
        <w:rPr>
          <w:color w:val="000000"/>
          <w:lang w:val="fr-FR"/>
        </w:rPr>
        <w:tab/>
        <w:t>Le Groupe de travail a adopté l’amendement de conséquence au texte français du paragraphe 1.8.7.2.5 proposé par la France (voir annexe</w:t>
      </w:r>
      <w:r w:rsidRPr="008569B3">
        <w:rPr>
          <w:color w:val="000000"/>
          <w:lang w:val="fr-FR"/>
        </w:rPr>
        <w:t xml:space="preserve"> I).</w:t>
      </w:r>
      <w:r>
        <w:rPr>
          <w:color w:val="000000"/>
          <w:lang w:val="fr-FR"/>
        </w:rPr>
        <w:t xml:space="preserve"> </w:t>
      </w:r>
    </w:p>
    <w:p w:rsidR="00652E9D" w:rsidRPr="00B7058F" w:rsidRDefault="00652E9D" w:rsidP="00B7058F">
      <w:pPr>
        <w:pStyle w:val="H1G"/>
      </w:pPr>
      <w:r>
        <w:tab/>
        <w:t>C</w:t>
      </w:r>
      <w:r w:rsidRPr="003659AC">
        <w:t>.</w:t>
      </w:r>
      <w:r w:rsidRPr="003659AC">
        <w:tab/>
      </w:r>
      <w:r>
        <w:t>Corrections</w:t>
      </w:r>
      <w:r w:rsidRPr="003659AC">
        <w:t xml:space="preserve"> </w:t>
      </w:r>
      <w:r>
        <w:t>au document ECE/TRANS/WP.15/240</w:t>
      </w:r>
    </w:p>
    <w:p w:rsidR="00652E9D" w:rsidRPr="00405856" w:rsidRDefault="00652E9D" w:rsidP="00652E9D">
      <w:pPr>
        <w:pStyle w:val="SingleTxtG"/>
        <w:tabs>
          <w:tab w:val="left" w:pos="1418"/>
        </w:tabs>
        <w:ind w:left="3119" w:hanging="1985"/>
        <w:jc w:val="left"/>
        <w:rPr>
          <w:iCs/>
        </w:rPr>
      </w:pPr>
      <w:r>
        <w:rPr>
          <w:i/>
        </w:rPr>
        <w:t xml:space="preserve">Document informel </w:t>
      </w:r>
      <w:r w:rsidRPr="00FC75FF">
        <w:t>:</w:t>
      </w:r>
      <w:r>
        <w:tab/>
      </w:r>
      <w:r>
        <w:tab/>
        <w:t>INF.15 (Secrétariat)</w:t>
      </w:r>
    </w:p>
    <w:p w:rsidR="00652E9D" w:rsidRDefault="008569B3" w:rsidP="00652E9D">
      <w:pPr>
        <w:pStyle w:val="SingleTxtG"/>
        <w:rPr>
          <w:color w:val="000000"/>
          <w:lang w:val="fr-FR"/>
        </w:rPr>
      </w:pPr>
      <w:r>
        <w:rPr>
          <w:color w:val="000000"/>
          <w:lang w:val="fr-FR"/>
        </w:rPr>
        <w:t>15</w:t>
      </w:r>
      <w:r w:rsidR="00652E9D">
        <w:rPr>
          <w:color w:val="000000"/>
          <w:lang w:val="fr-FR"/>
        </w:rPr>
        <w:t>.</w:t>
      </w:r>
      <w:r w:rsidR="00652E9D">
        <w:rPr>
          <w:color w:val="000000"/>
          <w:lang w:val="fr-FR"/>
        </w:rPr>
        <w:tab/>
      </w:r>
      <w:r w:rsidR="00652E9D" w:rsidRPr="00185390">
        <w:rPr>
          <w:color w:val="000000"/>
          <w:lang w:val="fr-FR"/>
        </w:rPr>
        <w:t xml:space="preserve">Le Groupe de travail a </w:t>
      </w:r>
      <w:r w:rsidR="00652E9D">
        <w:rPr>
          <w:color w:val="000000"/>
          <w:lang w:val="fr-FR"/>
        </w:rPr>
        <w:t>adopté, avec quelques modifications, les corrections proposées dans le document informel INF.15 (voir annexe</w:t>
      </w:r>
      <w:r>
        <w:rPr>
          <w:color w:val="000000"/>
          <w:lang w:val="fr-FR"/>
        </w:rPr>
        <w:t xml:space="preserve"> I). </w:t>
      </w:r>
    </w:p>
    <w:p w:rsidR="003857A1" w:rsidRPr="003424F2" w:rsidRDefault="003857A1" w:rsidP="003857A1">
      <w:pPr>
        <w:pStyle w:val="SingleTxtG"/>
        <w:rPr>
          <w:lang w:val="fr-FR"/>
        </w:rPr>
      </w:pPr>
      <w:r w:rsidRPr="003424F2">
        <w:rPr>
          <w:i/>
          <w:lang w:val="fr-FR"/>
        </w:rPr>
        <w:t>Document</w:t>
      </w:r>
      <w:r>
        <w:rPr>
          <w:i/>
          <w:lang w:val="fr-FR"/>
        </w:rPr>
        <w:t>s</w:t>
      </w:r>
      <w:r w:rsidRPr="003424F2">
        <w:rPr>
          <w:i/>
          <w:lang w:val="fr-FR"/>
        </w:rPr>
        <w:t xml:space="preserve"> informel</w:t>
      </w:r>
      <w:r>
        <w:rPr>
          <w:i/>
          <w:lang w:val="fr-FR"/>
        </w:rPr>
        <w:t>s</w:t>
      </w:r>
      <w:r w:rsidRPr="003424F2">
        <w:rPr>
          <w:i/>
          <w:lang w:val="fr-FR"/>
        </w:rPr>
        <w:t xml:space="preserve"> </w:t>
      </w:r>
      <w:r>
        <w:rPr>
          <w:lang w:val="fr-FR"/>
        </w:rPr>
        <w:t xml:space="preserve">: </w:t>
      </w:r>
      <w:r>
        <w:rPr>
          <w:lang w:val="fr-FR"/>
        </w:rPr>
        <w:tab/>
        <w:t>INF.</w:t>
      </w:r>
      <w:r w:rsidRPr="003424F2">
        <w:rPr>
          <w:lang w:val="fr-FR"/>
        </w:rPr>
        <w:t>6</w:t>
      </w:r>
      <w:r>
        <w:rPr>
          <w:lang w:val="fr-FR"/>
        </w:rPr>
        <w:t>, INF.7, INF.11, INF.12</w:t>
      </w:r>
      <w:r w:rsidRPr="003424F2">
        <w:rPr>
          <w:lang w:val="fr-FR"/>
        </w:rPr>
        <w:t xml:space="preserve"> (France)</w:t>
      </w:r>
      <w:r>
        <w:rPr>
          <w:lang w:val="fr-FR"/>
        </w:rPr>
        <w:t xml:space="preserve"> </w:t>
      </w:r>
    </w:p>
    <w:p w:rsidR="003857A1" w:rsidRDefault="009124D6" w:rsidP="003857A1">
      <w:pPr>
        <w:pStyle w:val="SingleTxtG"/>
        <w:rPr>
          <w:lang w:val="fr-FR"/>
        </w:rPr>
      </w:pPr>
      <w:r>
        <w:rPr>
          <w:color w:val="000000"/>
          <w:lang w:val="fr-FR"/>
        </w:rPr>
        <w:t>16</w:t>
      </w:r>
      <w:r w:rsidR="003857A1">
        <w:rPr>
          <w:color w:val="000000"/>
          <w:lang w:val="fr-FR"/>
        </w:rPr>
        <w:t>.</w:t>
      </w:r>
      <w:r w:rsidR="003857A1">
        <w:rPr>
          <w:color w:val="000000"/>
          <w:lang w:val="fr-FR"/>
        </w:rPr>
        <w:tab/>
      </w:r>
      <w:r w:rsidR="003857A1" w:rsidRPr="00153063">
        <w:rPr>
          <w:lang w:val="fr-FR"/>
        </w:rPr>
        <w:t>Les corrections visant à aligner l</w:t>
      </w:r>
      <w:r w:rsidR="003857A1">
        <w:rPr>
          <w:lang w:val="fr-FR"/>
        </w:rPr>
        <w:t>e texte français à la</w:t>
      </w:r>
      <w:r w:rsidR="003857A1" w:rsidRPr="00153063">
        <w:rPr>
          <w:lang w:val="fr-FR"/>
        </w:rPr>
        <w:t xml:space="preserve"> version anglaise</w:t>
      </w:r>
      <w:r w:rsidR="003857A1">
        <w:rPr>
          <w:lang w:val="fr-FR"/>
        </w:rPr>
        <w:t>, proposées par la France</w:t>
      </w:r>
      <w:r w:rsidR="003857A1" w:rsidRPr="00153063">
        <w:rPr>
          <w:lang w:val="fr-FR"/>
        </w:rPr>
        <w:t xml:space="preserve"> </w:t>
      </w:r>
      <w:r w:rsidR="003857A1">
        <w:rPr>
          <w:lang w:val="fr-FR"/>
        </w:rPr>
        <w:t xml:space="preserve">dans les documents informels </w:t>
      </w:r>
      <w:r w:rsidR="003857A1" w:rsidRPr="00153063">
        <w:rPr>
          <w:lang w:val="fr-FR"/>
        </w:rPr>
        <w:t>INF.6, INF.7</w:t>
      </w:r>
      <w:r w:rsidR="003857A1">
        <w:rPr>
          <w:lang w:val="fr-FR"/>
        </w:rPr>
        <w:t xml:space="preserve"> et </w:t>
      </w:r>
      <w:r w:rsidR="003857A1" w:rsidRPr="00153063">
        <w:rPr>
          <w:lang w:val="fr-FR"/>
        </w:rPr>
        <w:t>INF.11</w:t>
      </w:r>
      <w:r w:rsidR="003857A1">
        <w:rPr>
          <w:lang w:val="fr-FR"/>
        </w:rPr>
        <w:t xml:space="preserve"> </w:t>
      </w:r>
      <w:r w:rsidR="003857A1" w:rsidRPr="00153063">
        <w:rPr>
          <w:lang w:val="fr-FR"/>
        </w:rPr>
        <w:t>ont été adoptées</w:t>
      </w:r>
      <w:r w:rsidR="003857A1">
        <w:rPr>
          <w:lang w:val="fr-FR"/>
        </w:rPr>
        <w:t xml:space="preserve"> par le Groupe de travail (voir annexe</w:t>
      </w:r>
      <w:r>
        <w:rPr>
          <w:lang w:val="fr-FR"/>
        </w:rPr>
        <w:t xml:space="preserve"> I</w:t>
      </w:r>
      <w:r w:rsidR="003857A1">
        <w:rPr>
          <w:lang w:val="fr-FR"/>
        </w:rPr>
        <w:t xml:space="preserve">). </w:t>
      </w:r>
    </w:p>
    <w:p w:rsidR="003857A1" w:rsidRPr="00153063" w:rsidRDefault="009124D6" w:rsidP="003857A1">
      <w:pPr>
        <w:pStyle w:val="SingleTxtG"/>
        <w:rPr>
          <w:lang w:val="fr-FR"/>
        </w:rPr>
      </w:pPr>
      <w:r>
        <w:rPr>
          <w:color w:val="000000"/>
          <w:lang w:val="fr-FR"/>
        </w:rPr>
        <w:t>17</w:t>
      </w:r>
      <w:r w:rsidR="003857A1">
        <w:rPr>
          <w:color w:val="000000"/>
          <w:lang w:val="fr-FR"/>
        </w:rPr>
        <w:t>.</w:t>
      </w:r>
      <w:r w:rsidR="003857A1">
        <w:rPr>
          <w:lang w:val="fr-FR"/>
        </w:rPr>
        <w:t xml:space="preserve"> </w:t>
      </w:r>
      <w:r w:rsidR="003857A1">
        <w:rPr>
          <w:lang w:val="fr-FR"/>
        </w:rPr>
        <w:tab/>
        <w:t xml:space="preserve">La proposition </w:t>
      </w:r>
      <w:r w:rsidR="007C4E5F">
        <w:rPr>
          <w:lang w:val="fr-FR"/>
        </w:rPr>
        <w:t>de correction</w:t>
      </w:r>
      <w:r w:rsidR="003857A1">
        <w:rPr>
          <w:lang w:val="fr-FR"/>
        </w:rPr>
        <w:t xml:space="preserve"> présentée par la France dans le document informel INF.12, visant à clarifier le texte français de l’instruction d’emballage P801, a été adoptée telle que modifiée en session (voir annexe</w:t>
      </w:r>
      <w:r>
        <w:rPr>
          <w:lang w:val="fr-FR"/>
        </w:rPr>
        <w:t xml:space="preserve"> I</w:t>
      </w:r>
      <w:r w:rsidR="003857A1">
        <w:rPr>
          <w:lang w:val="fr-FR"/>
        </w:rPr>
        <w:t>).</w:t>
      </w:r>
    </w:p>
    <w:p w:rsidR="003857A1" w:rsidRPr="003424F2" w:rsidRDefault="003857A1" w:rsidP="003857A1">
      <w:pPr>
        <w:pStyle w:val="SingleTxtG"/>
        <w:rPr>
          <w:lang w:val="fr-FR"/>
        </w:rPr>
      </w:pPr>
      <w:r w:rsidRPr="003424F2">
        <w:rPr>
          <w:i/>
          <w:lang w:val="fr-FR"/>
        </w:rPr>
        <w:t xml:space="preserve">Document informel </w:t>
      </w:r>
      <w:r>
        <w:rPr>
          <w:lang w:val="fr-FR"/>
        </w:rPr>
        <w:t>:</w:t>
      </w:r>
      <w:r>
        <w:rPr>
          <w:lang w:val="fr-FR"/>
        </w:rPr>
        <w:tab/>
      </w:r>
      <w:r>
        <w:rPr>
          <w:lang w:val="fr-FR"/>
        </w:rPr>
        <w:tab/>
        <w:t>INF.25</w:t>
      </w:r>
      <w:r w:rsidRPr="003424F2">
        <w:rPr>
          <w:lang w:val="fr-FR"/>
        </w:rPr>
        <w:t xml:space="preserve"> (France)</w:t>
      </w:r>
    </w:p>
    <w:p w:rsidR="003857A1" w:rsidRPr="00B7058F" w:rsidRDefault="009124D6" w:rsidP="00516A87">
      <w:pPr>
        <w:pStyle w:val="SingleTxtG"/>
        <w:rPr>
          <w:lang w:val="fr-FR"/>
        </w:rPr>
      </w:pPr>
      <w:r>
        <w:rPr>
          <w:color w:val="000000"/>
          <w:lang w:val="fr-FR"/>
        </w:rPr>
        <w:t>18</w:t>
      </w:r>
      <w:r w:rsidR="003857A1">
        <w:rPr>
          <w:color w:val="000000"/>
          <w:lang w:val="fr-FR"/>
        </w:rPr>
        <w:t>.</w:t>
      </w:r>
      <w:r w:rsidR="003857A1">
        <w:rPr>
          <w:color w:val="000000"/>
          <w:lang w:val="fr-FR"/>
        </w:rPr>
        <w:tab/>
      </w:r>
      <w:r w:rsidR="003857A1" w:rsidRPr="00153063">
        <w:rPr>
          <w:lang w:val="fr-FR"/>
        </w:rPr>
        <w:t xml:space="preserve">Les corrections </w:t>
      </w:r>
      <w:r w:rsidR="003857A1">
        <w:rPr>
          <w:lang w:val="fr-FR"/>
        </w:rPr>
        <w:t xml:space="preserve">proposées par la France </w:t>
      </w:r>
      <w:r w:rsidR="003857A1" w:rsidRPr="00153063">
        <w:rPr>
          <w:lang w:val="fr-FR"/>
        </w:rPr>
        <w:t xml:space="preserve">visant à clarifier le </w:t>
      </w:r>
      <w:r w:rsidR="003857A1">
        <w:rPr>
          <w:lang w:val="fr-FR"/>
        </w:rPr>
        <w:t xml:space="preserve">texte du paragraphe </w:t>
      </w:r>
      <w:r w:rsidR="003857A1" w:rsidRPr="00153063">
        <w:rPr>
          <w:lang w:val="fr-FR"/>
        </w:rPr>
        <w:t>1.8.3.1 et à aligner la terminologie utilisée au 1.6.1.44 sur celle du 1.8.3 ont été adoptées</w:t>
      </w:r>
      <w:r w:rsidR="003857A1">
        <w:rPr>
          <w:lang w:val="fr-FR"/>
        </w:rPr>
        <w:t xml:space="preserve"> (voir annexe</w:t>
      </w:r>
      <w:r w:rsidR="00EC28BB">
        <w:rPr>
          <w:lang w:val="fr-FR"/>
        </w:rPr>
        <w:t xml:space="preserve"> I)</w:t>
      </w:r>
      <w:r w:rsidR="00EC28BB" w:rsidRPr="00153063">
        <w:rPr>
          <w:lang w:val="fr-FR"/>
        </w:rPr>
        <w:t>.</w:t>
      </w:r>
    </w:p>
    <w:p w:rsidR="00B7058F" w:rsidRPr="003659AC" w:rsidRDefault="00054577" w:rsidP="00B7058F">
      <w:pPr>
        <w:pStyle w:val="H1G"/>
      </w:pPr>
      <w:r>
        <w:rPr>
          <w:lang w:val="fr-FR"/>
        </w:rPr>
        <w:tab/>
      </w:r>
      <w:r w:rsidR="00B7058F">
        <w:t>D</w:t>
      </w:r>
      <w:r w:rsidR="00B7058F" w:rsidRPr="003659AC">
        <w:t>.</w:t>
      </w:r>
      <w:r w:rsidR="00B7058F" w:rsidRPr="003659AC">
        <w:tab/>
      </w:r>
      <w:r w:rsidR="00B7058F">
        <w:t xml:space="preserve">Références à la norme EN </w:t>
      </w:r>
      <w:proofErr w:type="gramStart"/>
      <w:r w:rsidR="00B7058F">
        <w:t>590:</w:t>
      </w:r>
      <w:proofErr w:type="gramEnd"/>
      <w:r w:rsidR="00B7058F">
        <w:t>2013 + A1:2014</w:t>
      </w:r>
    </w:p>
    <w:p w:rsidR="00B7058F" w:rsidRDefault="00B7058F" w:rsidP="00B7058F">
      <w:pPr>
        <w:pStyle w:val="SingleTxtG"/>
        <w:rPr>
          <w:iCs/>
        </w:rPr>
      </w:pPr>
      <w:r>
        <w:rPr>
          <w:i/>
        </w:rPr>
        <w:t xml:space="preserve">Document informel </w:t>
      </w:r>
      <w:r w:rsidRPr="00FC75FF">
        <w:t>:</w:t>
      </w:r>
      <w:r>
        <w:tab/>
      </w:r>
      <w:r>
        <w:tab/>
      </w:r>
      <w:r>
        <w:rPr>
          <w:iCs/>
        </w:rPr>
        <w:t>INF.19 (Allemagne)</w:t>
      </w:r>
    </w:p>
    <w:p w:rsidR="00054577" w:rsidRPr="00002501" w:rsidRDefault="008569B3" w:rsidP="00B7058F">
      <w:pPr>
        <w:pStyle w:val="SingleTxtG"/>
      </w:pPr>
      <w:r>
        <w:rPr>
          <w:iCs/>
        </w:rPr>
        <w:t>19</w:t>
      </w:r>
      <w:r w:rsidR="00B7058F">
        <w:rPr>
          <w:iCs/>
        </w:rPr>
        <w:t>.</w:t>
      </w:r>
      <w:r w:rsidR="00B7058F">
        <w:rPr>
          <w:iCs/>
        </w:rPr>
        <w:tab/>
        <w:t xml:space="preserve">Le Groupe de travail a adopté, pour </w:t>
      </w:r>
      <w:proofErr w:type="spellStart"/>
      <w:r w:rsidR="00B7058F">
        <w:rPr>
          <w:iCs/>
        </w:rPr>
        <w:t>entrée</w:t>
      </w:r>
      <w:proofErr w:type="spellEnd"/>
      <w:r w:rsidR="00B7058F">
        <w:rPr>
          <w:iCs/>
        </w:rPr>
        <w:t xml:space="preserve"> en vigueur au 1</w:t>
      </w:r>
      <w:r w:rsidR="00B7058F" w:rsidRPr="00A613E4">
        <w:rPr>
          <w:iCs/>
        </w:rPr>
        <w:t>er</w:t>
      </w:r>
      <w:r w:rsidR="00B7058F">
        <w:rPr>
          <w:iCs/>
        </w:rPr>
        <w:t xml:space="preserve"> janvier 2019, la proposition de l’Allemagne visant à mettre à jour les références à la norme EN 590 (voir annexe</w:t>
      </w:r>
      <w:r>
        <w:rPr>
          <w:iCs/>
        </w:rPr>
        <w:t xml:space="preserve"> I</w:t>
      </w:r>
      <w:r w:rsidR="00B7058F">
        <w:rPr>
          <w:iCs/>
        </w:rPr>
        <w:t>).</w:t>
      </w:r>
    </w:p>
    <w:p w:rsidR="001D25EA" w:rsidRPr="003659AC" w:rsidRDefault="001D25EA" w:rsidP="001D25EA">
      <w:pPr>
        <w:pStyle w:val="H1G"/>
      </w:pPr>
      <w:r>
        <w:tab/>
        <w:t>E</w:t>
      </w:r>
      <w:r w:rsidRPr="003659AC">
        <w:t>.</w:t>
      </w:r>
      <w:r w:rsidRPr="003659AC">
        <w:tab/>
      </w:r>
      <w:r>
        <w:rPr>
          <w:lang w:val="fr-FR"/>
        </w:rPr>
        <w:t xml:space="preserve">Ligne directrice pour l’application de la norme EN </w:t>
      </w:r>
      <w:proofErr w:type="gramStart"/>
      <w:r>
        <w:rPr>
          <w:lang w:val="fr-FR"/>
        </w:rPr>
        <w:t>13094:</w:t>
      </w:r>
      <w:proofErr w:type="gramEnd"/>
      <w:r>
        <w:rPr>
          <w:lang w:val="fr-FR"/>
        </w:rPr>
        <w:t>2015 afin de respecter les prescriptions de l’ADR</w:t>
      </w:r>
    </w:p>
    <w:p w:rsidR="001D25EA" w:rsidRDefault="001D25EA" w:rsidP="001D25EA">
      <w:pPr>
        <w:pStyle w:val="SingleTxtG"/>
      </w:pPr>
      <w:r>
        <w:rPr>
          <w:i/>
        </w:rPr>
        <w:t xml:space="preserve">Document informel </w:t>
      </w:r>
      <w:r w:rsidRPr="00FC75FF">
        <w:t>:</w:t>
      </w:r>
      <w:r>
        <w:tab/>
      </w:r>
      <w:r>
        <w:tab/>
        <w:t>INF.20 (Secrétariat)</w:t>
      </w:r>
    </w:p>
    <w:p w:rsidR="00E432EC" w:rsidRPr="00B7058F" w:rsidRDefault="008569B3" w:rsidP="00B7058F">
      <w:pPr>
        <w:pStyle w:val="SingleTxtG"/>
        <w:rPr>
          <w:color w:val="000000"/>
        </w:rPr>
      </w:pPr>
      <w:r>
        <w:rPr>
          <w:color w:val="000000"/>
        </w:rPr>
        <w:t>20</w:t>
      </w:r>
      <w:r w:rsidR="001D25EA">
        <w:rPr>
          <w:color w:val="000000"/>
        </w:rPr>
        <w:t>.</w:t>
      </w:r>
      <w:r w:rsidR="001D25EA">
        <w:rPr>
          <w:color w:val="000000"/>
        </w:rPr>
        <w:tab/>
        <w:t>Le Groupe de travail a confirmé que la ligne directrice proposée dans le document informel INF.20 d</w:t>
      </w:r>
      <w:r w:rsidR="009D7804">
        <w:rPr>
          <w:color w:val="000000"/>
        </w:rPr>
        <w:t>o</w:t>
      </w:r>
      <w:r w:rsidR="001D25EA">
        <w:rPr>
          <w:color w:val="000000"/>
        </w:rPr>
        <w:t>it être publiée sur le site internet de la CEE-ONU au plus vite</w:t>
      </w:r>
      <w:r w:rsidR="009D7804">
        <w:rPr>
          <w:color w:val="000000"/>
        </w:rPr>
        <w:t>, telle que modifiée en session</w:t>
      </w:r>
      <w:r w:rsidR="001D25EA">
        <w:rPr>
          <w:color w:val="000000"/>
        </w:rPr>
        <w:t xml:space="preserve"> (voir annexe</w:t>
      </w:r>
      <w:r>
        <w:rPr>
          <w:color w:val="000000"/>
        </w:rPr>
        <w:t xml:space="preserve"> II).</w:t>
      </w:r>
    </w:p>
    <w:p w:rsidR="00B67CD5" w:rsidRDefault="00B67CD5" w:rsidP="00B67CD5">
      <w:pPr>
        <w:pStyle w:val="HChG"/>
      </w:pPr>
      <w:r>
        <w:lastRenderedPageBreak/>
        <w:tab/>
        <w:t>VI.</w:t>
      </w:r>
      <w:r>
        <w:tab/>
      </w:r>
      <w:r w:rsidRPr="00787CF7">
        <w:rPr>
          <w:lang w:val="fr-FR"/>
        </w:rPr>
        <w:t>Propositions d'amendement aux annexes A et B de l'ADR</w:t>
      </w:r>
      <w:r>
        <w:br/>
      </w:r>
      <w:r w:rsidRPr="005B2C1D">
        <w:t xml:space="preserve">(point </w:t>
      </w:r>
      <w:r>
        <w:t>5</w:t>
      </w:r>
      <w:r w:rsidRPr="005B2C1D">
        <w:t xml:space="preserve"> de l</w:t>
      </w:r>
      <w:r>
        <w:t>’</w:t>
      </w:r>
      <w:r w:rsidRPr="005B2C1D">
        <w:t>ordre du jour)</w:t>
      </w:r>
    </w:p>
    <w:p w:rsidR="00D34402" w:rsidRPr="00214393" w:rsidRDefault="00D34402" w:rsidP="00D34402">
      <w:pPr>
        <w:pStyle w:val="H1G"/>
        <w:rPr>
          <w:lang w:val="fr-FR"/>
        </w:rPr>
      </w:pPr>
      <w:r>
        <w:tab/>
        <w:t>A</w:t>
      </w:r>
      <w:r w:rsidRPr="003659AC">
        <w:t>.</w:t>
      </w:r>
      <w:r w:rsidRPr="003659AC">
        <w:tab/>
      </w:r>
      <w:r w:rsidRPr="00214393">
        <w:rPr>
          <w:lang w:val="fr-FR"/>
        </w:rPr>
        <w:t>Construction et agrément des véhicules</w:t>
      </w:r>
    </w:p>
    <w:p w:rsidR="00516A87" w:rsidRPr="003424F2" w:rsidRDefault="00D34402" w:rsidP="00516A87">
      <w:pPr>
        <w:pStyle w:val="H23G"/>
        <w:rPr>
          <w:lang w:val="fr-FR"/>
        </w:rPr>
      </w:pPr>
      <w:r w:rsidRPr="00214393">
        <w:rPr>
          <w:lang w:val="fr-FR"/>
        </w:rPr>
        <w:tab/>
      </w:r>
      <w:r w:rsidR="00516A87" w:rsidRPr="003424F2">
        <w:rPr>
          <w:lang w:val="fr-FR"/>
        </w:rPr>
        <w:t>1.</w:t>
      </w:r>
      <w:r w:rsidR="00516A87" w:rsidRPr="003424F2">
        <w:rPr>
          <w:lang w:val="fr-FR"/>
        </w:rPr>
        <w:tab/>
        <w:t>Groupe de travail informel pour la clarification du 9.3.4.2</w:t>
      </w:r>
    </w:p>
    <w:p w:rsidR="00516A87" w:rsidRPr="003424F2" w:rsidRDefault="00516A87" w:rsidP="00516A87">
      <w:pPr>
        <w:pStyle w:val="SingleTxtG"/>
        <w:keepNext/>
        <w:keepLines/>
        <w:ind w:left="2268" w:hanging="1134"/>
        <w:jc w:val="left"/>
        <w:rPr>
          <w:lang w:val="fr-FR"/>
        </w:rPr>
      </w:pPr>
      <w:r w:rsidRPr="003424F2">
        <w:rPr>
          <w:i/>
          <w:lang w:val="fr-FR"/>
        </w:rPr>
        <w:t>Document informel </w:t>
      </w:r>
      <w:r w:rsidRPr="003424F2">
        <w:rPr>
          <w:lang w:val="fr-FR"/>
        </w:rPr>
        <w:t>:</w:t>
      </w:r>
      <w:r w:rsidRPr="003424F2">
        <w:rPr>
          <w:lang w:val="fr-FR"/>
        </w:rPr>
        <w:tab/>
      </w:r>
      <w:r>
        <w:rPr>
          <w:lang w:val="fr-FR"/>
        </w:rPr>
        <w:tab/>
      </w:r>
      <w:r w:rsidRPr="003424F2">
        <w:rPr>
          <w:lang w:val="fr-FR"/>
        </w:rPr>
        <w:t>INF.4 (Allemagne)</w:t>
      </w:r>
    </w:p>
    <w:p w:rsidR="00516A87" w:rsidRPr="00153063" w:rsidRDefault="00516A87" w:rsidP="00516A87">
      <w:pPr>
        <w:pStyle w:val="SingleTxtG"/>
        <w:rPr>
          <w:lang w:val="fr-FR"/>
        </w:rPr>
      </w:pPr>
      <w:r>
        <w:rPr>
          <w:color w:val="000000"/>
          <w:lang w:val="fr-FR"/>
        </w:rPr>
        <w:t>21.</w:t>
      </w:r>
      <w:r>
        <w:rPr>
          <w:color w:val="000000"/>
          <w:lang w:val="fr-FR"/>
        </w:rPr>
        <w:tab/>
      </w:r>
      <w:r w:rsidRPr="00153063">
        <w:rPr>
          <w:lang w:val="fr-FR"/>
        </w:rPr>
        <w:t xml:space="preserve">Le groupe de travail informel </w:t>
      </w:r>
      <w:r>
        <w:rPr>
          <w:lang w:val="fr-FR"/>
        </w:rPr>
        <w:t xml:space="preserve">pour la clarification du 9.3.4.2 </w:t>
      </w:r>
      <w:r w:rsidRPr="00153063">
        <w:rPr>
          <w:lang w:val="fr-FR"/>
        </w:rPr>
        <w:t>s’est réuni les 10</w:t>
      </w:r>
      <w:r>
        <w:rPr>
          <w:lang w:val="fr-FR"/>
        </w:rPr>
        <w:t xml:space="preserve"> et </w:t>
      </w:r>
      <w:r w:rsidRPr="00153063">
        <w:rPr>
          <w:lang w:val="fr-FR"/>
        </w:rPr>
        <w:t>11 janvier 2018 suivant le mandat donné par le Groupe de travail (voir ECE/TRANS/WP.15/239, paragraphe 43).</w:t>
      </w:r>
    </w:p>
    <w:p w:rsidR="00516A87" w:rsidRPr="004B3B9A" w:rsidRDefault="00516A87" w:rsidP="00516A87">
      <w:pPr>
        <w:pStyle w:val="SingleTxtG"/>
        <w:rPr>
          <w:color w:val="000000"/>
          <w:lang w:val="fr-FR"/>
        </w:rPr>
      </w:pPr>
      <w:r w:rsidRPr="004B3B9A">
        <w:rPr>
          <w:color w:val="000000"/>
          <w:lang w:val="fr-FR"/>
        </w:rPr>
        <w:t>2</w:t>
      </w:r>
      <w:r>
        <w:rPr>
          <w:color w:val="000000"/>
          <w:lang w:val="fr-FR"/>
        </w:rPr>
        <w:t>2</w:t>
      </w:r>
      <w:r w:rsidR="00E157A7">
        <w:rPr>
          <w:color w:val="000000"/>
          <w:lang w:val="fr-FR"/>
        </w:rPr>
        <w:t>.</w:t>
      </w:r>
      <w:r w:rsidRPr="004B3B9A">
        <w:rPr>
          <w:color w:val="000000"/>
          <w:lang w:val="fr-FR"/>
        </w:rPr>
        <w:tab/>
        <w:t xml:space="preserve">Le groupe de travail informel s’est fixé </w:t>
      </w:r>
      <w:r>
        <w:rPr>
          <w:color w:val="000000"/>
          <w:lang w:val="fr-FR"/>
        </w:rPr>
        <w:t xml:space="preserve">pour objectif </w:t>
      </w:r>
      <w:r w:rsidRPr="004B3B9A">
        <w:rPr>
          <w:color w:val="000000"/>
          <w:lang w:val="fr-FR"/>
        </w:rPr>
        <w:t>de </w:t>
      </w:r>
      <w:r>
        <w:rPr>
          <w:color w:val="000000"/>
          <w:lang w:val="fr-FR"/>
        </w:rPr>
        <w:t>r</w:t>
      </w:r>
      <w:r w:rsidRPr="004B3B9A">
        <w:rPr>
          <w:color w:val="000000"/>
          <w:lang w:val="fr-FR"/>
        </w:rPr>
        <w:t xml:space="preserve">efléter des objectifs de sécurité dans l’ADR, et </w:t>
      </w:r>
      <w:r>
        <w:rPr>
          <w:color w:val="000000"/>
          <w:lang w:val="fr-FR"/>
        </w:rPr>
        <w:t xml:space="preserve">de les </w:t>
      </w:r>
      <w:r w:rsidRPr="004B3B9A">
        <w:rPr>
          <w:color w:val="000000"/>
          <w:lang w:val="fr-FR"/>
        </w:rPr>
        <w:t>formuler de manière à garantir qu’ils soient atteints sans interdire d’éventuelles solutions alternatives qui pourraient résulter du progrès technique.</w:t>
      </w:r>
    </w:p>
    <w:p w:rsidR="00516A87" w:rsidRPr="004B3B9A" w:rsidRDefault="00E157A7" w:rsidP="00516A87">
      <w:pPr>
        <w:pStyle w:val="SingleTxtG"/>
        <w:rPr>
          <w:color w:val="000000"/>
          <w:lang w:val="fr-FR"/>
        </w:rPr>
      </w:pPr>
      <w:r>
        <w:rPr>
          <w:color w:val="000000"/>
          <w:lang w:val="fr-FR"/>
        </w:rPr>
        <w:t>23.</w:t>
      </w:r>
      <w:r w:rsidR="00516A87">
        <w:rPr>
          <w:color w:val="000000"/>
          <w:lang w:val="fr-FR"/>
        </w:rPr>
        <w:tab/>
      </w:r>
      <w:r w:rsidR="00516A87" w:rsidRPr="004B3B9A">
        <w:rPr>
          <w:color w:val="000000"/>
          <w:lang w:val="fr-FR"/>
        </w:rPr>
        <w:t xml:space="preserve">Le Groupe de travail a remercié le groupe de travail informel pour les progrès réalisés </w:t>
      </w:r>
      <w:r w:rsidR="009D7804">
        <w:rPr>
          <w:color w:val="000000"/>
          <w:lang w:val="fr-FR"/>
        </w:rPr>
        <w:t>et l’a invité à</w:t>
      </w:r>
      <w:r w:rsidR="00516A87" w:rsidRPr="004B3B9A">
        <w:rPr>
          <w:color w:val="000000"/>
          <w:lang w:val="fr-FR"/>
        </w:rPr>
        <w:t xml:space="preserve"> poursuivre ses travaux. Le gro</w:t>
      </w:r>
      <w:r w:rsidR="009D7804">
        <w:rPr>
          <w:color w:val="000000"/>
          <w:lang w:val="fr-FR"/>
        </w:rPr>
        <w:t xml:space="preserve">upe de travail informel pourra </w:t>
      </w:r>
      <w:r w:rsidR="00516A87" w:rsidRPr="004B3B9A">
        <w:rPr>
          <w:color w:val="000000"/>
          <w:lang w:val="fr-FR"/>
        </w:rPr>
        <w:t xml:space="preserve">étendre ses travaux aux conditions applicables aux compartiments spéciaux des </w:t>
      </w:r>
      <w:proofErr w:type="spellStart"/>
      <w:r w:rsidR="00516A87" w:rsidRPr="004B3B9A">
        <w:rPr>
          <w:color w:val="000000"/>
          <w:lang w:val="fr-FR"/>
        </w:rPr>
        <w:t>MEMUs</w:t>
      </w:r>
      <w:proofErr w:type="spellEnd"/>
      <w:r w:rsidR="00516A87" w:rsidRPr="004B3B9A">
        <w:rPr>
          <w:color w:val="000000"/>
          <w:lang w:val="fr-FR"/>
        </w:rPr>
        <w:t xml:space="preserve"> pour le transport des explosifs</w:t>
      </w:r>
      <w:r w:rsidR="009D7804">
        <w:rPr>
          <w:color w:val="000000"/>
          <w:lang w:val="fr-FR"/>
        </w:rPr>
        <w:t xml:space="preserve"> </w:t>
      </w:r>
      <w:r w:rsidR="009D7804" w:rsidRPr="004B3B9A">
        <w:rPr>
          <w:color w:val="000000"/>
          <w:lang w:val="fr-FR"/>
        </w:rPr>
        <w:t>s’il reçoi</w:t>
      </w:r>
      <w:r w:rsidR="009D7804">
        <w:rPr>
          <w:color w:val="000000"/>
          <w:lang w:val="fr-FR"/>
        </w:rPr>
        <w:t>t des propositions sur ce sujet</w:t>
      </w:r>
      <w:r w:rsidR="00516A87" w:rsidRPr="004B3B9A">
        <w:rPr>
          <w:color w:val="000000"/>
          <w:lang w:val="fr-FR"/>
        </w:rPr>
        <w:t>.</w:t>
      </w:r>
    </w:p>
    <w:p w:rsidR="00516A87" w:rsidRDefault="00E157A7" w:rsidP="00516A87">
      <w:pPr>
        <w:pStyle w:val="SingleTxtG"/>
        <w:rPr>
          <w:color w:val="000000"/>
          <w:lang w:val="fr-FR"/>
        </w:rPr>
      </w:pPr>
      <w:r>
        <w:rPr>
          <w:color w:val="000000"/>
          <w:lang w:val="fr-FR"/>
        </w:rPr>
        <w:t>24.</w:t>
      </w:r>
      <w:r w:rsidR="00516A87">
        <w:rPr>
          <w:color w:val="000000"/>
          <w:lang w:val="fr-FR"/>
        </w:rPr>
        <w:tab/>
        <w:t xml:space="preserve">La représentante de l’Allemagne a remercié les </w:t>
      </w:r>
      <w:r w:rsidR="007C4E5F">
        <w:rPr>
          <w:color w:val="000000"/>
          <w:lang w:val="fr-FR"/>
        </w:rPr>
        <w:t>délégations</w:t>
      </w:r>
      <w:r w:rsidR="00516A87">
        <w:rPr>
          <w:color w:val="000000"/>
          <w:lang w:val="fr-FR"/>
        </w:rPr>
        <w:t xml:space="preserve"> ayant participé aux travaux du groupe informel et a invité les pays qui souhaitent rejoindre le groupe à participer aux travaux de la prochaine réunion.</w:t>
      </w:r>
    </w:p>
    <w:p w:rsidR="00516A87" w:rsidRPr="004B3B9A" w:rsidRDefault="00E157A7" w:rsidP="00516A87">
      <w:pPr>
        <w:pStyle w:val="SingleTxtG"/>
        <w:rPr>
          <w:color w:val="000000"/>
          <w:lang w:val="fr-FR"/>
        </w:rPr>
      </w:pPr>
      <w:r>
        <w:rPr>
          <w:color w:val="000000"/>
          <w:lang w:val="fr-FR"/>
        </w:rPr>
        <w:t>25.</w:t>
      </w:r>
      <w:r w:rsidR="00516A87">
        <w:rPr>
          <w:color w:val="000000"/>
          <w:lang w:val="fr-FR"/>
        </w:rPr>
        <w:tab/>
      </w:r>
      <w:r w:rsidR="00516A87" w:rsidRPr="004B3B9A">
        <w:rPr>
          <w:color w:val="000000"/>
          <w:lang w:val="fr-FR"/>
        </w:rPr>
        <w:t>Le groupe de travail i</w:t>
      </w:r>
      <w:r w:rsidR="00516A87">
        <w:rPr>
          <w:color w:val="000000"/>
          <w:lang w:val="fr-FR"/>
        </w:rPr>
        <w:t>nformel se réunira à nouveau les</w:t>
      </w:r>
      <w:r w:rsidR="00516A87" w:rsidRPr="004B3B9A">
        <w:rPr>
          <w:color w:val="000000"/>
          <w:lang w:val="fr-FR"/>
        </w:rPr>
        <w:t xml:space="preserve"> 1</w:t>
      </w:r>
      <w:r w:rsidR="00516A87">
        <w:rPr>
          <w:color w:val="000000"/>
          <w:lang w:val="fr-FR"/>
        </w:rPr>
        <w:t xml:space="preserve"> et </w:t>
      </w:r>
      <w:r w:rsidR="00516A87" w:rsidRPr="004B3B9A">
        <w:rPr>
          <w:color w:val="000000"/>
          <w:lang w:val="fr-FR"/>
        </w:rPr>
        <w:t>2 octobre 2018 à Bonn.</w:t>
      </w:r>
    </w:p>
    <w:p w:rsidR="00516A87" w:rsidRPr="00512561" w:rsidRDefault="00516A87" w:rsidP="00516A87">
      <w:pPr>
        <w:pStyle w:val="H23G"/>
        <w:rPr>
          <w:lang w:val="fr-FR"/>
        </w:rPr>
      </w:pPr>
      <w:r w:rsidRPr="00153063">
        <w:rPr>
          <w:lang w:val="fr-FR"/>
        </w:rPr>
        <w:tab/>
        <w:t>2.</w:t>
      </w:r>
      <w:r w:rsidRPr="00153063">
        <w:rPr>
          <w:lang w:val="fr-FR"/>
        </w:rPr>
        <w:tab/>
        <w:t>Fonction de limitation de vitesse (FLV)</w:t>
      </w:r>
    </w:p>
    <w:p w:rsidR="00516A87" w:rsidRPr="003424F2" w:rsidRDefault="00516A87" w:rsidP="00516A87">
      <w:pPr>
        <w:pStyle w:val="SingleTxtG"/>
        <w:keepNext/>
        <w:keepLines/>
        <w:ind w:left="2268" w:hanging="1134"/>
        <w:jc w:val="left"/>
        <w:rPr>
          <w:lang w:val="fr-FR"/>
        </w:rPr>
      </w:pPr>
      <w:r w:rsidRPr="003424F2">
        <w:rPr>
          <w:i/>
          <w:lang w:val="fr-FR"/>
        </w:rPr>
        <w:t>Document informel </w:t>
      </w:r>
      <w:r w:rsidRPr="003424F2">
        <w:rPr>
          <w:lang w:val="fr-FR"/>
        </w:rPr>
        <w:t>:</w:t>
      </w:r>
      <w:r w:rsidRPr="003424F2">
        <w:rPr>
          <w:lang w:val="fr-FR"/>
        </w:rPr>
        <w:tab/>
      </w:r>
      <w:r>
        <w:rPr>
          <w:lang w:val="fr-FR"/>
        </w:rPr>
        <w:tab/>
      </w:r>
      <w:r w:rsidRPr="003424F2">
        <w:rPr>
          <w:lang w:val="fr-FR"/>
        </w:rPr>
        <w:t>INF.</w:t>
      </w:r>
      <w:r>
        <w:rPr>
          <w:lang w:val="fr-FR"/>
        </w:rPr>
        <w:t>10</w:t>
      </w:r>
      <w:r w:rsidRPr="003424F2">
        <w:rPr>
          <w:lang w:val="fr-FR"/>
        </w:rPr>
        <w:t xml:space="preserve"> (</w:t>
      </w:r>
      <w:r>
        <w:rPr>
          <w:lang w:val="fr-FR"/>
        </w:rPr>
        <w:t>Fédération de Russie</w:t>
      </w:r>
      <w:r w:rsidRPr="003424F2">
        <w:rPr>
          <w:lang w:val="fr-FR"/>
        </w:rPr>
        <w:t>)</w:t>
      </w:r>
    </w:p>
    <w:p w:rsidR="00516A87" w:rsidRDefault="00516A87" w:rsidP="00516A87">
      <w:pPr>
        <w:pStyle w:val="SingleTxtG"/>
        <w:rPr>
          <w:lang w:val="fr-FR"/>
        </w:rPr>
      </w:pPr>
      <w:r>
        <w:rPr>
          <w:color w:val="000000"/>
          <w:lang w:val="fr-FR"/>
        </w:rPr>
        <w:t>26.</w:t>
      </w:r>
      <w:r>
        <w:rPr>
          <w:color w:val="000000"/>
          <w:lang w:val="fr-FR"/>
        </w:rPr>
        <w:tab/>
      </w:r>
      <w:r w:rsidRPr="00153063">
        <w:rPr>
          <w:lang w:val="fr-FR"/>
        </w:rPr>
        <w:t>Le Groupe de travail a noté que le Groupe de travail en matière de roulement et de freinage du Forum mondial de l’harmonisation des Règlements concernant les véhicules (WP.29) a confirmé qu’un véhicule doté d’une fonction de limitation de vitesse (FLV) pouvait être considéré comme répondant au 9.2.5</w:t>
      </w:r>
      <w:r>
        <w:rPr>
          <w:lang w:val="fr-FR"/>
        </w:rPr>
        <w:t xml:space="preserve"> de l’ADR</w:t>
      </w:r>
      <w:r w:rsidRPr="00153063">
        <w:rPr>
          <w:lang w:val="fr-FR"/>
        </w:rPr>
        <w:t xml:space="preserve"> (voir ECE/TRANS/WP.29/GRRF/86, paragraphe 57).</w:t>
      </w:r>
    </w:p>
    <w:p w:rsidR="00343240" w:rsidRDefault="009124D6" w:rsidP="00516A87">
      <w:pPr>
        <w:pStyle w:val="SingleTxtG"/>
        <w:rPr>
          <w:lang w:val="fr-FR"/>
        </w:rPr>
      </w:pPr>
      <w:r>
        <w:rPr>
          <w:lang w:val="fr-FR"/>
        </w:rPr>
        <w:t>27</w:t>
      </w:r>
      <w:r w:rsidR="00E157A7">
        <w:rPr>
          <w:lang w:val="fr-FR"/>
        </w:rPr>
        <w:t>.</w:t>
      </w:r>
      <w:r w:rsidRPr="00CD4D2E">
        <w:rPr>
          <w:lang w:val="fr-FR"/>
        </w:rPr>
        <w:tab/>
        <w:t>Le représentant de la Roumanie a souligné que les termes « compte tenu de la tolérance technique du dispositif » figurant à la fin du paragraphe 9.2.5 provenait de la directive 92/6/CEE. La directive 2002/85/CE modifiant la directive 92/6/CEE ne comporte plus ces termes et il conviendrait de les supprimer. Le Groupe de travail a adopté cette suppression.</w:t>
      </w:r>
    </w:p>
    <w:p w:rsidR="00BB6B82" w:rsidRDefault="009124D6" w:rsidP="00BB0394">
      <w:pPr>
        <w:pStyle w:val="SingleTxtG"/>
        <w:rPr>
          <w:lang w:val="fr-FR"/>
        </w:rPr>
      </w:pPr>
      <w:bookmarkStart w:id="2" w:name="_Hlk515364640"/>
      <w:r>
        <w:rPr>
          <w:lang w:val="fr-FR"/>
        </w:rPr>
        <w:t>28</w:t>
      </w:r>
      <w:r w:rsidR="00E157A7">
        <w:rPr>
          <w:lang w:val="fr-FR"/>
        </w:rPr>
        <w:t>.</w:t>
      </w:r>
      <w:r w:rsidR="00BB6B82">
        <w:rPr>
          <w:lang w:val="fr-FR"/>
        </w:rPr>
        <w:tab/>
      </w:r>
      <w:r w:rsidR="00BB6B82" w:rsidRPr="00153063">
        <w:rPr>
          <w:lang w:val="fr-FR"/>
        </w:rPr>
        <w:t xml:space="preserve">Le Groupe de travail a adopté, telle que modifiée en session, la proposition </w:t>
      </w:r>
      <w:r w:rsidR="00BB6B82">
        <w:rPr>
          <w:lang w:val="fr-FR"/>
        </w:rPr>
        <w:t xml:space="preserve">d’amendement du 9.2.5 </w:t>
      </w:r>
      <w:r w:rsidR="00BB6B82" w:rsidRPr="00153063">
        <w:rPr>
          <w:lang w:val="fr-FR"/>
        </w:rPr>
        <w:t xml:space="preserve">de </w:t>
      </w:r>
      <w:r w:rsidR="00BB6B82">
        <w:rPr>
          <w:lang w:val="fr-FR"/>
        </w:rPr>
        <w:t>la Fédération de Russie</w:t>
      </w:r>
      <w:r w:rsidR="00BB6B82" w:rsidRPr="00153063">
        <w:rPr>
          <w:lang w:val="fr-FR"/>
        </w:rPr>
        <w:t xml:space="preserve"> </w:t>
      </w:r>
      <w:r w:rsidR="00BB6B82">
        <w:rPr>
          <w:lang w:val="fr-FR"/>
        </w:rPr>
        <w:t xml:space="preserve">pour </w:t>
      </w:r>
      <w:proofErr w:type="spellStart"/>
      <w:r w:rsidR="00BB6B82">
        <w:rPr>
          <w:lang w:val="fr-FR"/>
        </w:rPr>
        <w:t>entrée</w:t>
      </w:r>
      <w:proofErr w:type="spellEnd"/>
      <w:r w:rsidR="00BB6B82">
        <w:rPr>
          <w:lang w:val="fr-FR"/>
        </w:rPr>
        <w:t xml:space="preserve"> en vigueur le 1</w:t>
      </w:r>
      <w:r>
        <w:rPr>
          <w:lang w:val="fr-FR"/>
        </w:rPr>
        <w:t>er</w:t>
      </w:r>
      <w:r w:rsidR="00BB6B82">
        <w:rPr>
          <w:lang w:val="fr-FR"/>
        </w:rPr>
        <w:t xml:space="preserve"> janvier 2019 </w:t>
      </w:r>
      <w:r w:rsidR="00BB6B82" w:rsidRPr="00153063">
        <w:rPr>
          <w:lang w:val="fr-FR"/>
        </w:rPr>
        <w:t>(voir annexe</w:t>
      </w:r>
      <w:r>
        <w:rPr>
          <w:lang w:val="fr-FR"/>
        </w:rPr>
        <w:t xml:space="preserve"> I</w:t>
      </w:r>
      <w:r w:rsidR="00BB6B82" w:rsidRPr="00153063">
        <w:rPr>
          <w:lang w:val="fr-FR"/>
        </w:rPr>
        <w:t>).</w:t>
      </w:r>
      <w:bookmarkEnd w:id="2"/>
    </w:p>
    <w:p w:rsidR="00C81426" w:rsidRDefault="00C81426" w:rsidP="00C81426">
      <w:pPr>
        <w:pStyle w:val="H23G"/>
        <w:rPr>
          <w:lang w:val="fr-FR"/>
        </w:rPr>
      </w:pPr>
      <w:r>
        <w:rPr>
          <w:lang w:val="fr-FR"/>
        </w:rPr>
        <w:tab/>
      </w:r>
      <w:r w:rsidRPr="00153063">
        <w:rPr>
          <w:lang w:val="fr-FR"/>
        </w:rPr>
        <w:t>3.</w:t>
      </w:r>
      <w:r w:rsidRPr="00153063">
        <w:rPr>
          <w:lang w:val="fr-FR"/>
        </w:rPr>
        <w:tab/>
        <w:t>Dispense de première visite technique pour les véhicules EX/II, EX/III, FL et AT et les MEMU homologués conformément au paragraphe 9.1.2.2 et pour lesquels une déclaration de conformité aux prescriptions du chapitre 9.2 a été délivrée</w:t>
      </w:r>
    </w:p>
    <w:p w:rsidR="00082578" w:rsidRPr="003424F2" w:rsidRDefault="00082578" w:rsidP="00082578">
      <w:pPr>
        <w:pStyle w:val="SingleTxtG"/>
        <w:keepNext/>
        <w:keepLines/>
        <w:ind w:left="2268" w:hanging="1134"/>
        <w:jc w:val="left"/>
        <w:rPr>
          <w:lang w:val="fr-FR"/>
        </w:rPr>
      </w:pPr>
      <w:r w:rsidRPr="003424F2">
        <w:rPr>
          <w:i/>
          <w:lang w:val="fr-FR"/>
        </w:rPr>
        <w:t>Document informel </w:t>
      </w:r>
      <w:r w:rsidRPr="003424F2">
        <w:rPr>
          <w:lang w:val="fr-FR"/>
        </w:rPr>
        <w:t>:</w:t>
      </w:r>
      <w:r w:rsidRPr="003424F2">
        <w:rPr>
          <w:lang w:val="fr-FR"/>
        </w:rPr>
        <w:tab/>
      </w:r>
      <w:r w:rsidRPr="003424F2">
        <w:rPr>
          <w:lang w:val="fr-FR"/>
        </w:rPr>
        <w:tab/>
        <w:t>INF.</w:t>
      </w:r>
      <w:r>
        <w:rPr>
          <w:lang w:val="fr-FR"/>
        </w:rPr>
        <w:t>27</w:t>
      </w:r>
      <w:r w:rsidRPr="003424F2">
        <w:rPr>
          <w:lang w:val="fr-FR"/>
        </w:rPr>
        <w:t xml:space="preserve"> (</w:t>
      </w:r>
      <w:r>
        <w:rPr>
          <w:lang w:val="fr-FR"/>
        </w:rPr>
        <w:t>Royaume</w:t>
      </w:r>
      <w:r w:rsidR="00BB0394">
        <w:rPr>
          <w:lang w:val="fr-FR"/>
        </w:rPr>
        <w:t>-</w:t>
      </w:r>
      <w:r>
        <w:rPr>
          <w:lang w:val="fr-FR"/>
        </w:rPr>
        <w:t>Uni</w:t>
      </w:r>
      <w:r w:rsidRPr="003424F2">
        <w:rPr>
          <w:lang w:val="fr-FR"/>
        </w:rPr>
        <w:t>)</w:t>
      </w:r>
    </w:p>
    <w:p w:rsidR="00082578" w:rsidRPr="00082578" w:rsidRDefault="00082578" w:rsidP="00082578">
      <w:pPr>
        <w:pStyle w:val="SingleTxtG"/>
        <w:rPr>
          <w:lang w:val="fr-FR"/>
        </w:rPr>
      </w:pPr>
      <w:r>
        <w:rPr>
          <w:lang w:val="fr-FR"/>
        </w:rPr>
        <w:t>29</w:t>
      </w:r>
      <w:r w:rsidRPr="00113B2B">
        <w:rPr>
          <w:lang w:val="fr-FR"/>
        </w:rPr>
        <w:t>.</w:t>
      </w:r>
      <w:r w:rsidRPr="00113B2B">
        <w:rPr>
          <w:lang w:val="fr-FR"/>
        </w:rPr>
        <w:tab/>
      </w:r>
      <w:r>
        <w:rPr>
          <w:lang w:val="fr-FR"/>
        </w:rPr>
        <w:t>Le représentant du Royaume</w:t>
      </w:r>
      <w:r w:rsidR="00BB0394">
        <w:rPr>
          <w:lang w:val="fr-FR"/>
        </w:rPr>
        <w:t>-</w:t>
      </w:r>
      <w:r>
        <w:rPr>
          <w:lang w:val="fr-FR"/>
        </w:rPr>
        <w:t xml:space="preserve">Uni a informé le Groupe de travail que le retour d’expérience était positif pour les tests menés dans son pays </w:t>
      </w:r>
      <w:r>
        <w:t xml:space="preserve">un an après la mise en service des véhicules </w:t>
      </w:r>
      <w:r>
        <w:rPr>
          <w:lang w:val="fr-FR"/>
        </w:rPr>
        <w:t xml:space="preserve">en rapport avec la dispense de la première visite technique pour les véhicules EX/II, EX/III, FL et AT et les </w:t>
      </w:r>
      <w:proofErr w:type="spellStart"/>
      <w:r>
        <w:rPr>
          <w:lang w:val="fr-FR"/>
        </w:rPr>
        <w:t>MEMUs</w:t>
      </w:r>
      <w:proofErr w:type="spellEnd"/>
      <w:r>
        <w:rPr>
          <w:lang w:val="fr-FR"/>
        </w:rPr>
        <w:t xml:space="preserve"> homologués conformément au paragraphe 9.1.2.2 et </w:t>
      </w:r>
      <w:r>
        <w:rPr>
          <w:lang w:val="fr-FR"/>
        </w:rPr>
        <w:lastRenderedPageBreak/>
        <w:t>pour lesquels une déclaration de conformité aux prescriptions du chapitre 9.2 a été délivrée. Il a souhaité différer les discussions relatives à ce sujet afin de permettre au Royaume</w:t>
      </w:r>
      <w:r w:rsidR="00BB0394">
        <w:rPr>
          <w:lang w:val="fr-FR"/>
        </w:rPr>
        <w:t>-</w:t>
      </w:r>
      <w:r>
        <w:rPr>
          <w:lang w:val="fr-FR"/>
        </w:rPr>
        <w:t>Uni de présenter un document détaillant les résultats des tests lors de la prochaine session.</w:t>
      </w:r>
    </w:p>
    <w:p w:rsidR="00C81426" w:rsidRPr="00153063" w:rsidRDefault="00C81426" w:rsidP="00C81426">
      <w:pPr>
        <w:pStyle w:val="H1G"/>
        <w:rPr>
          <w:lang w:val="fr-FR"/>
        </w:rPr>
      </w:pPr>
      <w:r>
        <w:rPr>
          <w:lang w:val="fr-FR"/>
        </w:rPr>
        <w:tab/>
      </w:r>
      <w:r w:rsidRPr="00153063">
        <w:rPr>
          <w:lang w:val="fr-FR"/>
        </w:rPr>
        <w:t>B.</w:t>
      </w:r>
      <w:r w:rsidRPr="00153063">
        <w:rPr>
          <w:lang w:val="fr-FR"/>
        </w:rPr>
        <w:tab/>
        <w:t>Propositions diverses</w:t>
      </w:r>
    </w:p>
    <w:p w:rsidR="00C81426" w:rsidRPr="00BB0394" w:rsidRDefault="00BB0394" w:rsidP="00BB0394">
      <w:pPr>
        <w:pStyle w:val="H23G"/>
        <w:rPr>
          <w:lang w:val="fr-FR"/>
        </w:rPr>
      </w:pPr>
      <w:r>
        <w:rPr>
          <w:lang w:val="fr-FR"/>
        </w:rPr>
        <w:tab/>
      </w:r>
      <w:r w:rsidR="00E157A7">
        <w:rPr>
          <w:lang w:val="fr-FR"/>
        </w:rPr>
        <w:t>1.</w:t>
      </w:r>
      <w:r w:rsidR="00C81426" w:rsidRPr="00BB0394">
        <w:rPr>
          <w:lang w:val="fr-FR"/>
        </w:rPr>
        <w:tab/>
        <w:t>Alignement de la terminologie utilisée pour les paragraphes 2.2.61.1.4 et 2.2.8.1.3 dans la version française</w:t>
      </w:r>
    </w:p>
    <w:p w:rsidR="00C81426" w:rsidRPr="003424F2" w:rsidRDefault="00C81426" w:rsidP="00C81426">
      <w:pPr>
        <w:pStyle w:val="SingleTxtG"/>
        <w:keepNext/>
        <w:keepLines/>
        <w:ind w:left="2268" w:hanging="1134"/>
        <w:jc w:val="left"/>
        <w:rPr>
          <w:lang w:val="fr-FR"/>
        </w:rPr>
      </w:pPr>
      <w:r w:rsidRPr="003424F2">
        <w:rPr>
          <w:i/>
          <w:lang w:val="fr-FR"/>
        </w:rPr>
        <w:t>Document informel </w:t>
      </w:r>
      <w:r w:rsidRPr="003424F2">
        <w:rPr>
          <w:lang w:val="fr-FR"/>
        </w:rPr>
        <w:t>:</w:t>
      </w:r>
      <w:r w:rsidRPr="003424F2">
        <w:rPr>
          <w:lang w:val="fr-FR"/>
        </w:rPr>
        <w:tab/>
      </w:r>
      <w:r w:rsidRPr="003424F2">
        <w:rPr>
          <w:lang w:val="fr-FR"/>
        </w:rPr>
        <w:tab/>
        <w:t>INF.</w:t>
      </w:r>
      <w:r>
        <w:rPr>
          <w:lang w:val="fr-FR"/>
        </w:rPr>
        <w:t>21</w:t>
      </w:r>
      <w:r w:rsidRPr="003424F2">
        <w:rPr>
          <w:lang w:val="fr-FR"/>
        </w:rPr>
        <w:t xml:space="preserve"> (</w:t>
      </w:r>
      <w:r>
        <w:rPr>
          <w:lang w:val="fr-FR"/>
        </w:rPr>
        <w:t>Belgique</w:t>
      </w:r>
      <w:r w:rsidRPr="003424F2">
        <w:rPr>
          <w:lang w:val="fr-FR"/>
        </w:rPr>
        <w:t>)</w:t>
      </w:r>
    </w:p>
    <w:p w:rsidR="00C81426" w:rsidRPr="00153063" w:rsidRDefault="00C81426" w:rsidP="00C81426">
      <w:pPr>
        <w:pStyle w:val="SingleTxtG"/>
        <w:rPr>
          <w:lang w:val="fr-FR"/>
        </w:rPr>
      </w:pPr>
      <w:r>
        <w:rPr>
          <w:color w:val="000000"/>
          <w:lang w:val="fr-FR"/>
        </w:rPr>
        <w:t>30.</w:t>
      </w:r>
      <w:r>
        <w:rPr>
          <w:color w:val="000000"/>
          <w:lang w:val="fr-FR"/>
        </w:rPr>
        <w:tab/>
        <w:t xml:space="preserve">Le Groupe de travail a adopté les </w:t>
      </w:r>
      <w:r w:rsidR="00BB0394">
        <w:rPr>
          <w:lang w:val="fr-FR"/>
        </w:rPr>
        <w:t>modifications</w:t>
      </w:r>
      <w:r>
        <w:rPr>
          <w:lang w:val="fr-FR"/>
        </w:rPr>
        <w:t>, proposées par la Belgique, visant à aligner</w:t>
      </w:r>
      <w:r w:rsidRPr="00153063">
        <w:rPr>
          <w:lang w:val="fr-FR"/>
        </w:rPr>
        <w:t xml:space="preserve"> </w:t>
      </w:r>
      <w:r>
        <w:rPr>
          <w:lang w:val="fr-FR"/>
        </w:rPr>
        <w:t>la terminologie du texte français des paragraphes 4.3.2.2.1 c) et 5.3.2.3.2 au texte des paragraphes 2.2.61.1.4 et 2.2.8.1.3 existants</w:t>
      </w:r>
      <w:r w:rsidR="00491DEA">
        <w:rPr>
          <w:lang w:val="fr-FR"/>
        </w:rPr>
        <w:t xml:space="preserve"> (voir annexe I)</w:t>
      </w:r>
      <w:r>
        <w:rPr>
          <w:lang w:val="fr-FR"/>
        </w:rPr>
        <w:t xml:space="preserve">. Le groupe de travail a pris note que ces </w:t>
      </w:r>
      <w:r w:rsidR="00491DEA">
        <w:rPr>
          <w:lang w:val="fr-FR"/>
        </w:rPr>
        <w:t>modifications</w:t>
      </w:r>
      <w:r>
        <w:rPr>
          <w:lang w:val="fr-FR"/>
        </w:rPr>
        <w:t xml:space="preserve"> s’appliquent également au RID et à l’ADN. </w:t>
      </w:r>
    </w:p>
    <w:p w:rsidR="00881D68" w:rsidRDefault="00881D68" w:rsidP="00491DEA">
      <w:pPr>
        <w:pStyle w:val="H23G"/>
        <w:rPr>
          <w:lang w:val="fr-FR"/>
        </w:rPr>
      </w:pPr>
      <w:r>
        <w:rPr>
          <w:lang w:val="fr-FR"/>
        </w:rPr>
        <w:tab/>
        <w:t>2.</w:t>
      </w:r>
      <w:r>
        <w:rPr>
          <w:lang w:val="fr-FR"/>
        </w:rPr>
        <w:tab/>
      </w:r>
      <w:r w:rsidR="00AA49FD">
        <w:rPr>
          <w:lang w:val="fr-FR"/>
        </w:rPr>
        <w:t xml:space="preserve">Paragraphe </w:t>
      </w:r>
      <w:r>
        <w:rPr>
          <w:lang w:val="fr-FR"/>
        </w:rPr>
        <w:t>5.3.2.1.6</w:t>
      </w:r>
    </w:p>
    <w:p w:rsidR="00881D68" w:rsidRDefault="00881D68" w:rsidP="00881D68">
      <w:pPr>
        <w:pStyle w:val="SingleTxtG"/>
        <w:keepNext/>
        <w:keepLines/>
        <w:ind w:left="2268" w:hanging="1134"/>
        <w:jc w:val="left"/>
        <w:rPr>
          <w:lang w:val="fr-FR"/>
        </w:rPr>
      </w:pPr>
      <w:r w:rsidRPr="003424F2">
        <w:rPr>
          <w:i/>
          <w:lang w:val="fr-FR"/>
        </w:rPr>
        <w:t>Document</w:t>
      </w:r>
      <w:r>
        <w:rPr>
          <w:i/>
          <w:lang w:val="fr-FR"/>
        </w:rPr>
        <w:t xml:space="preserve"> </w:t>
      </w:r>
      <w:r w:rsidRPr="003424F2">
        <w:rPr>
          <w:lang w:val="fr-FR"/>
        </w:rPr>
        <w:t>:</w:t>
      </w:r>
      <w:r w:rsidR="009124D6">
        <w:rPr>
          <w:lang w:val="fr-FR"/>
        </w:rPr>
        <w:tab/>
      </w:r>
      <w:r w:rsidRPr="003424F2">
        <w:rPr>
          <w:lang w:val="fr-FR"/>
        </w:rPr>
        <w:tab/>
      </w:r>
      <w:r w:rsidR="009124D6">
        <w:rPr>
          <w:lang w:val="fr-FR"/>
        </w:rPr>
        <w:tab/>
      </w:r>
      <w:r>
        <w:rPr>
          <w:lang w:val="fr-FR"/>
        </w:rPr>
        <w:t>ECE/TRANS/WP.15/237, Annex I</w:t>
      </w:r>
    </w:p>
    <w:p w:rsidR="00881D68" w:rsidRPr="00153063" w:rsidRDefault="00881D68" w:rsidP="00881D68">
      <w:pPr>
        <w:pStyle w:val="SingleTxtG"/>
        <w:rPr>
          <w:lang w:val="fr-FR"/>
        </w:rPr>
      </w:pPr>
      <w:r>
        <w:rPr>
          <w:color w:val="000000"/>
          <w:lang w:val="fr-FR"/>
        </w:rPr>
        <w:t>31.</w:t>
      </w:r>
      <w:r>
        <w:rPr>
          <w:color w:val="000000"/>
          <w:lang w:val="fr-FR"/>
        </w:rPr>
        <w:tab/>
        <w:t xml:space="preserve">Lors de la 103e session du Groupe de travail, l’Autriche avait proposé un amendement au deuxième alinéa du 5.3.2.1.6. Les délégations présentes ayant demandé plus de temps pour examiner la proposition, le texte en question était resté entre crochets pour un examen lors d’une session ultérieure. Après discussions, les délégations qui se sont exprimées </w:t>
      </w:r>
      <w:r w:rsidR="009D7804">
        <w:rPr>
          <w:color w:val="000000"/>
          <w:lang w:val="fr-FR"/>
        </w:rPr>
        <w:t>ont estimé</w:t>
      </w:r>
      <w:r>
        <w:rPr>
          <w:color w:val="000000"/>
          <w:lang w:val="fr-FR"/>
        </w:rPr>
        <w:t xml:space="preserve"> que le texte actuel de l’ADR était suffisamment clair et ne nécessitait donc pas de modifications. La proposition n’a pas été adoptée. </w:t>
      </w:r>
    </w:p>
    <w:p w:rsidR="00881D68" w:rsidRDefault="00881D68" w:rsidP="00491DEA">
      <w:pPr>
        <w:pStyle w:val="H23G"/>
        <w:rPr>
          <w:i/>
          <w:lang w:val="fr-FR"/>
        </w:rPr>
      </w:pPr>
      <w:r>
        <w:rPr>
          <w:lang w:val="fr-FR"/>
        </w:rPr>
        <w:tab/>
        <w:t>3</w:t>
      </w:r>
      <w:r w:rsidR="00E157A7">
        <w:rPr>
          <w:lang w:val="fr-FR"/>
        </w:rPr>
        <w:t>.</w:t>
      </w:r>
      <w:r w:rsidRPr="00153063">
        <w:rPr>
          <w:lang w:val="fr-FR"/>
        </w:rPr>
        <w:tab/>
      </w:r>
      <w:r>
        <w:rPr>
          <w:lang w:val="fr-FR"/>
        </w:rPr>
        <w:t>Prescriptions</w:t>
      </w:r>
      <w:r w:rsidRPr="00932377">
        <w:rPr>
          <w:lang w:val="fr-FR"/>
        </w:rPr>
        <w:t xml:space="preserve"> relatives aux précautions contre les charges électrostatiques</w:t>
      </w:r>
    </w:p>
    <w:p w:rsidR="00881D68" w:rsidRPr="003424F2" w:rsidRDefault="00881D68" w:rsidP="00881D68">
      <w:pPr>
        <w:pStyle w:val="SingleTxtG"/>
        <w:keepNext/>
        <w:keepLines/>
        <w:ind w:left="2268" w:hanging="1134"/>
        <w:jc w:val="left"/>
        <w:rPr>
          <w:lang w:val="fr-FR"/>
        </w:rPr>
      </w:pPr>
      <w:r w:rsidRPr="003424F2">
        <w:rPr>
          <w:i/>
          <w:lang w:val="fr-FR"/>
        </w:rPr>
        <w:t>Document</w:t>
      </w:r>
      <w:r>
        <w:rPr>
          <w:i/>
          <w:lang w:val="fr-FR"/>
        </w:rPr>
        <w:t xml:space="preserve"> </w:t>
      </w:r>
      <w:r w:rsidRPr="003424F2">
        <w:rPr>
          <w:lang w:val="fr-FR"/>
        </w:rPr>
        <w:t>:</w:t>
      </w:r>
      <w:r w:rsidRPr="003424F2">
        <w:rPr>
          <w:lang w:val="fr-FR"/>
        </w:rPr>
        <w:tab/>
      </w:r>
      <w:r w:rsidRPr="003424F2">
        <w:rPr>
          <w:lang w:val="fr-FR"/>
        </w:rPr>
        <w:tab/>
      </w:r>
      <w:r w:rsidR="00A613E4">
        <w:rPr>
          <w:lang w:val="fr-FR"/>
        </w:rPr>
        <w:tab/>
      </w:r>
      <w:r>
        <w:rPr>
          <w:lang w:val="fr-FR"/>
        </w:rPr>
        <w:t>ECE/TRANS/WP.15/2018/1 (Suède)</w:t>
      </w:r>
    </w:p>
    <w:p w:rsidR="00881D68" w:rsidRDefault="00FF1034" w:rsidP="00881D68">
      <w:pPr>
        <w:pStyle w:val="SingleTxtG"/>
        <w:rPr>
          <w:color w:val="000000"/>
          <w:lang w:val="fr-FR"/>
        </w:rPr>
      </w:pPr>
      <w:r>
        <w:rPr>
          <w:color w:val="000000"/>
          <w:lang w:val="fr-FR"/>
        </w:rPr>
        <w:t>32.</w:t>
      </w:r>
      <w:r>
        <w:rPr>
          <w:color w:val="000000"/>
          <w:lang w:val="fr-FR"/>
        </w:rPr>
        <w:tab/>
        <w:t>La Suède a présenté la question de l’usage de différents termes dans l’ADR pour décrire les liaisons électriques dans les prescriptions concernant les précautions à prendre contre les phénomènes électrostatiques. La question avait déjà été soulevée dans un document informel présenté par la Suède lors de la 103e session (voir ECE/TRANS/WP.15/239, paragraphes 59 et 60). Après discussions, la proposition a été adoptée avec consensus des délégations francophones pour l’utilisation de « liaison équipotentielle » au lieu de « mise à terre ». Les délégations anglophones ont également adopté la proposition avec consensus pour l’utilisation du terme « </w:t>
      </w:r>
      <w:proofErr w:type="spellStart"/>
      <w:r>
        <w:rPr>
          <w:color w:val="000000"/>
          <w:lang w:val="fr-FR"/>
        </w:rPr>
        <w:t>electrical</w:t>
      </w:r>
      <w:proofErr w:type="spellEnd"/>
      <w:r>
        <w:rPr>
          <w:color w:val="000000"/>
          <w:lang w:val="fr-FR"/>
        </w:rPr>
        <w:t xml:space="preserve"> bonding » au lieu de « </w:t>
      </w:r>
      <w:proofErr w:type="spellStart"/>
      <w:r>
        <w:rPr>
          <w:color w:val="000000"/>
          <w:lang w:val="fr-FR"/>
        </w:rPr>
        <w:t>earthing</w:t>
      </w:r>
      <w:proofErr w:type="spellEnd"/>
      <w:r>
        <w:rPr>
          <w:color w:val="000000"/>
          <w:lang w:val="fr-FR"/>
        </w:rPr>
        <w:t xml:space="preserve"> ». Les délégations de la Fédération de Russie et du Bélarus se sont entendues sur l’utilisation du terme </w:t>
      </w:r>
      <w:r w:rsidRPr="008C4D1A">
        <w:rPr>
          <w:color w:val="000000"/>
          <w:lang w:val="fr-FR"/>
        </w:rPr>
        <w:t>« </w:t>
      </w:r>
      <w:proofErr w:type="spellStart"/>
      <w:r w:rsidRPr="008C4D1A">
        <w:rPr>
          <w:color w:val="000000"/>
          <w:lang w:val="fr-FR"/>
        </w:rPr>
        <w:t>Выравнвание</w:t>
      </w:r>
      <w:proofErr w:type="spellEnd"/>
      <w:r w:rsidRPr="008C4D1A">
        <w:rPr>
          <w:color w:val="000000"/>
          <w:lang w:val="fr-FR"/>
        </w:rPr>
        <w:t xml:space="preserve"> </w:t>
      </w:r>
      <w:proofErr w:type="spellStart"/>
      <w:r w:rsidRPr="008C4D1A">
        <w:t>электрических</w:t>
      </w:r>
      <w:proofErr w:type="spellEnd"/>
      <w:r w:rsidRPr="008C4D1A">
        <w:t xml:space="preserve"> </w:t>
      </w:r>
      <w:proofErr w:type="spellStart"/>
      <w:r w:rsidRPr="008C4D1A">
        <w:t>потенциалов</w:t>
      </w:r>
      <w:proofErr w:type="spellEnd"/>
      <w:r w:rsidRPr="008C4D1A">
        <w:rPr>
          <w:color w:val="000000"/>
          <w:lang w:val="fr-FR"/>
        </w:rPr>
        <w:t> » au lieu de « </w:t>
      </w:r>
      <w:proofErr w:type="spellStart"/>
      <w:r w:rsidRPr="008C4D1A">
        <w:t>Заземление</w:t>
      </w:r>
      <w:proofErr w:type="spellEnd"/>
      <w:r w:rsidRPr="008C4D1A">
        <w:rPr>
          <w:color w:val="000000"/>
          <w:lang w:val="fr-FR"/>
        </w:rPr>
        <w:t> »</w:t>
      </w:r>
      <w:r>
        <w:rPr>
          <w:color w:val="000000"/>
          <w:lang w:val="fr-FR"/>
        </w:rPr>
        <w:t xml:space="preserve">. Cet amendement sera pris en considération pour </w:t>
      </w:r>
      <w:proofErr w:type="spellStart"/>
      <w:r>
        <w:rPr>
          <w:color w:val="000000"/>
          <w:lang w:val="fr-FR"/>
        </w:rPr>
        <w:t>entrée</w:t>
      </w:r>
      <w:proofErr w:type="spellEnd"/>
      <w:r>
        <w:rPr>
          <w:color w:val="000000"/>
          <w:lang w:val="fr-FR"/>
        </w:rPr>
        <w:t xml:space="preserve"> en vigueur le 1 janvier 2019 (voir annexe</w:t>
      </w:r>
      <w:r w:rsidR="009124D6">
        <w:rPr>
          <w:color w:val="000000"/>
          <w:lang w:val="fr-FR"/>
        </w:rPr>
        <w:t xml:space="preserve"> I).</w:t>
      </w:r>
    </w:p>
    <w:p w:rsidR="00881D68" w:rsidRDefault="00881D68" w:rsidP="00491DEA">
      <w:pPr>
        <w:pStyle w:val="H23G"/>
        <w:rPr>
          <w:lang w:val="fr-FR"/>
        </w:rPr>
      </w:pPr>
      <w:r>
        <w:rPr>
          <w:lang w:val="fr-FR"/>
        </w:rPr>
        <w:tab/>
        <w:t>4</w:t>
      </w:r>
      <w:r w:rsidR="00E157A7">
        <w:rPr>
          <w:lang w:val="fr-FR"/>
        </w:rPr>
        <w:t>.</w:t>
      </w:r>
      <w:r w:rsidRPr="00153063">
        <w:rPr>
          <w:lang w:val="fr-FR"/>
        </w:rPr>
        <w:tab/>
      </w:r>
      <w:r>
        <w:rPr>
          <w:lang w:val="fr-FR"/>
        </w:rPr>
        <w:t>Proposition visant à inclure une date de début de validité dans le certificat de formation de conducteur (8.2.2.8.5)</w:t>
      </w:r>
    </w:p>
    <w:p w:rsidR="00881D68" w:rsidRDefault="00881D68" w:rsidP="00881D68">
      <w:pPr>
        <w:pStyle w:val="SingleTxtG"/>
        <w:keepNext/>
        <w:keepLines/>
        <w:ind w:left="2268" w:hanging="1134"/>
        <w:jc w:val="left"/>
        <w:rPr>
          <w:lang w:val="fr-FR"/>
        </w:rPr>
      </w:pPr>
      <w:r w:rsidRPr="003424F2">
        <w:rPr>
          <w:i/>
          <w:lang w:val="fr-FR"/>
        </w:rPr>
        <w:t>Document</w:t>
      </w:r>
      <w:r>
        <w:rPr>
          <w:i/>
          <w:lang w:val="fr-FR"/>
        </w:rPr>
        <w:t xml:space="preserve"> </w:t>
      </w:r>
      <w:r w:rsidRPr="003424F2">
        <w:rPr>
          <w:lang w:val="fr-FR"/>
        </w:rPr>
        <w:t>:</w:t>
      </w:r>
      <w:r w:rsidRPr="003424F2">
        <w:rPr>
          <w:lang w:val="fr-FR"/>
        </w:rPr>
        <w:tab/>
      </w:r>
      <w:r w:rsidR="00A613E4">
        <w:rPr>
          <w:lang w:val="fr-FR"/>
        </w:rPr>
        <w:tab/>
      </w:r>
      <w:r w:rsidRPr="003424F2">
        <w:rPr>
          <w:lang w:val="fr-FR"/>
        </w:rPr>
        <w:tab/>
      </w:r>
      <w:r>
        <w:rPr>
          <w:lang w:val="fr-FR"/>
        </w:rPr>
        <w:t>ECE/TRANS/WP.15/2018/2 (Malte)</w:t>
      </w:r>
    </w:p>
    <w:p w:rsidR="00881D68" w:rsidRPr="00153063" w:rsidRDefault="005A7A0D" w:rsidP="005A7A0D">
      <w:pPr>
        <w:pStyle w:val="SingleTxtG"/>
        <w:rPr>
          <w:lang w:val="fr-FR"/>
        </w:rPr>
      </w:pPr>
      <w:r>
        <w:rPr>
          <w:color w:val="000000"/>
          <w:lang w:val="fr-FR"/>
        </w:rPr>
        <w:t>33.</w:t>
      </w:r>
      <w:r>
        <w:rPr>
          <w:color w:val="000000"/>
          <w:lang w:val="fr-FR"/>
        </w:rPr>
        <w:tab/>
        <w:t>Le Groupe de travail a remercié le représentant de Malte de sa proposition. Les délégations qui se sont exprimées ont déclaré comprendre le problème soulevé dans ce document officiel mais ont jugé que ce cas isolé ne méritait pas la modification demandée, qu’elle s’applique à toutes les parties contractantes ou qu’elle soit laissée à la discrétion de chaque partie contractante comme le proposait le représentant de Malte. Plusieurs délégations considéraient que la modification proposée serait difficile à mettre en œuvre pour les conducteurs suivant une formation de spécialisation. Le représentant de Malte</w:t>
      </w:r>
      <w:r>
        <w:rPr>
          <w:lang w:val="fr-FR"/>
        </w:rPr>
        <w:t xml:space="preserve"> a retiré sa proposition. </w:t>
      </w:r>
    </w:p>
    <w:p w:rsidR="00881D68" w:rsidRPr="000E1930" w:rsidRDefault="00881D68" w:rsidP="00491DEA">
      <w:pPr>
        <w:pStyle w:val="H23G"/>
        <w:rPr>
          <w:i/>
        </w:rPr>
      </w:pPr>
      <w:r>
        <w:rPr>
          <w:lang w:val="fr-FR"/>
        </w:rPr>
        <w:lastRenderedPageBreak/>
        <w:tab/>
      </w:r>
      <w:r w:rsidR="00E157A7">
        <w:rPr>
          <w:lang w:val="fr-FR"/>
        </w:rPr>
        <w:t>5.</w:t>
      </w:r>
      <w:r w:rsidRPr="00491DEA">
        <w:rPr>
          <w:lang w:val="fr-FR"/>
        </w:rPr>
        <w:tab/>
      </w:r>
      <w:r w:rsidR="00491DEA">
        <w:rPr>
          <w:lang w:val="fr-FR"/>
        </w:rPr>
        <w:t>Projet d’a</w:t>
      </w:r>
      <w:r w:rsidRPr="00491DEA">
        <w:rPr>
          <w:lang w:val="fr-FR"/>
        </w:rPr>
        <w:t xml:space="preserve">mendements relatifs aux engrais au nitrate d’ammonium pour </w:t>
      </w:r>
      <w:proofErr w:type="spellStart"/>
      <w:r w:rsidRPr="00491DEA">
        <w:rPr>
          <w:lang w:val="fr-FR"/>
        </w:rPr>
        <w:t>entrée</w:t>
      </w:r>
      <w:proofErr w:type="spellEnd"/>
      <w:r w:rsidRPr="00491DEA">
        <w:rPr>
          <w:lang w:val="fr-FR"/>
        </w:rPr>
        <w:t xml:space="preserve"> en vigueur </w:t>
      </w:r>
      <w:r w:rsidR="00491DEA">
        <w:rPr>
          <w:lang w:val="fr-FR"/>
        </w:rPr>
        <w:t>le</w:t>
      </w:r>
      <w:r w:rsidRPr="00491DEA">
        <w:rPr>
          <w:lang w:val="fr-FR"/>
        </w:rPr>
        <w:t xml:space="preserve"> 1er janvier 2019</w:t>
      </w:r>
    </w:p>
    <w:p w:rsidR="00881D68" w:rsidRPr="003424F2" w:rsidRDefault="00881D68" w:rsidP="00881D68">
      <w:pPr>
        <w:pStyle w:val="SingleTxtG"/>
        <w:keepNext/>
        <w:keepLines/>
        <w:ind w:left="2268" w:hanging="1134"/>
        <w:jc w:val="left"/>
        <w:rPr>
          <w:lang w:val="fr-FR"/>
        </w:rPr>
      </w:pPr>
      <w:r w:rsidRPr="003424F2">
        <w:rPr>
          <w:i/>
          <w:lang w:val="fr-FR"/>
        </w:rPr>
        <w:t>Document</w:t>
      </w:r>
      <w:r>
        <w:rPr>
          <w:i/>
          <w:lang w:val="fr-FR"/>
        </w:rPr>
        <w:t xml:space="preserve"> informel </w:t>
      </w:r>
      <w:r w:rsidRPr="003424F2">
        <w:rPr>
          <w:lang w:val="fr-FR"/>
        </w:rPr>
        <w:t>:</w:t>
      </w:r>
      <w:r w:rsidRPr="003424F2">
        <w:rPr>
          <w:lang w:val="fr-FR"/>
        </w:rPr>
        <w:tab/>
      </w:r>
      <w:r w:rsidRPr="003424F2">
        <w:rPr>
          <w:lang w:val="fr-FR"/>
        </w:rPr>
        <w:tab/>
      </w:r>
      <w:r>
        <w:rPr>
          <w:lang w:val="fr-FR"/>
        </w:rPr>
        <w:t>INF.8 (Finlande)</w:t>
      </w:r>
    </w:p>
    <w:p w:rsidR="00881D68" w:rsidRDefault="00881D68" w:rsidP="00881D68">
      <w:pPr>
        <w:pStyle w:val="SingleTxtG"/>
        <w:rPr>
          <w:color w:val="000000"/>
          <w:lang w:val="fr-FR"/>
        </w:rPr>
      </w:pPr>
      <w:r>
        <w:rPr>
          <w:color w:val="000000"/>
          <w:lang w:val="fr-FR"/>
        </w:rPr>
        <w:t>34.</w:t>
      </w:r>
      <w:r>
        <w:rPr>
          <w:color w:val="000000"/>
          <w:lang w:val="fr-FR"/>
        </w:rPr>
        <w:tab/>
        <w:t>Le Groupe de travail a remercié la représentante de la Finlande d’avoir soulevé les incohérences dans les amendements au 2.2.51.1.3 et à la disposition spéciale 307 dans le document ECE/TRANS/WP.15/240 et a adopté les proposition</w:t>
      </w:r>
      <w:r w:rsidR="009124D6">
        <w:rPr>
          <w:color w:val="000000"/>
          <w:lang w:val="fr-FR"/>
        </w:rPr>
        <w:t>s</w:t>
      </w:r>
      <w:r>
        <w:rPr>
          <w:color w:val="000000"/>
          <w:lang w:val="fr-FR"/>
        </w:rPr>
        <w:t xml:space="preserve"> 1a et 1b du document informel INF.8 de la Finlande (voir annexe</w:t>
      </w:r>
      <w:r w:rsidR="009124D6">
        <w:rPr>
          <w:color w:val="000000"/>
          <w:lang w:val="fr-FR"/>
        </w:rPr>
        <w:t xml:space="preserve"> I).  </w:t>
      </w:r>
    </w:p>
    <w:p w:rsidR="00881D68" w:rsidRPr="00153063" w:rsidRDefault="00E157A7" w:rsidP="00881D68">
      <w:pPr>
        <w:pStyle w:val="SingleTxtG"/>
        <w:rPr>
          <w:lang w:val="fr-FR"/>
        </w:rPr>
      </w:pPr>
      <w:r>
        <w:rPr>
          <w:color w:val="000000"/>
          <w:lang w:val="fr-FR"/>
        </w:rPr>
        <w:t>35.</w:t>
      </w:r>
      <w:r w:rsidR="00881D68">
        <w:rPr>
          <w:color w:val="000000"/>
          <w:lang w:val="fr-FR"/>
        </w:rPr>
        <w:tab/>
        <w:t>Le Groupe de travail a également examiné et adopté la deuxième proposition du document informel INF.8, telle que modifiée en session (voir annexe</w:t>
      </w:r>
      <w:r w:rsidR="009124D6">
        <w:rPr>
          <w:color w:val="000000"/>
          <w:lang w:val="fr-FR"/>
        </w:rPr>
        <w:t xml:space="preserve"> I).</w:t>
      </w:r>
    </w:p>
    <w:p w:rsidR="00881D68" w:rsidRDefault="00881D68" w:rsidP="00491DEA">
      <w:pPr>
        <w:pStyle w:val="H23G"/>
        <w:rPr>
          <w:i/>
          <w:lang w:val="fr-FR"/>
        </w:rPr>
      </w:pPr>
      <w:r>
        <w:rPr>
          <w:lang w:val="fr-FR"/>
        </w:rPr>
        <w:tab/>
        <w:t>6</w:t>
      </w:r>
      <w:r w:rsidR="00E157A7">
        <w:rPr>
          <w:lang w:val="fr-FR"/>
        </w:rPr>
        <w:t>.</w:t>
      </w:r>
      <w:r w:rsidRPr="00153063">
        <w:rPr>
          <w:lang w:val="fr-FR"/>
        </w:rPr>
        <w:tab/>
      </w:r>
      <w:r w:rsidR="00491DEA">
        <w:rPr>
          <w:lang w:val="fr-FR"/>
        </w:rPr>
        <w:t>Projet d’a</w:t>
      </w:r>
      <w:r>
        <w:rPr>
          <w:lang w:val="fr-FR"/>
        </w:rPr>
        <w:t xml:space="preserve">mendements relatifs au tableau des modèles d’étiquettes pour </w:t>
      </w:r>
      <w:proofErr w:type="spellStart"/>
      <w:r>
        <w:rPr>
          <w:lang w:val="fr-FR"/>
        </w:rPr>
        <w:t>entrée</w:t>
      </w:r>
      <w:proofErr w:type="spellEnd"/>
      <w:r>
        <w:rPr>
          <w:lang w:val="fr-FR"/>
        </w:rPr>
        <w:t xml:space="preserve"> en vigueur </w:t>
      </w:r>
      <w:r w:rsidR="00491DEA">
        <w:rPr>
          <w:lang w:val="fr-FR"/>
        </w:rPr>
        <w:t>le</w:t>
      </w:r>
      <w:r>
        <w:rPr>
          <w:lang w:val="fr-FR"/>
        </w:rPr>
        <w:t xml:space="preserve"> 1er janvier 2019</w:t>
      </w:r>
    </w:p>
    <w:p w:rsidR="00881D68" w:rsidRPr="003424F2" w:rsidRDefault="00881D68" w:rsidP="00881D68">
      <w:pPr>
        <w:pStyle w:val="SingleTxtG"/>
        <w:keepNext/>
        <w:keepLines/>
        <w:ind w:left="2268" w:hanging="1134"/>
        <w:jc w:val="left"/>
        <w:rPr>
          <w:lang w:val="fr-FR"/>
        </w:rPr>
      </w:pPr>
      <w:r w:rsidRPr="003424F2">
        <w:rPr>
          <w:i/>
          <w:lang w:val="fr-FR"/>
        </w:rPr>
        <w:t>Document</w:t>
      </w:r>
      <w:r>
        <w:rPr>
          <w:i/>
          <w:lang w:val="fr-FR"/>
        </w:rPr>
        <w:t xml:space="preserve"> informel </w:t>
      </w:r>
      <w:r w:rsidRPr="003424F2">
        <w:rPr>
          <w:lang w:val="fr-FR"/>
        </w:rPr>
        <w:t>:</w:t>
      </w:r>
      <w:r w:rsidRPr="003424F2">
        <w:rPr>
          <w:lang w:val="fr-FR"/>
        </w:rPr>
        <w:tab/>
      </w:r>
      <w:r w:rsidRPr="003424F2">
        <w:rPr>
          <w:lang w:val="fr-FR"/>
        </w:rPr>
        <w:tab/>
      </w:r>
      <w:r>
        <w:rPr>
          <w:lang w:val="fr-FR"/>
        </w:rPr>
        <w:t>INF.17 (Finlande)</w:t>
      </w:r>
    </w:p>
    <w:p w:rsidR="00881D68" w:rsidRDefault="00881D68" w:rsidP="00881D68">
      <w:pPr>
        <w:pStyle w:val="SingleTxtG"/>
        <w:rPr>
          <w:color w:val="000000"/>
          <w:lang w:val="fr-FR"/>
        </w:rPr>
      </w:pPr>
      <w:r>
        <w:rPr>
          <w:color w:val="000000"/>
          <w:lang w:val="fr-FR"/>
        </w:rPr>
        <w:t>36.</w:t>
      </w:r>
      <w:r>
        <w:rPr>
          <w:color w:val="000000"/>
          <w:lang w:val="fr-FR"/>
        </w:rPr>
        <w:tab/>
        <w:t>Le Groupe de travail a examiné la proposition de la Finlande de modifier l’emplacement du renvoi au 5.2.2.2.1.6 d) pour le modèle d’étiquette 2.1 dans le tableau du 5.2.2.2.2 du document ECE/TRANS/WP.15/240. Il a jugé ces modifications pertinentes et a adopté la proposition telle que présentée par la Finlande (voir annexe</w:t>
      </w:r>
      <w:r w:rsidR="009124D6">
        <w:rPr>
          <w:color w:val="000000"/>
          <w:lang w:val="fr-FR"/>
        </w:rPr>
        <w:t xml:space="preserve"> I). </w:t>
      </w:r>
      <w:r>
        <w:rPr>
          <w:color w:val="000000"/>
          <w:lang w:val="fr-FR"/>
        </w:rPr>
        <w:t>Cette proposition sera notamment portée à l’attention du Sous-Comité d’Experts pour le Transport des Marchandises dangereuses lors de sa prochaine session.</w:t>
      </w:r>
    </w:p>
    <w:p w:rsidR="00881D68" w:rsidRPr="002A284B" w:rsidRDefault="00E157A7" w:rsidP="00881D68">
      <w:pPr>
        <w:pStyle w:val="SingleTxtG"/>
        <w:rPr>
          <w:color w:val="000000"/>
          <w:lang w:val="fr-FR"/>
        </w:rPr>
      </w:pPr>
      <w:r>
        <w:rPr>
          <w:color w:val="000000"/>
          <w:lang w:val="fr-FR"/>
        </w:rPr>
        <w:t>37.</w:t>
      </w:r>
      <w:r w:rsidR="00881D68">
        <w:rPr>
          <w:color w:val="000000"/>
          <w:lang w:val="fr-FR"/>
        </w:rPr>
        <w:tab/>
        <w:t>Par ailleurs, la représentante de la France a soulevé la question du paragraphe 5.2.2.2.1.6 d) qui se réfère aux Nos. ONU 1011, 1075, 1965 et 1978 alors que le Règlement type fait référence aux gaz de pétrole liquéfiés</w:t>
      </w:r>
      <w:r w:rsidR="009D7804">
        <w:rPr>
          <w:color w:val="000000"/>
          <w:lang w:val="fr-FR"/>
        </w:rPr>
        <w:t>, qui par définition</w:t>
      </w:r>
      <w:r w:rsidR="00881D68">
        <w:rPr>
          <w:color w:val="000000"/>
          <w:lang w:val="fr-FR"/>
        </w:rPr>
        <w:t xml:space="preserve"> comprennent également le No. ONU 1969. Sur la base d’une proposition orale, le Groupe de travail a adopté une modification visant à aligner l’ADR sur le texte du Règlement type (voir annexe</w:t>
      </w:r>
      <w:r w:rsidR="00F63415">
        <w:rPr>
          <w:color w:val="000000"/>
          <w:lang w:val="fr-FR"/>
        </w:rPr>
        <w:t xml:space="preserve"> I).</w:t>
      </w:r>
    </w:p>
    <w:p w:rsidR="00881D68" w:rsidRDefault="00881D68" w:rsidP="00491DEA">
      <w:pPr>
        <w:pStyle w:val="H23G"/>
        <w:rPr>
          <w:i/>
          <w:lang w:val="fr-FR"/>
        </w:rPr>
      </w:pPr>
      <w:r>
        <w:rPr>
          <w:lang w:val="fr-FR"/>
        </w:rPr>
        <w:tab/>
        <w:t>7</w:t>
      </w:r>
      <w:r w:rsidR="00E157A7">
        <w:rPr>
          <w:lang w:val="fr-FR"/>
        </w:rPr>
        <w:t>.</w:t>
      </w:r>
      <w:r w:rsidRPr="00153063">
        <w:rPr>
          <w:lang w:val="fr-FR"/>
        </w:rPr>
        <w:tab/>
      </w:r>
      <w:r>
        <w:rPr>
          <w:lang w:val="fr-FR"/>
        </w:rPr>
        <w:t>Correction à la note de bas de page b pour les consignes écrites</w:t>
      </w:r>
    </w:p>
    <w:p w:rsidR="00881D68" w:rsidRPr="003424F2" w:rsidRDefault="00881D68" w:rsidP="00881D68">
      <w:pPr>
        <w:pStyle w:val="SingleTxtG"/>
        <w:keepNext/>
        <w:keepLines/>
        <w:ind w:left="2268" w:hanging="1134"/>
        <w:jc w:val="left"/>
        <w:rPr>
          <w:lang w:val="fr-FR"/>
        </w:rPr>
      </w:pPr>
      <w:r w:rsidRPr="003424F2">
        <w:rPr>
          <w:i/>
          <w:lang w:val="fr-FR"/>
        </w:rPr>
        <w:t>Document</w:t>
      </w:r>
      <w:r>
        <w:rPr>
          <w:i/>
          <w:lang w:val="fr-FR"/>
        </w:rPr>
        <w:t xml:space="preserve"> informel </w:t>
      </w:r>
      <w:r w:rsidRPr="003424F2">
        <w:rPr>
          <w:lang w:val="fr-FR"/>
        </w:rPr>
        <w:t>:</w:t>
      </w:r>
      <w:r w:rsidRPr="003424F2">
        <w:rPr>
          <w:lang w:val="fr-FR"/>
        </w:rPr>
        <w:tab/>
      </w:r>
      <w:r w:rsidRPr="003424F2">
        <w:rPr>
          <w:lang w:val="fr-FR"/>
        </w:rPr>
        <w:tab/>
      </w:r>
      <w:r>
        <w:rPr>
          <w:lang w:val="fr-FR"/>
        </w:rPr>
        <w:t>INF.22 (Allemagne)</w:t>
      </w:r>
    </w:p>
    <w:p w:rsidR="00BD0202" w:rsidRDefault="00BD0202" w:rsidP="00BD0202">
      <w:pPr>
        <w:pStyle w:val="SingleTxtG"/>
        <w:rPr>
          <w:color w:val="000000"/>
          <w:lang w:val="fr-FR"/>
        </w:rPr>
      </w:pPr>
      <w:r>
        <w:rPr>
          <w:color w:val="000000"/>
          <w:lang w:val="fr-FR"/>
        </w:rPr>
        <w:t>38.</w:t>
      </w:r>
      <w:r>
        <w:rPr>
          <w:color w:val="000000"/>
          <w:lang w:val="fr-FR"/>
        </w:rPr>
        <w:tab/>
        <w:t xml:space="preserve">Plusieurs délégations ont soutenu la proposition de l’Allemagne. </w:t>
      </w:r>
      <w:r w:rsidR="009D7804">
        <w:rPr>
          <w:color w:val="000000"/>
          <w:lang w:val="fr-FR"/>
        </w:rPr>
        <w:t>D’autres</w:t>
      </w:r>
      <w:r>
        <w:rPr>
          <w:color w:val="000000"/>
          <w:lang w:val="fr-FR"/>
        </w:rPr>
        <w:t xml:space="preserve"> ont cependant rappelé que les modifications fréquentes des consignes écrites n’étaient pas souhaitables et qu’il était préférable de grouper cette proposition d’amendement avec d’autres propositions susceptibles d’être étudiées au cours de la période bisannuelle pour prise en compte dans l’ADR 2021. Plusieurs délégations se sont demandées si les équipements prévus suivant la note b pouvaient être utiles en cas d’accident impliquant des piles au lithium. </w:t>
      </w:r>
      <w:r w:rsidR="00A546EF">
        <w:rPr>
          <w:color w:val="000000"/>
          <w:lang w:val="fr-FR"/>
        </w:rPr>
        <w:t>Après examen de</w:t>
      </w:r>
      <w:r w:rsidR="009D7804">
        <w:rPr>
          <w:color w:val="000000"/>
          <w:lang w:val="fr-FR"/>
        </w:rPr>
        <w:t xml:space="preserve"> la proposition</w:t>
      </w:r>
      <w:r w:rsidR="00A546EF">
        <w:rPr>
          <w:color w:val="000000"/>
          <w:lang w:val="fr-FR"/>
        </w:rPr>
        <w:t>, le Groupe de travail</w:t>
      </w:r>
      <w:r w:rsidR="009D7804">
        <w:rPr>
          <w:color w:val="000000"/>
          <w:lang w:val="fr-FR"/>
        </w:rPr>
        <w:t xml:space="preserve"> a jugé que cette </w:t>
      </w:r>
      <w:r w:rsidR="00822AEF">
        <w:rPr>
          <w:color w:val="000000"/>
          <w:lang w:val="fr-FR"/>
        </w:rPr>
        <w:t>dernière</w:t>
      </w:r>
      <w:r w:rsidR="009D7804">
        <w:rPr>
          <w:color w:val="000000"/>
          <w:lang w:val="fr-FR"/>
        </w:rPr>
        <w:t>, sous forme de document informel</w:t>
      </w:r>
      <w:r w:rsidR="00822AEF">
        <w:rPr>
          <w:color w:val="000000"/>
          <w:lang w:val="fr-FR"/>
        </w:rPr>
        <w:t>,</w:t>
      </w:r>
      <w:r w:rsidR="009D7804">
        <w:rPr>
          <w:color w:val="000000"/>
          <w:lang w:val="fr-FR"/>
        </w:rPr>
        <w:t xml:space="preserve"> était tardive pour une mise en œuvre dès le 1er janvier 2019. </w:t>
      </w:r>
      <w:r>
        <w:rPr>
          <w:color w:val="000000"/>
          <w:lang w:val="fr-FR"/>
        </w:rPr>
        <w:t>La représentante de l’Allemagne a informé le Groupe de travail qu’elle présenterait un document officiel à la prochaine session.</w:t>
      </w:r>
    </w:p>
    <w:p w:rsidR="00B67CD5" w:rsidRDefault="00B67CD5" w:rsidP="00B67CD5">
      <w:pPr>
        <w:pStyle w:val="HChG"/>
      </w:pPr>
      <w:r>
        <w:tab/>
        <w:t>VII.</w:t>
      </w:r>
      <w:r>
        <w:tab/>
      </w:r>
      <w:r w:rsidRPr="00787CF7">
        <w:rPr>
          <w:lang w:val="fr-FR"/>
        </w:rPr>
        <w:t>Interprétation de l’ADR</w:t>
      </w:r>
      <w:r>
        <w:rPr>
          <w:lang w:val="fr-FR"/>
        </w:rPr>
        <w:t xml:space="preserve"> </w:t>
      </w:r>
      <w:r w:rsidRPr="005B2C1D">
        <w:t xml:space="preserve">(point </w:t>
      </w:r>
      <w:r>
        <w:t>6</w:t>
      </w:r>
      <w:r w:rsidRPr="005B2C1D">
        <w:t xml:space="preserve"> de l</w:t>
      </w:r>
      <w:r>
        <w:t>’</w:t>
      </w:r>
      <w:r w:rsidRPr="005B2C1D">
        <w:t>ordre du jour)</w:t>
      </w:r>
    </w:p>
    <w:p w:rsidR="0074396A" w:rsidRPr="00CD4D2E" w:rsidRDefault="0074396A" w:rsidP="0074396A">
      <w:pPr>
        <w:pStyle w:val="H1G"/>
      </w:pPr>
      <w:r>
        <w:tab/>
      </w:r>
      <w:r w:rsidR="00491DEA">
        <w:t>A</w:t>
      </w:r>
      <w:r w:rsidR="00E157A7">
        <w:t>.</w:t>
      </w:r>
      <w:r w:rsidRPr="00CD4D2E">
        <w:tab/>
        <w:t>Objets non-emballés autres que les objets de la classe 1</w:t>
      </w:r>
      <w:r w:rsidR="009B69DA">
        <w:t> :</w:t>
      </w:r>
      <w:r w:rsidRPr="00CD4D2E">
        <w:t xml:space="preserve"> </w:t>
      </w:r>
      <w:r w:rsidRPr="00CD4D2E">
        <w:tab/>
        <w:t xml:space="preserve">Approbation par les autorités compétentes </w:t>
      </w:r>
    </w:p>
    <w:p w:rsidR="0074396A" w:rsidRPr="003424F2" w:rsidRDefault="0074396A" w:rsidP="0074396A">
      <w:pPr>
        <w:pStyle w:val="SingleTxtG"/>
        <w:keepNext/>
        <w:keepLines/>
        <w:ind w:left="2268" w:hanging="1134"/>
        <w:jc w:val="left"/>
        <w:rPr>
          <w:lang w:val="fr-FR"/>
        </w:rPr>
      </w:pPr>
      <w:r w:rsidRPr="003424F2">
        <w:rPr>
          <w:i/>
          <w:lang w:val="fr-FR"/>
        </w:rPr>
        <w:t>Document</w:t>
      </w:r>
      <w:r>
        <w:rPr>
          <w:i/>
          <w:lang w:val="fr-FR"/>
        </w:rPr>
        <w:t xml:space="preserve"> informel </w:t>
      </w:r>
      <w:r w:rsidRPr="003424F2">
        <w:rPr>
          <w:lang w:val="fr-FR"/>
        </w:rPr>
        <w:t>:</w:t>
      </w:r>
      <w:r w:rsidRPr="003424F2">
        <w:rPr>
          <w:lang w:val="fr-FR"/>
        </w:rPr>
        <w:tab/>
      </w:r>
      <w:r w:rsidRPr="003424F2">
        <w:rPr>
          <w:lang w:val="fr-FR"/>
        </w:rPr>
        <w:tab/>
      </w:r>
      <w:r>
        <w:rPr>
          <w:lang w:val="fr-FR"/>
        </w:rPr>
        <w:t>INF.13 (Suède)</w:t>
      </w:r>
    </w:p>
    <w:p w:rsidR="0074396A" w:rsidRDefault="0074396A" w:rsidP="0074396A">
      <w:pPr>
        <w:pStyle w:val="SingleTxtG"/>
        <w:rPr>
          <w:color w:val="000000"/>
          <w:lang w:val="fr-FR"/>
        </w:rPr>
      </w:pPr>
      <w:r>
        <w:rPr>
          <w:color w:val="000000"/>
          <w:lang w:val="fr-FR"/>
        </w:rPr>
        <w:t>39.</w:t>
      </w:r>
      <w:r>
        <w:rPr>
          <w:color w:val="000000"/>
          <w:lang w:val="fr-FR"/>
        </w:rPr>
        <w:tab/>
        <w:t>La représentante de la Suède a soulevé la question de l’interprétation de la désignation « autorités compétentes du pays d’origine » dans le paragraphe 4.1.3.8. Elle a invité le Groupe à se prononcer si par « pays d’origine » on entend</w:t>
      </w:r>
      <w:r w:rsidR="00491DEA">
        <w:rPr>
          <w:color w:val="000000"/>
          <w:lang w:val="fr-FR"/>
        </w:rPr>
        <w:t>ait</w:t>
      </w:r>
      <w:r>
        <w:rPr>
          <w:color w:val="000000"/>
          <w:lang w:val="fr-FR"/>
        </w:rPr>
        <w:t xml:space="preserve"> le pays où le chargement </w:t>
      </w:r>
      <w:r w:rsidR="00491DEA">
        <w:rPr>
          <w:color w:val="000000"/>
          <w:lang w:val="fr-FR"/>
        </w:rPr>
        <w:t>était</w:t>
      </w:r>
      <w:r>
        <w:rPr>
          <w:color w:val="000000"/>
          <w:lang w:val="fr-FR"/>
        </w:rPr>
        <w:t xml:space="preserve"> </w:t>
      </w:r>
      <w:r>
        <w:rPr>
          <w:color w:val="000000"/>
          <w:lang w:val="fr-FR"/>
        </w:rPr>
        <w:lastRenderedPageBreak/>
        <w:t>préparé ou bien le pays d’origine des citernes. Les pays qui se sont prononcés considéraient que, dans ce cas, l’e</w:t>
      </w:r>
      <w:r w:rsidR="00491DEA">
        <w:rPr>
          <w:color w:val="000000"/>
          <w:lang w:val="fr-FR"/>
        </w:rPr>
        <w:t>xpression pays d’origine désignait</w:t>
      </w:r>
      <w:r>
        <w:rPr>
          <w:color w:val="000000"/>
          <w:lang w:val="fr-FR"/>
        </w:rPr>
        <w:t xml:space="preserve"> le pays de départ de la cargaison. </w:t>
      </w:r>
    </w:p>
    <w:p w:rsidR="0074396A" w:rsidRDefault="0074396A" w:rsidP="0074396A">
      <w:pPr>
        <w:pStyle w:val="H1G"/>
        <w:rPr>
          <w:lang w:val="fr-FR"/>
        </w:rPr>
      </w:pPr>
      <w:r>
        <w:rPr>
          <w:lang w:val="fr-FR"/>
        </w:rPr>
        <w:tab/>
      </w:r>
      <w:r w:rsidR="00491DEA">
        <w:rPr>
          <w:lang w:val="fr-FR"/>
        </w:rPr>
        <w:t>B</w:t>
      </w:r>
      <w:r w:rsidR="00E157A7">
        <w:rPr>
          <w:lang w:val="fr-FR"/>
        </w:rPr>
        <w:t>.</w:t>
      </w:r>
      <w:r>
        <w:rPr>
          <w:lang w:val="fr-FR"/>
        </w:rPr>
        <w:tab/>
        <w:t>Interprétation de la terminologie au 5.4.1.1.1 f)</w:t>
      </w:r>
    </w:p>
    <w:p w:rsidR="0074396A" w:rsidRPr="003424F2" w:rsidRDefault="0074396A" w:rsidP="0074396A">
      <w:pPr>
        <w:pStyle w:val="SingleTxtG"/>
        <w:keepNext/>
        <w:keepLines/>
        <w:ind w:left="2268" w:hanging="1134"/>
        <w:jc w:val="left"/>
        <w:rPr>
          <w:lang w:val="fr-FR"/>
        </w:rPr>
      </w:pPr>
      <w:r w:rsidRPr="003424F2">
        <w:rPr>
          <w:i/>
          <w:lang w:val="fr-FR"/>
        </w:rPr>
        <w:t>Document</w:t>
      </w:r>
      <w:r>
        <w:rPr>
          <w:i/>
          <w:lang w:val="fr-FR"/>
        </w:rPr>
        <w:t xml:space="preserve"> informel </w:t>
      </w:r>
      <w:r w:rsidRPr="003424F2">
        <w:rPr>
          <w:lang w:val="fr-FR"/>
        </w:rPr>
        <w:t>:</w:t>
      </w:r>
      <w:r w:rsidRPr="003424F2">
        <w:rPr>
          <w:lang w:val="fr-FR"/>
        </w:rPr>
        <w:tab/>
      </w:r>
      <w:r w:rsidRPr="003424F2">
        <w:rPr>
          <w:lang w:val="fr-FR"/>
        </w:rPr>
        <w:tab/>
      </w:r>
      <w:r>
        <w:rPr>
          <w:lang w:val="fr-FR"/>
        </w:rPr>
        <w:t>INF.28 (France)</w:t>
      </w:r>
    </w:p>
    <w:p w:rsidR="0074396A" w:rsidRDefault="0074396A" w:rsidP="0074396A">
      <w:pPr>
        <w:pStyle w:val="SingleTxtG"/>
        <w:rPr>
          <w:color w:val="000000"/>
          <w:lang w:val="fr-FR"/>
        </w:rPr>
      </w:pPr>
      <w:r>
        <w:rPr>
          <w:color w:val="000000"/>
          <w:lang w:val="fr-FR"/>
        </w:rPr>
        <w:t>40.</w:t>
      </w:r>
      <w:r>
        <w:rPr>
          <w:color w:val="000000"/>
          <w:lang w:val="fr-FR"/>
        </w:rPr>
        <w:tab/>
        <w:t xml:space="preserve">La représentante de la France souhaitait avoir l’opinion du Groupe de travail sur la façon d’exprimer les quantités dans le document de transport suivant le 5.4.1.1.1 f). La question se posait de savoir si l’on </w:t>
      </w:r>
      <w:r w:rsidR="00491DEA">
        <w:rPr>
          <w:color w:val="000000"/>
          <w:lang w:val="fr-FR"/>
        </w:rPr>
        <w:t>devait</w:t>
      </w:r>
      <w:r>
        <w:rPr>
          <w:color w:val="000000"/>
          <w:lang w:val="fr-FR"/>
        </w:rPr>
        <w:t xml:space="preserve"> utiliser les unités requises au 1.1.3.6 et donc exprimer les quantités en volume pour les liquides, masse brute pour les objets et masse nette pour les solides ou si le 5.4.1.1.1 f) perme</w:t>
      </w:r>
      <w:r w:rsidR="00491DEA">
        <w:rPr>
          <w:color w:val="000000"/>
          <w:lang w:val="fr-FR"/>
        </w:rPr>
        <w:t>t</w:t>
      </w:r>
      <w:r>
        <w:rPr>
          <w:color w:val="000000"/>
          <w:lang w:val="fr-FR"/>
        </w:rPr>
        <w:t>t</w:t>
      </w:r>
      <w:r w:rsidR="00491DEA">
        <w:rPr>
          <w:color w:val="000000"/>
          <w:lang w:val="fr-FR"/>
        </w:rPr>
        <w:t>ait</w:t>
      </w:r>
      <w:r>
        <w:rPr>
          <w:color w:val="000000"/>
          <w:lang w:val="fr-FR"/>
        </w:rPr>
        <w:t xml:space="preserve"> d’autres alternatives comme par exemple d’exprimer la quantité de liquide en masse. Les délégations qui se sont exprimées considér</w:t>
      </w:r>
      <w:r w:rsidR="00491DEA">
        <w:rPr>
          <w:color w:val="000000"/>
          <w:lang w:val="fr-FR"/>
        </w:rPr>
        <w:t>aient que le 5.4.1.1.1 f) laissait</w:t>
      </w:r>
      <w:r>
        <w:rPr>
          <w:color w:val="000000"/>
          <w:lang w:val="fr-FR"/>
        </w:rPr>
        <w:t xml:space="preserve"> la liberté quant au choix des unités appropriées</w:t>
      </w:r>
      <w:r w:rsidR="00491DEA">
        <w:rPr>
          <w:color w:val="000000"/>
          <w:lang w:val="fr-FR"/>
        </w:rPr>
        <w:t xml:space="preserve"> et que l</w:t>
      </w:r>
      <w:r>
        <w:rPr>
          <w:color w:val="000000"/>
          <w:lang w:val="fr-FR"/>
        </w:rPr>
        <w:t>es indications du 1.1.3.6.3 concernant la quantité s’appliqu</w:t>
      </w:r>
      <w:r w:rsidR="00491DEA">
        <w:rPr>
          <w:color w:val="000000"/>
          <w:lang w:val="fr-FR"/>
        </w:rPr>
        <w:t>ai</w:t>
      </w:r>
      <w:r>
        <w:rPr>
          <w:color w:val="000000"/>
          <w:lang w:val="fr-FR"/>
        </w:rPr>
        <w:t>ent uniquement pour les transports exemptés suivant 1.1.3.6.</w:t>
      </w:r>
    </w:p>
    <w:p w:rsidR="00FC3A89" w:rsidRPr="00FC3A89" w:rsidRDefault="00FC3A89" w:rsidP="00FC3A89">
      <w:pPr>
        <w:pStyle w:val="SingleTxtG"/>
        <w:rPr>
          <w:lang w:val="fr-FR"/>
        </w:rPr>
      </w:pPr>
      <w:r>
        <w:rPr>
          <w:color w:val="000000"/>
          <w:lang w:val="fr-FR"/>
        </w:rPr>
        <w:t xml:space="preserve">41. </w:t>
      </w:r>
      <w:r>
        <w:rPr>
          <w:color w:val="000000"/>
          <w:lang w:val="fr-FR"/>
        </w:rPr>
        <w:tab/>
        <w:t xml:space="preserve">Le représentant de la Belgique a soulevé une incohérence entre la version française et la version anglaise du paragraphe 5.4.1.1.1 f). Il a été invité à présenter une proposition d’amendement à une prochaine session du </w:t>
      </w:r>
      <w:r w:rsidR="001A665B">
        <w:rPr>
          <w:color w:val="000000"/>
          <w:lang w:val="fr-FR"/>
        </w:rPr>
        <w:t>Sous-C</w:t>
      </w:r>
      <w:r w:rsidR="00F63415">
        <w:rPr>
          <w:color w:val="000000"/>
          <w:lang w:val="fr-FR"/>
        </w:rPr>
        <w:t>omité d’</w:t>
      </w:r>
      <w:r w:rsidR="001A665B">
        <w:rPr>
          <w:color w:val="000000"/>
          <w:lang w:val="fr-FR"/>
        </w:rPr>
        <w:t>experts pour le transport des m</w:t>
      </w:r>
      <w:r w:rsidR="00F63415">
        <w:rPr>
          <w:color w:val="000000"/>
          <w:lang w:val="fr-FR"/>
        </w:rPr>
        <w:t>archandises dangereuses</w:t>
      </w:r>
      <w:r w:rsidR="008C310B">
        <w:rPr>
          <w:color w:val="000000"/>
          <w:lang w:val="fr-FR"/>
        </w:rPr>
        <w:t>.</w:t>
      </w:r>
    </w:p>
    <w:p w:rsidR="00D34402" w:rsidRPr="00F078D1" w:rsidRDefault="00D34402" w:rsidP="00D34402">
      <w:pPr>
        <w:pStyle w:val="HChG"/>
        <w:rPr>
          <w:lang w:val="fr-FR"/>
        </w:rPr>
      </w:pPr>
      <w:r w:rsidRPr="00F078D1">
        <w:rPr>
          <w:lang w:val="fr-FR"/>
        </w:rPr>
        <w:tab/>
        <w:t>VIII.</w:t>
      </w:r>
      <w:r w:rsidRPr="00F078D1">
        <w:rPr>
          <w:lang w:val="fr-FR"/>
        </w:rPr>
        <w:tab/>
        <w:t>Programme de travail (point 7 de l’ordre du jour)</w:t>
      </w:r>
    </w:p>
    <w:p w:rsidR="0074396A" w:rsidRDefault="0074396A" w:rsidP="0074396A">
      <w:pPr>
        <w:pStyle w:val="H1G"/>
        <w:rPr>
          <w:lang w:val="fr-FR"/>
        </w:rPr>
      </w:pPr>
      <w:r>
        <w:rPr>
          <w:lang w:val="fr-FR"/>
        </w:rPr>
        <w:tab/>
        <w:t>A.</w:t>
      </w:r>
      <w:r>
        <w:rPr>
          <w:lang w:val="fr-FR"/>
        </w:rPr>
        <w:tab/>
        <w:t>Ordre du jour de la 105</w:t>
      </w:r>
      <w:r w:rsidRPr="003213D8">
        <w:rPr>
          <w:vertAlign w:val="superscript"/>
          <w:lang w:val="fr-FR"/>
        </w:rPr>
        <w:t>e</w:t>
      </w:r>
      <w:r>
        <w:rPr>
          <w:lang w:val="fr-FR"/>
        </w:rPr>
        <w:t xml:space="preserve"> session</w:t>
      </w:r>
    </w:p>
    <w:p w:rsidR="0074396A" w:rsidRPr="003213D8" w:rsidRDefault="0074396A" w:rsidP="0074396A">
      <w:pPr>
        <w:pStyle w:val="ParNoG"/>
        <w:numPr>
          <w:ilvl w:val="0"/>
          <w:numId w:val="0"/>
        </w:numPr>
        <w:tabs>
          <w:tab w:val="left" w:pos="708"/>
        </w:tabs>
        <w:ind w:left="1134"/>
      </w:pPr>
      <w:r>
        <w:t>42.</w:t>
      </w:r>
      <w:r>
        <w:tab/>
        <w:t>La 105</w:t>
      </w:r>
      <w:r w:rsidRPr="00A613E4">
        <w:t>e</w:t>
      </w:r>
      <w:r>
        <w:t xml:space="preserve"> session du Groupe de travail a été programmée du 6 au 9 novembre 2018. Les points de l’ordre du jour pour cette prochaine session seront les mêmes que pour la 104</w:t>
      </w:r>
      <w:r w:rsidRPr="00A613E4">
        <w:t>e</w:t>
      </w:r>
      <w:r>
        <w:t xml:space="preserve"> session, plus un point pour l’élection du Bureau. </w:t>
      </w:r>
    </w:p>
    <w:p w:rsidR="0074396A" w:rsidRPr="004369FC" w:rsidRDefault="0074396A" w:rsidP="0074396A">
      <w:pPr>
        <w:pStyle w:val="H1G"/>
        <w:rPr>
          <w:lang w:val="fr-FR"/>
        </w:rPr>
      </w:pPr>
      <w:r>
        <w:rPr>
          <w:lang w:val="fr-FR"/>
        </w:rPr>
        <w:tab/>
        <w:t>B</w:t>
      </w:r>
      <w:r w:rsidRPr="004369FC">
        <w:rPr>
          <w:lang w:val="fr-FR"/>
        </w:rPr>
        <w:t>.</w:t>
      </w:r>
      <w:r>
        <w:rPr>
          <w:lang w:val="fr-FR"/>
        </w:rPr>
        <w:tab/>
        <w:t>Amendements pour</w:t>
      </w:r>
      <w:r w:rsidRPr="004369FC">
        <w:rPr>
          <w:lang w:val="fr-FR"/>
        </w:rPr>
        <w:t xml:space="preserve"> </w:t>
      </w:r>
      <w:r>
        <w:rPr>
          <w:lang w:val="fr-FR"/>
        </w:rPr>
        <w:t xml:space="preserve">l’édition </w:t>
      </w:r>
      <w:r w:rsidRPr="004369FC">
        <w:rPr>
          <w:lang w:val="fr-FR"/>
        </w:rPr>
        <w:t>201</w:t>
      </w:r>
      <w:r>
        <w:rPr>
          <w:lang w:val="fr-FR"/>
        </w:rPr>
        <w:t>9 de l’ADR</w:t>
      </w:r>
    </w:p>
    <w:p w:rsidR="0074396A" w:rsidRDefault="0074396A" w:rsidP="0074396A">
      <w:pPr>
        <w:pStyle w:val="ParNoG"/>
        <w:numPr>
          <w:ilvl w:val="0"/>
          <w:numId w:val="0"/>
        </w:numPr>
        <w:tabs>
          <w:tab w:val="left" w:pos="708"/>
        </w:tabs>
        <w:ind w:left="1134"/>
      </w:pPr>
      <w:r>
        <w:t>43.</w:t>
      </w:r>
      <w:r>
        <w:tab/>
        <w:t xml:space="preserve">Les amendements adoptés lors de sessions précédentes pour </w:t>
      </w:r>
      <w:proofErr w:type="spellStart"/>
      <w:r>
        <w:t>entrée</w:t>
      </w:r>
      <w:proofErr w:type="spellEnd"/>
      <w:r>
        <w:t xml:space="preserve"> en vigueur au 1</w:t>
      </w:r>
      <w:r w:rsidRPr="003E19A8">
        <w:t>er</w:t>
      </w:r>
      <w:r>
        <w:t> janvier 2019 ont déjà été diffusés dans le document ECE/TRANS/WP.15/240</w:t>
      </w:r>
      <w:r w:rsidR="003E19A8" w:rsidRPr="00DA2E8F">
        <w:rPr>
          <w:rStyle w:val="FootnoteReference"/>
          <w:sz w:val="20"/>
        </w:rPr>
        <w:footnoteReference w:id="3"/>
      </w:r>
      <w:r>
        <w:t>. Le Groupe de travail a prié le secrétariat de diffuser ceux adoptés à la 104</w:t>
      </w:r>
      <w:r w:rsidRPr="003E19A8">
        <w:t>e</w:t>
      </w:r>
      <w:r>
        <w:t xml:space="preserve"> session et dont l’entrée en vigueur est prévue également le 1</w:t>
      </w:r>
      <w:r w:rsidR="001157E5">
        <w:t>er</w:t>
      </w:r>
      <w:r>
        <w:t> janvier 2019 sous la forme d’un rectificatif (ECE/TRANS/WP.15/240/Corr.1) pour ceux qui modifient les amendements précédemment adoptés, et d’un additif (ECE/TRANS/WP.15/240/Add.1) pour les nouveaux amendements.</w:t>
      </w:r>
    </w:p>
    <w:p w:rsidR="00E460A1" w:rsidRPr="005C4DF1" w:rsidRDefault="0074396A" w:rsidP="005C4DF1">
      <w:pPr>
        <w:pStyle w:val="ParNoG"/>
        <w:numPr>
          <w:ilvl w:val="0"/>
          <w:numId w:val="0"/>
        </w:numPr>
        <w:tabs>
          <w:tab w:val="left" w:pos="708"/>
        </w:tabs>
        <w:ind w:left="1134"/>
      </w:pPr>
      <w:r>
        <w:t>44.</w:t>
      </w:r>
      <w:r>
        <w:tab/>
        <w:t xml:space="preserve">Le Président a été invité à transmettre l’ensemble des amendements au Secrétaire général par l’intermédiaire de son gouvernement, de sorte qu’ils puissent être notifiés aux </w:t>
      </w:r>
      <w:r>
        <w:lastRenderedPageBreak/>
        <w:t>Parties contractantes à l’ADR le 1</w:t>
      </w:r>
      <w:r>
        <w:rPr>
          <w:vertAlign w:val="superscript"/>
        </w:rPr>
        <w:t>er</w:t>
      </w:r>
      <w:r>
        <w:t xml:space="preserve"> juillet 2018 pour acceptation conformément à la procédure énoncée à l’article 14 de l’ADR.</w:t>
      </w:r>
    </w:p>
    <w:p w:rsidR="00D34402" w:rsidRDefault="00D34402" w:rsidP="00D34402">
      <w:pPr>
        <w:pStyle w:val="HChG"/>
        <w:rPr>
          <w:lang w:val="fr-FR"/>
        </w:rPr>
      </w:pPr>
      <w:r w:rsidRPr="00F078D1">
        <w:rPr>
          <w:lang w:val="fr-FR"/>
        </w:rPr>
        <w:tab/>
        <w:t>IX.</w:t>
      </w:r>
      <w:r w:rsidRPr="00F078D1">
        <w:rPr>
          <w:lang w:val="fr-FR"/>
        </w:rPr>
        <w:tab/>
        <w:t>Questions diverses (point 8 de l’ordre du jour)</w:t>
      </w:r>
    </w:p>
    <w:p w:rsidR="0074396A" w:rsidRPr="00DE37DA" w:rsidRDefault="0074396A" w:rsidP="0074396A">
      <w:pPr>
        <w:pStyle w:val="H1G"/>
        <w:rPr>
          <w:lang w:val="fr-FR"/>
        </w:rPr>
      </w:pPr>
      <w:r>
        <w:rPr>
          <w:lang w:val="fr-FR"/>
        </w:rPr>
        <w:tab/>
      </w:r>
      <w:r w:rsidR="001157E5">
        <w:rPr>
          <w:lang w:val="fr-FR"/>
        </w:rPr>
        <w:t>A</w:t>
      </w:r>
      <w:r w:rsidR="00E157A7">
        <w:rPr>
          <w:lang w:val="fr-FR"/>
        </w:rPr>
        <w:t>.</w:t>
      </w:r>
      <w:r>
        <w:rPr>
          <w:lang w:val="fr-FR"/>
        </w:rPr>
        <w:tab/>
      </w:r>
      <w:r w:rsidR="00B90B26">
        <w:rPr>
          <w:lang w:val="fr-FR"/>
        </w:rPr>
        <w:t>Révision</w:t>
      </w:r>
      <w:r>
        <w:rPr>
          <w:lang w:val="fr-FR"/>
        </w:rPr>
        <w:t xml:space="preserve"> du titre actuel de l’ADR</w:t>
      </w:r>
    </w:p>
    <w:p w:rsidR="0074396A" w:rsidRPr="003424F2" w:rsidRDefault="0074396A" w:rsidP="0074396A">
      <w:pPr>
        <w:pStyle w:val="SingleTxtG"/>
        <w:keepNext/>
        <w:keepLines/>
        <w:ind w:left="2268" w:hanging="1134"/>
        <w:jc w:val="left"/>
        <w:rPr>
          <w:lang w:val="fr-FR"/>
        </w:rPr>
      </w:pPr>
      <w:r w:rsidRPr="003424F2">
        <w:rPr>
          <w:i/>
          <w:lang w:val="fr-FR"/>
        </w:rPr>
        <w:t>Document</w:t>
      </w:r>
      <w:r>
        <w:rPr>
          <w:i/>
          <w:lang w:val="fr-FR"/>
        </w:rPr>
        <w:t xml:space="preserve"> </w:t>
      </w:r>
      <w:r w:rsidRPr="003424F2">
        <w:rPr>
          <w:lang w:val="fr-FR"/>
        </w:rPr>
        <w:t>:</w:t>
      </w:r>
      <w:r w:rsidRPr="003424F2">
        <w:rPr>
          <w:lang w:val="fr-FR"/>
        </w:rPr>
        <w:tab/>
      </w:r>
      <w:r>
        <w:rPr>
          <w:lang w:val="fr-FR"/>
        </w:rPr>
        <w:tab/>
      </w:r>
      <w:r>
        <w:rPr>
          <w:lang w:val="fr-FR"/>
        </w:rPr>
        <w:tab/>
        <w:t>ECE/TRANS/WP.15/2018/3 (Secrétariat)</w:t>
      </w:r>
    </w:p>
    <w:p w:rsidR="0074396A" w:rsidRDefault="0074396A" w:rsidP="0074396A">
      <w:pPr>
        <w:pStyle w:val="SingleTxtG"/>
        <w:rPr>
          <w:color w:val="000000"/>
          <w:lang w:val="fr-FR"/>
        </w:rPr>
      </w:pPr>
      <w:r>
        <w:rPr>
          <w:color w:val="000000"/>
          <w:lang w:val="fr-FR"/>
        </w:rPr>
        <w:t>45.</w:t>
      </w:r>
      <w:r>
        <w:rPr>
          <w:color w:val="000000"/>
          <w:lang w:val="fr-FR"/>
        </w:rPr>
        <w:tab/>
        <w:t xml:space="preserve">Le Groupe de travail a examiné la proposition visant à supprimer le mot « européen » du titre actuel de l’ADR sur la base de la procédure présentée dans le document </w:t>
      </w:r>
      <w:r>
        <w:rPr>
          <w:lang w:val="fr-FR"/>
        </w:rPr>
        <w:t>ECE/TRANS/WP.15/2018/3</w:t>
      </w:r>
      <w:r>
        <w:rPr>
          <w:color w:val="000000"/>
          <w:lang w:val="fr-FR"/>
        </w:rPr>
        <w:t xml:space="preserve">. </w:t>
      </w:r>
    </w:p>
    <w:p w:rsidR="0074396A" w:rsidRDefault="0074396A" w:rsidP="0074396A">
      <w:pPr>
        <w:pStyle w:val="SingleTxtG"/>
        <w:rPr>
          <w:color w:val="000000"/>
          <w:lang w:val="fr-FR"/>
        </w:rPr>
      </w:pPr>
      <w:r>
        <w:rPr>
          <w:color w:val="000000"/>
          <w:lang w:val="fr-FR"/>
        </w:rPr>
        <w:t xml:space="preserve">46. </w:t>
      </w:r>
      <w:r>
        <w:rPr>
          <w:color w:val="000000"/>
          <w:lang w:val="fr-FR"/>
        </w:rPr>
        <w:tab/>
        <w:t xml:space="preserve">Le Président du Groupe de travail a appelé nominalement toutes les délégations présentes (23 parties contractantes représentées) à se prononcer sur l’opportunité de cette modification. La majorité des délégations se sont déclarées favorables à la suppression du mot « européen » dans le titre. Les autres délégations ont indiqué qu’elles n’avaient pas d’objection à ce changement. Les organisations inter-gouvernementales et non-gouvernementales présentes ont également appuyé cette démarche, en insistant sur les avantages de l’adhésion à l’accord d’un plus grand nombre de pays. </w:t>
      </w:r>
    </w:p>
    <w:p w:rsidR="0074396A" w:rsidRDefault="0074396A" w:rsidP="0074396A">
      <w:pPr>
        <w:pStyle w:val="SingleTxtG"/>
        <w:rPr>
          <w:color w:val="000000"/>
          <w:lang w:val="fr-FR"/>
        </w:rPr>
      </w:pPr>
      <w:r>
        <w:rPr>
          <w:color w:val="000000"/>
          <w:lang w:val="fr-FR"/>
        </w:rPr>
        <w:t>47.</w:t>
      </w:r>
      <w:r>
        <w:rPr>
          <w:color w:val="000000"/>
          <w:lang w:val="fr-FR"/>
        </w:rPr>
        <w:tab/>
      </w:r>
      <w:r w:rsidR="000E0F83">
        <w:rPr>
          <w:color w:val="000000"/>
          <w:lang w:val="fr-FR"/>
        </w:rPr>
        <w:t>Le Groupe de travail a chargé le secrétariat d’établir rapidement un projet de protocole d’amendement, en concertation avec le Bureau des affaires juridique</w:t>
      </w:r>
      <w:r w:rsidR="0076446A">
        <w:rPr>
          <w:color w:val="000000"/>
          <w:lang w:val="fr-FR"/>
        </w:rPr>
        <w:t>s</w:t>
      </w:r>
      <w:r w:rsidR="000E0F83">
        <w:rPr>
          <w:color w:val="000000"/>
          <w:lang w:val="fr-FR"/>
        </w:rPr>
        <w:t xml:space="preserve"> et en collaboration avec le Bureau. </w:t>
      </w:r>
      <w:r>
        <w:rPr>
          <w:color w:val="000000"/>
          <w:lang w:val="fr-FR"/>
        </w:rPr>
        <w:t xml:space="preserve">Le Directeur de la Division des Transports Durables et le Président du Groupe de travail ont chaleureusement félicité le Groupe pour cette décision. </w:t>
      </w:r>
    </w:p>
    <w:p w:rsidR="0074396A" w:rsidRDefault="00E157A7" w:rsidP="0074396A">
      <w:pPr>
        <w:pStyle w:val="SingleTxtG"/>
        <w:rPr>
          <w:color w:val="000000"/>
          <w:lang w:val="fr-FR"/>
        </w:rPr>
      </w:pPr>
      <w:r>
        <w:rPr>
          <w:color w:val="000000"/>
          <w:lang w:val="fr-FR"/>
        </w:rPr>
        <w:t>48.</w:t>
      </w:r>
      <w:r w:rsidR="0074396A">
        <w:rPr>
          <w:color w:val="000000"/>
          <w:lang w:val="fr-FR"/>
        </w:rPr>
        <w:tab/>
        <w:t xml:space="preserve">En vue du délai nécessaire pour la procédure juridique, en vertu de l’article 13 de l’ADR, le Groupe de travail a estimé qu’il </w:t>
      </w:r>
      <w:r w:rsidR="00F63415">
        <w:rPr>
          <w:color w:val="000000"/>
          <w:lang w:val="fr-FR"/>
        </w:rPr>
        <w:t xml:space="preserve">serait </w:t>
      </w:r>
      <w:r w:rsidR="0074396A">
        <w:rPr>
          <w:color w:val="000000"/>
          <w:lang w:val="fr-FR"/>
        </w:rPr>
        <w:t xml:space="preserve">plus judicieux de tenir la Conférence des Parties lors de la </w:t>
      </w:r>
      <w:r w:rsidR="00F63415">
        <w:rPr>
          <w:color w:val="000000"/>
          <w:lang w:val="fr-FR"/>
        </w:rPr>
        <w:t>106</w:t>
      </w:r>
      <w:r w:rsidR="00F63415" w:rsidRPr="00A613E4">
        <w:rPr>
          <w:color w:val="000000"/>
          <w:lang w:val="fr-FR"/>
        </w:rPr>
        <w:t>e</w:t>
      </w:r>
      <w:r w:rsidR="00F63415">
        <w:rPr>
          <w:color w:val="000000"/>
          <w:lang w:val="fr-FR"/>
        </w:rPr>
        <w:t xml:space="preserve"> </w:t>
      </w:r>
      <w:r w:rsidR="0074396A">
        <w:rPr>
          <w:color w:val="000000"/>
          <w:lang w:val="fr-FR"/>
        </w:rPr>
        <w:t>session du Groupe de travail.</w:t>
      </w:r>
    </w:p>
    <w:p w:rsidR="0074396A" w:rsidRDefault="0074396A" w:rsidP="00A613E4">
      <w:pPr>
        <w:pStyle w:val="SingleTxtG"/>
        <w:rPr>
          <w:color w:val="000000"/>
          <w:lang w:val="fr-FR"/>
        </w:rPr>
      </w:pPr>
      <w:r>
        <w:rPr>
          <w:color w:val="000000"/>
          <w:lang w:val="fr-FR"/>
        </w:rPr>
        <w:t>49.</w:t>
      </w:r>
      <w:r>
        <w:rPr>
          <w:color w:val="000000"/>
          <w:lang w:val="fr-FR"/>
        </w:rPr>
        <w:tab/>
        <w:t>Le secrétariat informera le Groupe de travail de l’avancée des procédures administratives lors de la prochaine session.</w:t>
      </w:r>
    </w:p>
    <w:p w:rsidR="007C512E" w:rsidRPr="00DE37DA" w:rsidRDefault="007C512E" w:rsidP="007C512E">
      <w:pPr>
        <w:pStyle w:val="H1G"/>
        <w:rPr>
          <w:lang w:val="fr-FR"/>
        </w:rPr>
      </w:pPr>
      <w:r>
        <w:rPr>
          <w:lang w:val="fr-FR"/>
        </w:rPr>
        <w:tab/>
      </w:r>
      <w:r w:rsidR="001157E5">
        <w:rPr>
          <w:lang w:val="fr-FR"/>
        </w:rPr>
        <w:t>B</w:t>
      </w:r>
      <w:r w:rsidR="00E157A7">
        <w:rPr>
          <w:lang w:val="fr-FR"/>
        </w:rPr>
        <w:t>.</w:t>
      </w:r>
      <w:r>
        <w:rPr>
          <w:lang w:val="fr-FR"/>
        </w:rPr>
        <w:tab/>
        <w:t xml:space="preserve">Avenir des travaux du Groupe de travail </w:t>
      </w:r>
    </w:p>
    <w:p w:rsidR="007C512E" w:rsidRPr="003424F2" w:rsidRDefault="007C512E" w:rsidP="007C512E">
      <w:pPr>
        <w:pStyle w:val="SingleTxtG"/>
        <w:keepNext/>
        <w:keepLines/>
        <w:ind w:left="2268" w:hanging="1134"/>
        <w:jc w:val="left"/>
        <w:rPr>
          <w:lang w:val="fr-FR"/>
        </w:rPr>
      </w:pPr>
      <w:r w:rsidRPr="003424F2">
        <w:rPr>
          <w:i/>
          <w:lang w:val="fr-FR"/>
        </w:rPr>
        <w:t>Document</w:t>
      </w:r>
      <w:r>
        <w:rPr>
          <w:i/>
          <w:lang w:val="fr-FR"/>
        </w:rPr>
        <w:t xml:space="preserve"> informel </w:t>
      </w:r>
      <w:r w:rsidRPr="003424F2">
        <w:rPr>
          <w:lang w:val="fr-FR"/>
        </w:rPr>
        <w:t>:</w:t>
      </w:r>
      <w:r w:rsidRPr="003424F2">
        <w:rPr>
          <w:lang w:val="fr-FR"/>
        </w:rPr>
        <w:tab/>
      </w:r>
      <w:r>
        <w:rPr>
          <w:lang w:val="fr-FR"/>
        </w:rPr>
        <w:tab/>
        <w:t>INF.3 (Secrétariat)</w:t>
      </w:r>
    </w:p>
    <w:p w:rsidR="007C512E" w:rsidRDefault="007C512E" w:rsidP="007C512E">
      <w:pPr>
        <w:pStyle w:val="SingleTxtG"/>
        <w:rPr>
          <w:color w:val="000000"/>
          <w:lang w:val="fr-FR"/>
        </w:rPr>
      </w:pPr>
      <w:r>
        <w:rPr>
          <w:color w:val="000000"/>
          <w:lang w:val="fr-FR"/>
        </w:rPr>
        <w:t>50.</w:t>
      </w:r>
      <w:r>
        <w:rPr>
          <w:color w:val="000000"/>
          <w:lang w:val="fr-FR"/>
        </w:rPr>
        <w:tab/>
        <w:t>À la demande du Groupe de travail, le secrétariat a résumé les discussions de la 103</w:t>
      </w:r>
      <w:r w:rsidRPr="00A613E4">
        <w:rPr>
          <w:color w:val="000000"/>
          <w:lang w:val="fr-FR"/>
        </w:rPr>
        <w:t>e</w:t>
      </w:r>
      <w:r w:rsidRPr="00F63415">
        <w:rPr>
          <w:color w:val="000000"/>
          <w:lang w:val="fr-FR"/>
        </w:rPr>
        <w:t xml:space="preserve"> </w:t>
      </w:r>
      <w:r>
        <w:rPr>
          <w:color w:val="000000"/>
          <w:lang w:val="fr-FR"/>
        </w:rPr>
        <w:t>session sur l’avenir du Groupe de travail et comment les travaux du Groupe peuvent contribuer à la concrétisation des Objectifs pour le Développement Durable.</w:t>
      </w:r>
    </w:p>
    <w:p w:rsidR="007C512E" w:rsidRDefault="007C512E" w:rsidP="007C512E">
      <w:pPr>
        <w:pStyle w:val="SingleTxtG"/>
        <w:rPr>
          <w:color w:val="000000"/>
          <w:lang w:val="fr-FR"/>
        </w:rPr>
      </w:pPr>
      <w:r>
        <w:rPr>
          <w:color w:val="000000"/>
          <w:lang w:val="fr-FR"/>
        </w:rPr>
        <w:t>51.</w:t>
      </w:r>
      <w:r>
        <w:rPr>
          <w:color w:val="000000"/>
          <w:lang w:val="fr-FR"/>
        </w:rPr>
        <w:tab/>
        <w:t>Plusieurs délégations ont proposé des idées pour améliorer et développer les travaux du Groupe de travail comme par exemple :</w:t>
      </w:r>
    </w:p>
    <w:p w:rsidR="007C512E" w:rsidRDefault="007C512E" w:rsidP="00B90B26">
      <w:pPr>
        <w:pStyle w:val="Bullet1G"/>
        <w:numPr>
          <w:ilvl w:val="0"/>
          <w:numId w:val="16"/>
        </w:numPr>
        <w:rPr>
          <w:lang w:val="fr-FR"/>
        </w:rPr>
      </w:pPr>
      <w:r>
        <w:rPr>
          <w:lang w:val="fr-FR"/>
        </w:rPr>
        <w:t xml:space="preserve">Modifier le rythme et la durée des session du Groupe de travail ; </w:t>
      </w:r>
      <w:proofErr w:type="gramStart"/>
      <w:r>
        <w:rPr>
          <w:lang w:val="fr-FR"/>
        </w:rPr>
        <w:t>ou</w:t>
      </w:r>
      <w:proofErr w:type="gramEnd"/>
    </w:p>
    <w:p w:rsidR="007C512E" w:rsidRDefault="007C512E" w:rsidP="00B90B26">
      <w:pPr>
        <w:pStyle w:val="Bullet1G"/>
        <w:numPr>
          <w:ilvl w:val="0"/>
          <w:numId w:val="16"/>
        </w:numPr>
        <w:rPr>
          <w:lang w:val="fr-FR"/>
        </w:rPr>
      </w:pPr>
      <w:r>
        <w:rPr>
          <w:lang w:val="fr-FR"/>
        </w:rPr>
        <w:t>Développer de nouveaux outils d’aide à la mise en œuvre de l’ADR, tels que des fiches d’exemples ou des informations plus visibles sur les questions d’interprétation traitées en session.</w:t>
      </w:r>
    </w:p>
    <w:p w:rsidR="007C512E" w:rsidRDefault="00E157A7" w:rsidP="007C512E">
      <w:pPr>
        <w:pStyle w:val="SingleTxtG"/>
        <w:rPr>
          <w:color w:val="000000"/>
          <w:lang w:val="fr-FR"/>
        </w:rPr>
      </w:pPr>
      <w:r>
        <w:rPr>
          <w:color w:val="000000"/>
          <w:lang w:val="fr-FR"/>
        </w:rPr>
        <w:t>52.</w:t>
      </w:r>
      <w:r w:rsidR="007C512E">
        <w:rPr>
          <w:color w:val="000000"/>
          <w:lang w:val="fr-FR"/>
        </w:rPr>
        <w:tab/>
        <w:t>Le Président a invité le Groupe de travail à continuer ses réflexions sur l’amélioration des procédures de travail du Groupe et à poursuivre cette discussion ultérieurement.</w:t>
      </w:r>
    </w:p>
    <w:p w:rsidR="007C512E" w:rsidRPr="00740164" w:rsidRDefault="007C512E" w:rsidP="007C512E">
      <w:pPr>
        <w:pStyle w:val="H1G"/>
        <w:rPr>
          <w:lang w:val="fr-FR"/>
        </w:rPr>
      </w:pPr>
      <w:r>
        <w:rPr>
          <w:lang w:val="fr-FR"/>
        </w:rPr>
        <w:lastRenderedPageBreak/>
        <w:tab/>
      </w:r>
      <w:r w:rsidR="001157E5">
        <w:rPr>
          <w:lang w:val="fr-FR"/>
        </w:rPr>
        <w:t>C</w:t>
      </w:r>
      <w:r w:rsidR="00E157A7">
        <w:rPr>
          <w:lang w:val="fr-FR"/>
        </w:rPr>
        <w:t>.</w:t>
      </w:r>
      <w:r>
        <w:rPr>
          <w:lang w:val="fr-FR"/>
        </w:rPr>
        <w:tab/>
        <w:t xml:space="preserve">Report du numéro de certificat au verso du certificat de formation de conducteur selon le 8.2.2.8.5 </w:t>
      </w:r>
    </w:p>
    <w:p w:rsidR="007C512E" w:rsidRDefault="007C512E" w:rsidP="007C512E">
      <w:pPr>
        <w:pStyle w:val="SingleTxtG"/>
        <w:keepNext/>
        <w:keepLines/>
        <w:ind w:left="2268" w:hanging="1134"/>
        <w:jc w:val="left"/>
        <w:rPr>
          <w:lang w:val="fr-FR"/>
        </w:rPr>
      </w:pPr>
      <w:r>
        <w:rPr>
          <w:i/>
          <w:lang w:val="fr-FR"/>
        </w:rPr>
        <w:t xml:space="preserve">Document informel </w:t>
      </w:r>
      <w:r>
        <w:rPr>
          <w:lang w:val="fr-FR"/>
        </w:rPr>
        <w:t>:</w:t>
      </w:r>
      <w:r>
        <w:rPr>
          <w:lang w:val="fr-FR"/>
        </w:rPr>
        <w:tab/>
      </w:r>
      <w:r>
        <w:rPr>
          <w:lang w:val="fr-FR"/>
        </w:rPr>
        <w:tab/>
        <w:t>INF.5 (Allemagne)</w:t>
      </w:r>
    </w:p>
    <w:p w:rsidR="007C512E" w:rsidRDefault="00E157A7" w:rsidP="005C4DF1">
      <w:pPr>
        <w:pStyle w:val="SingleTxtG"/>
        <w:rPr>
          <w:color w:val="000000"/>
          <w:lang w:val="fr-FR"/>
        </w:rPr>
      </w:pPr>
      <w:r>
        <w:rPr>
          <w:color w:val="000000"/>
          <w:lang w:val="fr-FR"/>
        </w:rPr>
        <w:t>53.</w:t>
      </w:r>
      <w:r w:rsidR="005C4DF1">
        <w:rPr>
          <w:color w:val="000000"/>
          <w:lang w:val="fr-FR"/>
        </w:rPr>
        <w:tab/>
        <w:t>La plupart des délégations qui se sont prononcées ont indiqué que l’ajout du numéro de certificat au verso du certificat de formation de conducteur pouvait être utile mais que cela ne pouvait pas être considéré comme un élément de sûreté supplémentaire conformément au 8.2.2.3. Ils ont également indiqué que si une proposition officielle est présentée à une prochaine session, elle devra considérer l’ajout de périodes de transition. La représentante de l’Allemagne a informé le Groupe qu’elle présentera un document officiel en ce sens à une prochaine session et qu’elle prendra en considération les commentaires reçus.</w:t>
      </w:r>
    </w:p>
    <w:p w:rsidR="007C512E" w:rsidRPr="00084455" w:rsidRDefault="007C512E" w:rsidP="007C512E">
      <w:pPr>
        <w:pStyle w:val="H1G"/>
      </w:pPr>
      <w:r>
        <w:rPr>
          <w:lang w:val="fr-FR"/>
        </w:rPr>
        <w:tab/>
      </w:r>
      <w:r w:rsidR="001157E5">
        <w:t>D</w:t>
      </w:r>
      <w:r w:rsidR="00E157A7">
        <w:t>.</w:t>
      </w:r>
      <w:r w:rsidRPr="00A613E4">
        <w:tab/>
      </w:r>
      <w:r w:rsidRPr="00084455">
        <w:t xml:space="preserve">Tableau consolidé sur l’applicabilité des </w:t>
      </w:r>
      <w:r>
        <w:t xml:space="preserve">prescriptions </w:t>
      </w:r>
      <w:r w:rsidRPr="00084455">
        <w:t xml:space="preserve">de la Partie 9 de l’ADR pour </w:t>
      </w:r>
      <w:r>
        <w:t xml:space="preserve">les véhicules EX/II, EX/III, FL et AT </w:t>
      </w:r>
      <w:r w:rsidRPr="00084455">
        <w:t xml:space="preserve">et </w:t>
      </w:r>
      <w:r>
        <w:t xml:space="preserve">les </w:t>
      </w:r>
      <w:proofErr w:type="spellStart"/>
      <w:r w:rsidRPr="00084455">
        <w:t>MEMUs</w:t>
      </w:r>
      <w:proofErr w:type="spellEnd"/>
    </w:p>
    <w:p w:rsidR="007C512E" w:rsidRDefault="007C512E" w:rsidP="007C512E">
      <w:pPr>
        <w:pStyle w:val="SingleTxtG"/>
        <w:keepNext/>
        <w:keepLines/>
        <w:ind w:left="2268" w:hanging="1134"/>
        <w:jc w:val="left"/>
        <w:rPr>
          <w:lang w:val="fr-FR"/>
        </w:rPr>
      </w:pPr>
      <w:r>
        <w:rPr>
          <w:i/>
          <w:lang w:val="fr-FR"/>
        </w:rPr>
        <w:t xml:space="preserve">Document informel </w:t>
      </w:r>
      <w:r>
        <w:rPr>
          <w:lang w:val="fr-FR"/>
        </w:rPr>
        <w:t>:</w:t>
      </w:r>
      <w:r>
        <w:rPr>
          <w:lang w:val="fr-FR"/>
        </w:rPr>
        <w:tab/>
      </w:r>
      <w:r>
        <w:rPr>
          <w:lang w:val="fr-FR"/>
        </w:rPr>
        <w:tab/>
        <w:t>INF.9 (Roumanie)</w:t>
      </w:r>
    </w:p>
    <w:p w:rsidR="007C512E" w:rsidRDefault="007C512E" w:rsidP="007C512E">
      <w:pPr>
        <w:pStyle w:val="SingleTxtG"/>
        <w:rPr>
          <w:color w:val="000000"/>
          <w:lang w:val="fr-FR"/>
        </w:rPr>
      </w:pPr>
      <w:r>
        <w:rPr>
          <w:color w:val="000000"/>
          <w:lang w:val="fr-FR"/>
        </w:rPr>
        <w:t>54.</w:t>
      </w:r>
      <w:r>
        <w:rPr>
          <w:color w:val="000000"/>
          <w:lang w:val="fr-FR"/>
        </w:rPr>
        <w:tab/>
        <w:t>Les délégations qui se sont prononcées ont estimé que le document préparé par la Roumanie pouvait constituer des lignes directrices très utiles. Ils ont par ailleurs demandé à ce que le document soit soumis sous forme de document officiel lors de la prochaine session. Les délégations qui le souhaiteraient pourront envoyer leurs commentaires au représentant de la Roumanie.</w:t>
      </w:r>
    </w:p>
    <w:p w:rsidR="007C512E" w:rsidRPr="007E79D8" w:rsidRDefault="007C512E" w:rsidP="007C512E">
      <w:pPr>
        <w:pStyle w:val="H1G"/>
        <w:rPr>
          <w:lang w:val="fr-FR"/>
        </w:rPr>
      </w:pPr>
      <w:r>
        <w:rPr>
          <w:lang w:val="fr-FR"/>
        </w:rPr>
        <w:tab/>
      </w:r>
      <w:r w:rsidR="001157E5">
        <w:rPr>
          <w:lang w:val="fr-FR"/>
        </w:rPr>
        <w:t>E</w:t>
      </w:r>
      <w:r w:rsidR="00E157A7">
        <w:rPr>
          <w:lang w:val="fr-FR"/>
        </w:rPr>
        <w:t>.</w:t>
      </w:r>
      <w:r w:rsidR="00584D23">
        <w:rPr>
          <w:lang w:val="fr-FR"/>
        </w:rPr>
        <w:tab/>
        <w:t>Surveillance des véhicules</w:t>
      </w:r>
      <w:r w:rsidR="00EB6ED9">
        <w:rPr>
          <w:lang w:val="fr-FR"/>
        </w:rPr>
        <w:t xml:space="preserve"> (</w:t>
      </w:r>
      <w:r w:rsidR="00584D23">
        <w:rPr>
          <w:lang w:val="fr-FR"/>
        </w:rPr>
        <w:t>c</w:t>
      </w:r>
      <w:r>
        <w:rPr>
          <w:lang w:val="fr-FR"/>
        </w:rPr>
        <w:t>hapitre 8.5</w:t>
      </w:r>
      <w:r w:rsidR="00EB6ED9">
        <w:rPr>
          <w:lang w:val="fr-FR"/>
        </w:rPr>
        <w:t>)</w:t>
      </w:r>
    </w:p>
    <w:p w:rsidR="007C512E" w:rsidRDefault="007C512E" w:rsidP="007C512E">
      <w:pPr>
        <w:pStyle w:val="SingleTxtG"/>
        <w:keepNext/>
        <w:keepLines/>
        <w:ind w:left="2268" w:hanging="1134"/>
        <w:jc w:val="left"/>
        <w:rPr>
          <w:lang w:val="fr-FR"/>
        </w:rPr>
      </w:pPr>
      <w:r>
        <w:rPr>
          <w:i/>
          <w:lang w:val="fr-FR"/>
        </w:rPr>
        <w:t xml:space="preserve">Document informel </w:t>
      </w:r>
      <w:r>
        <w:rPr>
          <w:lang w:val="fr-FR"/>
        </w:rPr>
        <w:t>:</w:t>
      </w:r>
      <w:r>
        <w:rPr>
          <w:lang w:val="fr-FR"/>
        </w:rPr>
        <w:tab/>
      </w:r>
      <w:r>
        <w:rPr>
          <w:lang w:val="fr-FR"/>
        </w:rPr>
        <w:tab/>
        <w:t>INF.16 (Suède)</w:t>
      </w:r>
    </w:p>
    <w:p w:rsidR="007C512E" w:rsidRDefault="007C512E" w:rsidP="007C512E">
      <w:pPr>
        <w:pStyle w:val="SingleTxtG"/>
        <w:rPr>
          <w:color w:val="000000"/>
          <w:lang w:val="fr-FR"/>
        </w:rPr>
      </w:pPr>
      <w:r>
        <w:rPr>
          <w:color w:val="000000"/>
          <w:lang w:val="fr-FR"/>
        </w:rPr>
        <w:t>55.</w:t>
      </w:r>
      <w:r>
        <w:rPr>
          <w:color w:val="000000"/>
          <w:lang w:val="fr-FR"/>
        </w:rPr>
        <w:tab/>
        <w:t>Le Groupe de travail a examiné le document informel de la Suède sur le niveau minimum acceptable de surveillance des véhicules. La Suède a indiqué que les prescriptions du chapitre 8.5 n’étai</w:t>
      </w:r>
      <w:r w:rsidR="0076446A">
        <w:rPr>
          <w:color w:val="000000"/>
          <w:lang w:val="fr-FR"/>
        </w:rPr>
        <w:t>en</w:t>
      </w:r>
      <w:r>
        <w:rPr>
          <w:color w:val="000000"/>
          <w:lang w:val="fr-FR"/>
        </w:rPr>
        <w:t>t pas claires en ce qui concerne l’interprétation de « surveillance ».</w:t>
      </w:r>
    </w:p>
    <w:p w:rsidR="00884911" w:rsidRDefault="007C512E" w:rsidP="007C512E">
      <w:pPr>
        <w:pStyle w:val="SingleTxtG"/>
        <w:rPr>
          <w:color w:val="000000"/>
        </w:rPr>
      </w:pPr>
      <w:r w:rsidRPr="002B16AC">
        <w:rPr>
          <w:color w:val="000000"/>
        </w:rPr>
        <w:t>5</w:t>
      </w:r>
      <w:r>
        <w:rPr>
          <w:color w:val="000000"/>
        </w:rPr>
        <w:t>6</w:t>
      </w:r>
      <w:r w:rsidR="00E157A7">
        <w:rPr>
          <w:color w:val="000000"/>
        </w:rPr>
        <w:t>.</w:t>
      </w:r>
      <w:r>
        <w:rPr>
          <w:color w:val="000000"/>
        </w:rPr>
        <w:tab/>
      </w:r>
      <w:r w:rsidRPr="002B16AC">
        <w:rPr>
          <w:color w:val="000000"/>
        </w:rPr>
        <w:t>Plusieurs délégatio</w:t>
      </w:r>
      <w:r>
        <w:rPr>
          <w:color w:val="000000"/>
        </w:rPr>
        <w:t xml:space="preserve">ns ont partagé les préoccupations de la Suède concernant le manque de clarté dans ce chapitre. La Suède a indiqué </w:t>
      </w:r>
      <w:r w:rsidR="00BF5FBD">
        <w:rPr>
          <w:color w:val="000000"/>
        </w:rPr>
        <w:t>collaborer déjà</w:t>
      </w:r>
      <w:r>
        <w:rPr>
          <w:color w:val="000000"/>
        </w:rPr>
        <w:t xml:space="preserve"> avec la Norvège et a </w:t>
      </w:r>
      <w:r w:rsidR="00BF5FBD">
        <w:rPr>
          <w:color w:val="000000"/>
        </w:rPr>
        <w:t>déclaré</w:t>
      </w:r>
      <w:r>
        <w:rPr>
          <w:color w:val="000000"/>
        </w:rPr>
        <w:t xml:space="preserve"> poursuivre le travail à ce sujet. Elle a également invité les délégations qui le souhaitent à lui envoyer leurs commentaires de préférence par courrier électronique.</w:t>
      </w:r>
    </w:p>
    <w:p w:rsidR="007C512E" w:rsidRDefault="00E157A7" w:rsidP="00884911">
      <w:pPr>
        <w:pStyle w:val="SingleTxtG"/>
        <w:rPr>
          <w:color w:val="000000"/>
        </w:rPr>
      </w:pPr>
      <w:r>
        <w:rPr>
          <w:color w:val="000000"/>
        </w:rPr>
        <w:t>57.</w:t>
      </w:r>
      <w:r w:rsidR="00884911">
        <w:rPr>
          <w:color w:val="000000"/>
        </w:rPr>
        <w:tab/>
        <w:t xml:space="preserve">Le Groupe de travail a </w:t>
      </w:r>
      <w:r w:rsidR="00884911">
        <w:rPr>
          <w:color w:val="000000"/>
          <w:lang w:val="fr-FR"/>
        </w:rPr>
        <w:t xml:space="preserve">regretté l’absence de l’IRU lors de cette discussion et </w:t>
      </w:r>
      <w:r w:rsidR="00BF5FBD">
        <w:rPr>
          <w:color w:val="000000"/>
          <w:lang w:val="fr-FR"/>
        </w:rPr>
        <w:t xml:space="preserve">a </w:t>
      </w:r>
      <w:r w:rsidR="00523539">
        <w:rPr>
          <w:color w:val="000000"/>
          <w:lang w:val="fr-FR"/>
        </w:rPr>
        <w:t xml:space="preserve">souhaité </w:t>
      </w:r>
      <w:r w:rsidR="00BF5FBD">
        <w:rPr>
          <w:color w:val="000000"/>
          <w:lang w:val="fr-FR"/>
        </w:rPr>
        <w:t xml:space="preserve">voir </w:t>
      </w:r>
      <w:r w:rsidR="00523539">
        <w:rPr>
          <w:color w:val="000000"/>
          <w:lang w:val="fr-FR"/>
        </w:rPr>
        <w:t xml:space="preserve">une participation active </w:t>
      </w:r>
      <w:r w:rsidR="00BF5FBD">
        <w:rPr>
          <w:color w:val="000000"/>
          <w:lang w:val="fr-FR"/>
        </w:rPr>
        <w:t xml:space="preserve">de ses représentants </w:t>
      </w:r>
      <w:r w:rsidR="00884911">
        <w:rPr>
          <w:color w:val="000000"/>
          <w:lang w:val="fr-FR"/>
        </w:rPr>
        <w:t xml:space="preserve">lors des prochaines sessions du Groupe de travail, particulièrement </w:t>
      </w:r>
      <w:r w:rsidR="00523539">
        <w:rPr>
          <w:color w:val="000000"/>
          <w:lang w:val="fr-FR"/>
        </w:rPr>
        <w:t>pendant l</w:t>
      </w:r>
      <w:r w:rsidR="00884911">
        <w:rPr>
          <w:color w:val="000000"/>
          <w:lang w:val="fr-FR"/>
        </w:rPr>
        <w:t xml:space="preserve">es discussions en rapport direct avec les transporteurs routiers. </w:t>
      </w:r>
      <w:r w:rsidR="007C512E">
        <w:rPr>
          <w:color w:val="000000"/>
        </w:rPr>
        <w:t xml:space="preserve"> </w:t>
      </w:r>
    </w:p>
    <w:p w:rsidR="007C512E" w:rsidRPr="004D55EA" w:rsidRDefault="007C512E" w:rsidP="007C512E">
      <w:pPr>
        <w:pStyle w:val="H1G"/>
      </w:pPr>
      <w:r w:rsidRPr="002B16AC">
        <w:tab/>
      </w:r>
      <w:r w:rsidR="001157E5">
        <w:t>F</w:t>
      </w:r>
      <w:r w:rsidR="00C3452D">
        <w:t>.</w:t>
      </w:r>
      <w:r w:rsidRPr="00A613E4">
        <w:tab/>
      </w:r>
      <w:r w:rsidRPr="004D55EA">
        <w:t>Marquage des unit</w:t>
      </w:r>
      <w:r>
        <w:t>é</w:t>
      </w:r>
      <w:r w:rsidRPr="004D55EA">
        <w:t>s de transport et des conteneurs transportant des marchandises dangereuses en quantités limitées</w:t>
      </w:r>
      <w:r>
        <w:t xml:space="preserve"> </w:t>
      </w:r>
    </w:p>
    <w:p w:rsidR="007C512E" w:rsidRDefault="007C512E" w:rsidP="007C512E">
      <w:pPr>
        <w:pStyle w:val="SingleTxtG"/>
        <w:keepNext/>
        <w:keepLines/>
        <w:ind w:left="2268" w:hanging="1134"/>
        <w:jc w:val="left"/>
        <w:rPr>
          <w:lang w:val="fr-FR"/>
        </w:rPr>
      </w:pPr>
      <w:r w:rsidRPr="0083270C">
        <w:rPr>
          <w:i/>
        </w:rPr>
        <w:t xml:space="preserve">Document informel </w:t>
      </w:r>
      <w:r w:rsidRPr="0083270C">
        <w:t>:</w:t>
      </w:r>
      <w:r w:rsidRPr="0083270C">
        <w:tab/>
      </w:r>
      <w:r w:rsidRPr="0083270C">
        <w:tab/>
        <w:t>INF.23 (</w:t>
      </w:r>
      <w:r>
        <w:rPr>
          <w:lang w:val="fr-FR"/>
        </w:rPr>
        <w:t>Suisse)</w:t>
      </w:r>
    </w:p>
    <w:p w:rsidR="00F24C54" w:rsidRPr="00F24C54" w:rsidRDefault="00F24C54" w:rsidP="00F24C54">
      <w:pPr>
        <w:pStyle w:val="SingleTxtG"/>
        <w:rPr>
          <w:color w:val="000000"/>
          <w:lang w:val="fr-FR"/>
        </w:rPr>
      </w:pPr>
      <w:r>
        <w:rPr>
          <w:color w:val="000000"/>
          <w:lang w:val="fr-FR"/>
        </w:rPr>
        <w:t>58.</w:t>
      </w:r>
      <w:r>
        <w:rPr>
          <w:color w:val="000000"/>
          <w:lang w:val="fr-FR"/>
        </w:rPr>
        <w:tab/>
        <w:t xml:space="preserve">Le représentant de la Suisse a souhaité attirer l’attention du Groupe de travail sur la question du marquage des unités de </w:t>
      </w:r>
      <w:r w:rsidRPr="004D55EA">
        <w:t>transport et des conteneurs transportant des marchandises dangereuses en quantités limitées.</w:t>
      </w:r>
      <w:r>
        <w:t xml:space="preserve"> </w:t>
      </w:r>
      <w:r>
        <w:rPr>
          <w:color w:val="000000"/>
          <w:lang w:val="fr-FR"/>
        </w:rPr>
        <w:t xml:space="preserve">Il a rappelé que la Suède avait initialement soulevé le sujet lors de la réunion commune (voir ECE/TRANS/WP.15/AC.1/150). Les délégations qui se sont prononcées ont estimé ne pas être en mesure de faire des commentaires à ce stade et émis le souhait d’avoir un document officiel, soumis à la réunion commune. </w:t>
      </w:r>
    </w:p>
    <w:p w:rsidR="007C512E" w:rsidRPr="00E32019" w:rsidRDefault="007C512E" w:rsidP="007C512E">
      <w:pPr>
        <w:pStyle w:val="H1G"/>
      </w:pPr>
      <w:r w:rsidRPr="0083270C">
        <w:lastRenderedPageBreak/>
        <w:tab/>
      </w:r>
      <w:r w:rsidR="001157E5">
        <w:t>G</w:t>
      </w:r>
      <w:r w:rsidR="00C3452D">
        <w:t>.</w:t>
      </w:r>
      <w:r w:rsidRPr="00F24C54">
        <w:tab/>
      </w:r>
      <w:r w:rsidRPr="00E32019">
        <w:t xml:space="preserve">Changement des </w:t>
      </w:r>
      <w:r>
        <w:t>matières</w:t>
      </w:r>
      <w:r w:rsidRPr="00E32019">
        <w:t xml:space="preserve"> chargé</w:t>
      </w:r>
      <w:r>
        <w:t>e</w:t>
      </w:r>
      <w:r w:rsidRPr="00E32019">
        <w:t xml:space="preserve">s dans les véhicules-citernes </w:t>
      </w:r>
    </w:p>
    <w:p w:rsidR="007C512E" w:rsidRDefault="007C512E" w:rsidP="007C512E">
      <w:pPr>
        <w:pStyle w:val="SingleTxtG"/>
        <w:keepNext/>
        <w:keepLines/>
        <w:ind w:left="2268" w:hanging="1134"/>
        <w:jc w:val="left"/>
        <w:rPr>
          <w:lang w:val="fr-FR"/>
        </w:rPr>
      </w:pPr>
      <w:r>
        <w:rPr>
          <w:i/>
          <w:lang w:val="fr-FR"/>
        </w:rPr>
        <w:t xml:space="preserve">Document informel </w:t>
      </w:r>
      <w:r>
        <w:rPr>
          <w:lang w:val="fr-FR"/>
        </w:rPr>
        <w:t>:</w:t>
      </w:r>
      <w:r>
        <w:rPr>
          <w:lang w:val="fr-FR"/>
        </w:rPr>
        <w:tab/>
      </w:r>
      <w:r>
        <w:rPr>
          <w:lang w:val="fr-FR"/>
        </w:rPr>
        <w:tab/>
        <w:t>INF.24 (Suisse)</w:t>
      </w:r>
    </w:p>
    <w:p w:rsidR="00F24C54" w:rsidRPr="00F24C54" w:rsidRDefault="00F24C54" w:rsidP="00F24C54">
      <w:pPr>
        <w:pStyle w:val="SingleTxtG"/>
        <w:rPr>
          <w:color w:val="000000"/>
          <w:lang w:val="fr-FR"/>
        </w:rPr>
      </w:pPr>
      <w:r>
        <w:rPr>
          <w:color w:val="000000"/>
          <w:lang w:val="fr-FR"/>
        </w:rPr>
        <w:t>59.</w:t>
      </w:r>
      <w:r>
        <w:rPr>
          <w:color w:val="000000"/>
          <w:lang w:val="fr-FR"/>
        </w:rPr>
        <w:tab/>
        <w:t>Suite à une intervention du représentant du Luxembourg, le Groupe de travail a noté que les questions relatives à la procédure décrite dans le document informel de la Suisse, étaient également discutées dans le contexte du transport par voies navigables. Le Groupe de travail a invité les représentants de la Suisse et du Luxembourg à échanger des informations en vue de présenter un document</w:t>
      </w:r>
      <w:r w:rsidR="001157E5">
        <w:rPr>
          <w:color w:val="000000"/>
          <w:lang w:val="fr-FR"/>
        </w:rPr>
        <w:t xml:space="preserve"> officiel </w:t>
      </w:r>
      <w:r>
        <w:rPr>
          <w:color w:val="000000"/>
          <w:lang w:val="fr-FR"/>
        </w:rPr>
        <w:t>pour une prochaine session.</w:t>
      </w:r>
    </w:p>
    <w:p w:rsidR="00D34402" w:rsidRDefault="00D34402" w:rsidP="00D34402">
      <w:pPr>
        <w:pStyle w:val="HChG"/>
        <w:rPr>
          <w:lang w:val="fr-FR"/>
        </w:rPr>
      </w:pPr>
      <w:r w:rsidRPr="00F078D1">
        <w:rPr>
          <w:lang w:val="fr-FR"/>
        </w:rPr>
        <w:tab/>
        <w:t>X.</w:t>
      </w:r>
      <w:r w:rsidRPr="00F078D1">
        <w:rPr>
          <w:lang w:val="fr-FR"/>
        </w:rPr>
        <w:tab/>
        <w:t>Adoption du rapport (point 9 de l’ordre du jour)</w:t>
      </w:r>
    </w:p>
    <w:p w:rsidR="008C7AD9" w:rsidRPr="00A613E4" w:rsidRDefault="007C512E" w:rsidP="00E157A7">
      <w:pPr>
        <w:pStyle w:val="SingleTxtG"/>
        <w:rPr>
          <w:lang w:val="fr-FR"/>
        </w:rPr>
      </w:pPr>
      <w:r>
        <w:rPr>
          <w:lang w:val="fr-FR"/>
        </w:rPr>
        <w:t>60</w:t>
      </w:r>
      <w:r w:rsidRPr="005915A5">
        <w:rPr>
          <w:lang w:val="fr-FR"/>
        </w:rPr>
        <w:t>.</w:t>
      </w:r>
      <w:r w:rsidRPr="005915A5">
        <w:rPr>
          <w:lang w:val="fr-FR"/>
        </w:rPr>
        <w:tab/>
        <w:t xml:space="preserve">Le Groupe de travail a adopté le rapport sur sa </w:t>
      </w:r>
      <w:r>
        <w:rPr>
          <w:lang w:val="fr-FR"/>
        </w:rPr>
        <w:t>104</w:t>
      </w:r>
      <w:r w:rsidRPr="00F41DE2">
        <w:rPr>
          <w:vertAlign w:val="superscript"/>
          <w:lang w:val="fr-FR"/>
        </w:rPr>
        <w:t>e</w:t>
      </w:r>
      <w:r w:rsidRPr="005915A5">
        <w:rPr>
          <w:lang w:val="fr-FR"/>
        </w:rPr>
        <w:t xml:space="preserve"> session et ses annexes sur la base d'un projet établi par le secrétariat.</w:t>
      </w:r>
    </w:p>
    <w:p w:rsidR="007326F3" w:rsidRDefault="007326F3">
      <w:pPr>
        <w:suppressAutoHyphens w:val="0"/>
        <w:spacing w:line="240" w:lineRule="auto"/>
        <w:rPr>
          <w:b/>
          <w:sz w:val="28"/>
        </w:rPr>
      </w:pPr>
      <w:r>
        <w:br w:type="page"/>
      </w:r>
    </w:p>
    <w:p w:rsidR="008C7AD9" w:rsidRDefault="008C7AD9" w:rsidP="008C7AD9">
      <w:pPr>
        <w:pStyle w:val="HChG"/>
      </w:pPr>
      <w:r>
        <w:lastRenderedPageBreak/>
        <w:t>Annexe I</w:t>
      </w:r>
    </w:p>
    <w:p w:rsidR="001C139F" w:rsidRDefault="001C139F" w:rsidP="00424B78">
      <w:pPr>
        <w:pStyle w:val="H1G"/>
      </w:pPr>
      <w:r>
        <w:tab/>
      </w:r>
      <w:r>
        <w:tab/>
        <w:t xml:space="preserve">Projet d’amendements aux annexes A et B de l’ADR adopté par le Groupe de travail pour </w:t>
      </w:r>
      <w:proofErr w:type="spellStart"/>
      <w:r>
        <w:t>entrée</w:t>
      </w:r>
      <w:proofErr w:type="spellEnd"/>
      <w:r>
        <w:t xml:space="preserve"> en vigueur le 1</w:t>
      </w:r>
      <w:r w:rsidRPr="00A613E4">
        <w:t>er</w:t>
      </w:r>
      <w:r>
        <w:t xml:space="preserve"> janvier 2019</w:t>
      </w:r>
    </w:p>
    <w:p w:rsidR="001C139F" w:rsidRDefault="001C139F" w:rsidP="001C139F">
      <w:pPr>
        <w:pStyle w:val="SingleTxtG"/>
        <w:ind w:firstLine="567"/>
      </w:pPr>
      <w:r>
        <w:t>Les amendements adoptés modifient ou complètent les amendements adoptés à la session précédente (voir ECE/TRANS/WP.15/240). Ils ont été mis à disposition en cours de session sous les cotes ECE/TRANS/WP.15/2018/CRP.2 et Adds.1 et 2.</w:t>
      </w:r>
    </w:p>
    <w:p w:rsidR="001C139F" w:rsidRDefault="001C139F" w:rsidP="001C139F">
      <w:pPr>
        <w:pStyle w:val="SingleTxtG"/>
        <w:ind w:firstLine="567"/>
      </w:pPr>
      <w:r>
        <w:t>Les amendements qui modifient ceux précédemment adoptés sont reproduits dans le document ECE/TRANS/WP.15/240/Corr.1.</w:t>
      </w:r>
    </w:p>
    <w:p w:rsidR="001C139F" w:rsidRDefault="001C139F" w:rsidP="001C139F">
      <w:pPr>
        <w:pStyle w:val="SingleTxtG"/>
        <w:ind w:firstLine="567"/>
      </w:pPr>
      <w:r>
        <w:t>Les nouveaux amendements sont reproduits dans le document ECE/TRANS/WP.15/240/Add.1.</w:t>
      </w:r>
    </w:p>
    <w:p w:rsidR="008B15A6" w:rsidRDefault="00D65401" w:rsidP="008B15A6">
      <w:pPr>
        <w:pStyle w:val="HChG"/>
      </w:pPr>
      <w:r>
        <w:br w:type="page"/>
      </w:r>
      <w:r w:rsidR="008B15A6">
        <w:lastRenderedPageBreak/>
        <w:t>Annexe II</w:t>
      </w:r>
    </w:p>
    <w:p w:rsidR="008B15A6" w:rsidRDefault="008B15A6" w:rsidP="00424B78">
      <w:pPr>
        <w:pStyle w:val="H1G"/>
      </w:pPr>
      <w:r>
        <w:tab/>
      </w:r>
      <w:r>
        <w:tab/>
        <w:t>Ligne directrice pour l’a</w:t>
      </w:r>
      <w:r w:rsidRPr="009D7DB6">
        <w:t xml:space="preserve">pplication de la norme EN </w:t>
      </w:r>
      <w:proofErr w:type="gramStart"/>
      <w:r w:rsidRPr="009D7DB6">
        <w:t>13094:</w:t>
      </w:r>
      <w:proofErr w:type="gramEnd"/>
      <w:r w:rsidRPr="009D7DB6">
        <w:t xml:space="preserve">2015 </w:t>
      </w:r>
      <w:r>
        <w:t>afin de</w:t>
      </w:r>
      <w:r w:rsidRPr="009D7DB6">
        <w:t xml:space="preserve"> respecter les prescriptions de l’ADR</w:t>
      </w:r>
    </w:p>
    <w:p w:rsidR="008B15A6" w:rsidRDefault="008B15A6" w:rsidP="008B15A6">
      <w:pPr>
        <w:pStyle w:val="SingleTxtG"/>
        <w:rPr>
          <w:rFonts w:eastAsia="MS Mincho"/>
          <w:lang w:val="fr-FR"/>
        </w:rPr>
      </w:pPr>
      <w:r>
        <w:rPr>
          <w:rFonts w:eastAsia="MS Mincho"/>
          <w:lang w:val="fr-FR"/>
        </w:rPr>
        <w:t xml:space="preserve">La Norme européenne EN 13094 spécifie les exigences de conception et de construction des citernes métalliques à vidange par gravité destinées au transport de matières ayant une tension de vapeur ne </w:t>
      </w:r>
      <w:r w:rsidRPr="009E5674">
        <w:t>dépassant</w:t>
      </w:r>
      <w:r>
        <w:rPr>
          <w:rFonts w:eastAsia="MS Mincho"/>
          <w:lang w:val="fr-FR"/>
        </w:rPr>
        <w:t xml:space="preserve"> pas 110 kPa (pression absolue) pour lesquelles un code-citerne avec la lettre “G” est donné au chapitre 3.2 de l’ADR. </w:t>
      </w:r>
    </w:p>
    <w:p w:rsidR="008B15A6" w:rsidRPr="00415865" w:rsidRDefault="008B15A6" w:rsidP="008B15A6">
      <w:pPr>
        <w:pStyle w:val="SingleTxtG"/>
      </w:pPr>
      <w:r>
        <w:rPr>
          <w:rFonts w:eastAsia="MS Mincho"/>
          <w:lang w:val="fr-FR"/>
        </w:rPr>
        <w:t xml:space="preserve">Pour respecter les prescriptions de l’ADR, les modifications suivantes doivent être apportées à l’EN 13094 :2015. </w:t>
      </w:r>
    </w:p>
    <w:p w:rsidR="008569B3" w:rsidRPr="008569B3" w:rsidRDefault="008569B3" w:rsidP="008569B3">
      <w:pPr>
        <w:pStyle w:val="SingleTxtG"/>
        <w:tabs>
          <w:tab w:val="left" w:pos="1440"/>
        </w:tabs>
        <w:ind w:right="612"/>
        <w:rPr>
          <w:b/>
          <w:lang w:val="fr-FR"/>
        </w:rPr>
      </w:pPr>
      <w:r w:rsidRPr="008569B3">
        <w:rPr>
          <w:rFonts w:eastAsia="MS Mincho"/>
          <w:b/>
        </w:rPr>
        <w:t>1.</w:t>
      </w:r>
      <w:r w:rsidRPr="008569B3">
        <w:rPr>
          <w:rFonts w:eastAsia="MS Mincho"/>
          <w:b/>
        </w:rPr>
        <w:tab/>
        <w:t>Modification</w:t>
      </w:r>
      <w:r w:rsidRPr="008569B3">
        <w:rPr>
          <w:b/>
        </w:rPr>
        <w:t xml:space="preserve"> du 3.1, Termes et définitions</w:t>
      </w:r>
    </w:p>
    <w:p w:rsidR="008569B3" w:rsidRPr="00A613E4" w:rsidRDefault="008569B3" w:rsidP="008569B3">
      <w:pPr>
        <w:pStyle w:val="BodyText"/>
        <w:ind w:left="1134" w:right="612"/>
        <w:rPr>
          <w:rFonts w:eastAsia="MS Mincho"/>
          <w:i/>
        </w:rPr>
      </w:pPr>
      <w:r w:rsidRPr="008569B3">
        <w:rPr>
          <w:i/>
        </w:rPr>
        <w:t>Supprimer la déf</w:t>
      </w:r>
      <w:r w:rsidRPr="00A613E4">
        <w:rPr>
          <w:rFonts w:eastAsia="MS Mincho"/>
          <w:i/>
        </w:rPr>
        <w:t>inition de pression maximale de service au 3.1.4.</w:t>
      </w:r>
    </w:p>
    <w:p w:rsidR="008569B3" w:rsidRPr="008569B3" w:rsidRDefault="00BF056D" w:rsidP="008569B3">
      <w:pPr>
        <w:pStyle w:val="SingleTxtG"/>
        <w:tabs>
          <w:tab w:val="left" w:pos="1440"/>
        </w:tabs>
        <w:ind w:right="612"/>
        <w:rPr>
          <w:rFonts w:eastAsia="MS Mincho"/>
          <w:b/>
        </w:rPr>
      </w:pPr>
      <w:r>
        <w:rPr>
          <w:rFonts w:eastAsia="MS Mincho"/>
          <w:b/>
        </w:rPr>
        <w:t>2.</w:t>
      </w:r>
      <w:r w:rsidR="008569B3" w:rsidRPr="008569B3">
        <w:rPr>
          <w:rFonts w:eastAsia="MS Mincho"/>
          <w:b/>
        </w:rPr>
        <w:tab/>
        <w:t>Modification du 6.4, Conditions dynamiques</w:t>
      </w:r>
    </w:p>
    <w:p w:rsidR="008569B3" w:rsidRPr="00A613E4" w:rsidRDefault="008569B3" w:rsidP="008569B3">
      <w:pPr>
        <w:pStyle w:val="BodyText"/>
        <w:spacing w:after="120"/>
        <w:ind w:left="1134" w:right="612"/>
        <w:rPr>
          <w:rFonts w:eastAsia="MS Mincho"/>
        </w:rPr>
      </w:pPr>
      <w:r w:rsidRPr="008569B3">
        <w:rPr>
          <w:i/>
        </w:rPr>
        <w:t>Au premier</w:t>
      </w:r>
      <w:r w:rsidRPr="00A613E4">
        <w:rPr>
          <w:rFonts w:eastAsia="MS Mincho"/>
          <w:i/>
        </w:rPr>
        <w:t xml:space="preserve"> paragraphe du 6.4.2, remplacer</w:t>
      </w:r>
      <w:r w:rsidRPr="00A613E4">
        <w:rPr>
          <w:rFonts w:eastAsia="MS Mincho"/>
        </w:rPr>
        <w:t xml:space="preserve"> “la pression maximale de service (</w:t>
      </w:r>
      <w:proofErr w:type="spellStart"/>
      <w:r w:rsidRPr="00A613E4">
        <w:rPr>
          <w:rStyle w:val="CCMCvariableitalic"/>
        </w:rPr>
        <w:t>P</w:t>
      </w:r>
      <w:r w:rsidRPr="00A613E4">
        <w:rPr>
          <w:rFonts w:eastAsia="MS Mincho"/>
          <w:vertAlign w:val="subscript"/>
        </w:rPr>
        <w:t>v</w:t>
      </w:r>
      <w:proofErr w:type="spellEnd"/>
      <w:r w:rsidRPr="00A613E4">
        <w:rPr>
          <w:rStyle w:val="CCMCvariableitalic"/>
        </w:rPr>
        <w:t xml:space="preserve"> </w:t>
      </w:r>
      <w:r w:rsidRPr="00A613E4">
        <w:rPr>
          <w:rStyle w:val="CCMCvariableitalic"/>
          <w:i w:val="0"/>
        </w:rPr>
        <w:t xml:space="preserve">ou </w:t>
      </w:r>
      <w:r w:rsidRPr="00A613E4">
        <w:rPr>
          <w:rStyle w:val="CCMCvariableitalic"/>
        </w:rPr>
        <w:t>P</w:t>
      </w:r>
      <w:r w:rsidRPr="00A613E4">
        <w:rPr>
          <w:rFonts w:eastAsia="MS Mincho"/>
          <w:vertAlign w:val="subscript"/>
        </w:rPr>
        <w:t>ts</w:t>
      </w:r>
      <w:r w:rsidRPr="00A613E4">
        <w:rPr>
          <w:rFonts w:eastAsia="MS Mincho"/>
        </w:rPr>
        <w:t xml:space="preserve">)” </w:t>
      </w:r>
      <w:r w:rsidRPr="00A613E4">
        <w:rPr>
          <w:rFonts w:eastAsia="MS Mincho"/>
          <w:i/>
        </w:rPr>
        <w:t>par</w:t>
      </w:r>
      <w:r w:rsidRPr="00A613E4">
        <w:rPr>
          <w:rFonts w:eastAsia="MS Mincho"/>
        </w:rPr>
        <w:t xml:space="preserve"> “la plus grande valeur de </w:t>
      </w:r>
      <w:proofErr w:type="spellStart"/>
      <w:r w:rsidRPr="00A613E4">
        <w:rPr>
          <w:rStyle w:val="CCMCvariableitalic"/>
        </w:rPr>
        <w:t>P</w:t>
      </w:r>
      <w:r w:rsidRPr="00A613E4">
        <w:rPr>
          <w:rFonts w:eastAsia="MS Mincho"/>
          <w:vertAlign w:val="subscript"/>
        </w:rPr>
        <w:t>ta</w:t>
      </w:r>
      <w:proofErr w:type="spellEnd"/>
      <w:r w:rsidRPr="00A613E4">
        <w:rPr>
          <w:rStyle w:val="CCMCvariableitalic"/>
          <w:i w:val="0"/>
        </w:rPr>
        <w:t xml:space="preserve"> ou </w:t>
      </w:r>
      <w:r w:rsidRPr="00A613E4">
        <w:rPr>
          <w:rStyle w:val="CCMCvariableitalic"/>
        </w:rPr>
        <w:t>P</w:t>
      </w:r>
      <w:r w:rsidRPr="00A613E4">
        <w:rPr>
          <w:rFonts w:eastAsia="MS Mincho"/>
          <w:vertAlign w:val="subscript"/>
        </w:rPr>
        <w:t>ts</w:t>
      </w:r>
      <w:r w:rsidRPr="00A613E4">
        <w:rPr>
          <w:rFonts w:eastAsia="MS Mincho"/>
        </w:rPr>
        <w:t>”</w:t>
      </w:r>
    </w:p>
    <w:p w:rsidR="008569B3" w:rsidRPr="008569B3" w:rsidRDefault="008569B3" w:rsidP="008569B3">
      <w:pPr>
        <w:pStyle w:val="BodyText"/>
        <w:ind w:left="1134" w:right="612"/>
        <w:rPr>
          <w:rFonts w:eastAsia="MS Mincho"/>
        </w:rPr>
      </w:pPr>
      <w:proofErr w:type="gramStart"/>
      <w:r w:rsidRPr="008569B3">
        <w:t>où</w:t>
      </w:r>
      <w:proofErr w:type="gramEnd"/>
      <w:r w:rsidRPr="00A613E4">
        <w:rPr>
          <w:rFonts w:eastAsia="MS Mincho"/>
        </w:rPr>
        <w:t xml:space="preserve"> </w:t>
      </w:r>
      <w:proofErr w:type="spellStart"/>
      <w:r w:rsidRPr="008569B3">
        <w:rPr>
          <w:rStyle w:val="CCMCvariableitalic"/>
        </w:rPr>
        <w:t>P</w:t>
      </w:r>
      <w:r w:rsidRPr="00A613E4">
        <w:rPr>
          <w:rFonts w:eastAsia="MS Mincho"/>
          <w:vertAlign w:val="subscript"/>
        </w:rPr>
        <w:t>ta</w:t>
      </w:r>
      <w:proofErr w:type="spellEnd"/>
      <w:r w:rsidRPr="008569B3">
        <w:rPr>
          <w:rStyle w:val="CCMCvariableitalic"/>
        </w:rPr>
        <w:t xml:space="preserve"> </w:t>
      </w:r>
      <w:r w:rsidRPr="008569B3">
        <w:rPr>
          <w:rStyle w:val="CCMCvariableitalic"/>
          <w:i w:val="0"/>
        </w:rPr>
        <w:t>est la pression statique (manométrique), en mégapascals (MPa)</w:t>
      </w:r>
      <w:r w:rsidRPr="008569B3">
        <w:rPr>
          <w:rStyle w:val="CCMCvariableitalic"/>
        </w:rPr>
        <w:t>.</w:t>
      </w:r>
    </w:p>
    <w:p w:rsidR="008569B3" w:rsidRPr="008569B3" w:rsidRDefault="00BF056D" w:rsidP="008569B3">
      <w:pPr>
        <w:pStyle w:val="SingleTxtG"/>
        <w:tabs>
          <w:tab w:val="left" w:pos="1440"/>
        </w:tabs>
        <w:ind w:right="612"/>
        <w:rPr>
          <w:rFonts w:eastAsia="MS Mincho"/>
          <w:b/>
        </w:rPr>
      </w:pPr>
      <w:r>
        <w:rPr>
          <w:rFonts w:eastAsia="MS Mincho"/>
          <w:b/>
        </w:rPr>
        <w:t>3.</w:t>
      </w:r>
      <w:r w:rsidR="008569B3" w:rsidRPr="008569B3">
        <w:rPr>
          <w:rFonts w:eastAsia="MS Mincho"/>
          <w:b/>
        </w:rPr>
        <w:tab/>
        <w:t>Modification du 6.5, Conditions de pression</w:t>
      </w:r>
    </w:p>
    <w:p w:rsidR="008569B3" w:rsidRPr="008569B3" w:rsidRDefault="008569B3" w:rsidP="008569B3">
      <w:pPr>
        <w:pStyle w:val="SingleTxtG"/>
        <w:tabs>
          <w:tab w:val="left" w:pos="1620"/>
        </w:tabs>
        <w:ind w:right="612"/>
        <w:rPr>
          <w:rFonts w:eastAsia="MS Mincho"/>
        </w:rPr>
      </w:pPr>
      <w:r w:rsidRPr="008569B3">
        <w:rPr>
          <w:rFonts w:eastAsia="MS Mincho"/>
          <w:b/>
        </w:rPr>
        <w:t>3.1</w:t>
      </w:r>
      <w:r w:rsidRPr="008569B3">
        <w:rPr>
          <w:rFonts w:eastAsia="MS Mincho"/>
        </w:rPr>
        <w:t xml:space="preserve"> </w:t>
      </w:r>
      <w:r w:rsidRPr="008569B3">
        <w:rPr>
          <w:rFonts w:eastAsia="MS Mincho"/>
        </w:rPr>
        <w:tab/>
      </w:r>
      <w:r w:rsidRPr="008569B3">
        <w:rPr>
          <w:rStyle w:val="SingleTxtGChar"/>
          <w:rFonts w:eastAsia="MS Mincho"/>
        </w:rPr>
        <w:t>Modification du 6.5.1</w:t>
      </w:r>
    </w:p>
    <w:p w:rsidR="008569B3" w:rsidRPr="008569B3" w:rsidRDefault="008569B3" w:rsidP="008569B3">
      <w:pPr>
        <w:pStyle w:val="BodyText"/>
        <w:tabs>
          <w:tab w:val="left" w:pos="2520"/>
        </w:tabs>
        <w:ind w:left="1134" w:right="612"/>
      </w:pPr>
      <w:r w:rsidRPr="008569B3">
        <w:rPr>
          <w:i/>
        </w:rPr>
        <w:t>Supprimer</w:t>
      </w:r>
      <w:r w:rsidRPr="00A613E4">
        <w:rPr>
          <w:rFonts w:eastAsia="MS Mincho"/>
        </w:rPr>
        <w:t xml:space="preserve"> “c)</w:t>
      </w:r>
      <w:r w:rsidRPr="00A613E4">
        <w:rPr>
          <w:rFonts w:eastAsia="MS Mincho"/>
        </w:rPr>
        <w:tab/>
        <w:t>1,3 fois la pression maximale de service”.</w:t>
      </w:r>
    </w:p>
    <w:p w:rsidR="008569B3" w:rsidRPr="008569B3" w:rsidRDefault="008569B3" w:rsidP="008569B3">
      <w:pPr>
        <w:pStyle w:val="SingleTxtG"/>
        <w:tabs>
          <w:tab w:val="left" w:pos="1620"/>
        </w:tabs>
        <w:ind w:right="612"/>
      </w:pPr>
      <w:r w:rsidRPr="00A613E4">
        <w:rPr>
          <w:rFonts w:eastAsia="MS Mincho"/>
          <w:b/>
        </w:rPr>
        <w:t>3.2</w:t>
      </w:r>
      <w:r w:rsidRPr="00A613E4">
        <w:rPr>
          <w:rFonts w:eastAsia="MS Mincho"/>
        </w:rPr>
        <w:tab/>
        <w:t>Modification</w:t>
      </w:r>
      <w:r w:rsidRPr="008569B3">
        <w:t xml:space="preserve"> du 6.5.2</w:t>
      </w:r>
    </w:p>
    <w:p w:rsidR="008569B3" w:rsidRPr="008569B3" w:rsidRDefault="008569B3" w:rsidP="008569B3">
      <w:pPr>
        <w:pStyle w:val="BodyText"/>
        <w:ind w:left="1134" w:right="612"/>
      </w:pPr>
      <w:r w:rsidRPr="008569B3">
        <w:rPr>
          <w:i/>
        </w:rPr>
        <w:t>Remplacer</w:t>
      </w:r>
      <w:r w:rsidRPr="00A613E4">
        <w:rPr>
          <w:rFonts w:eastAsia="MS Mincho"/>
        </w:rPr>
        <w:t xml:space="preserve"> “1,3 × (</w:t>
      </w:r>
      <w:proofErr w:type="spellStart"/>
      <w:r w:rsidRPr="00A613E4">
        <w:rPr>
          <w:rStyle w:val="CCMCvariableitalic"/>
        </w:rPr>
        <w:t>P</w:t>
      </w:r>
      <w:r w:rsidRPr="00A613E4">
        <w:rPr>
          <w:rFonts w:eastAsia="MS Mincho"/>
          <w:vertAlign w:val="subscript"/>
        </w:rPr>
        <w:t>ta</w:t>
      </w:r>
      <w:proofErr w:type="spellEnd"/>
      <w:r w:rsidRPr="00A613E4">
        <w:rPr>
          <w:rFonts w:eastAsia="MS Mincho"/>
        </w:rPr>
        <w:t> + </w:t>
      </w:r>
      <w:r w:rsidRPr="00A613E4">
        <w:rPr>
          <w:rStyle w:val="CCMCvariableitalic"/>
          <w:rFonts w:eastAsia="MS Mincho"/>
        </w:rPr>
        <w:t>P</w:t>
      </w:r>
      <w:r w:rsidRPr="00A613E4">
        <w:rPr>
          <w:rFonts w:eastAsia="MS Mincho"/>
          <w:vertAlign w:val="subscript"/>
        </w:rPr>
        <w:t>ts</w:t>
      </w:r>
      <w:r w:rsidRPr="00A613E4">
        <w:rPr>
          <w:rFonts w:eastAsia="MS Mincho"/>
        </w:rPr>
        <w:t>)” par “max (0,2 ; 1,3 × </w:t>
      </w:r>
      <w:proofErr w:type="spellStart"/>
      <w:r w:rsidRPr="00A613E4">
        <w:rPr>
          <w:rStyle w:val="CCMCvariableitalic"/>
        </w:rPr>
        <w:t>P</w:t>
      </w:r>
      <w:r w:rsidRPr="00A613E4">
        <w:rPr>
          <w:rFonts w:eastAsia="MS Mincho"/>
          <w:vertAlign w:val="subscript"/>
        </w:rPr>
        <w:t>ta</w:t>
      </w:r>
      <w:proofErr w:type="spellEnd"/>
      <w:r w:rsidRPr="00A613E4">
        <w:rPr>
          <w:rFonts w:eastAsia="MS Mincho"/>
          <w:vertAlign w:val="subscript"/>
        </w:rPr>
        <w:t xml:space="preserve"> eau</w:t>
      </w:r>
      <w:r w:rsidRPr="00A613E4">
        <w:rPr>
          <w:rFonts w:eastAsia="MS Mincho"/>
        </w:rPr>
        <w:t xml:space="preserve"> ; 1,3 × </w:t>
      </w:r>
      <w:proofErr w:type="spellStart"/>
      <w:r w:rsidRPr="00A613E4">
        <w:rPr>
          <w:rStyle w:val="CCMCvariableitalic"/>
        </w:rPr>
        <w:t>P</w:t>
      </w:r>
      <w:r w:rsidRPr="00A613E4">
        <w:rPr>
          <w:rFonts w:eastAsia="MS Mincho"/>
          <w:vertAlign w:val="subscript"/>
        </w:rPr>
        <w:t>ta</w:t>
      </w:r>
      <w:proofErr w:type="spellEnd"/>
      <w:r w:rsidRPr="00A613E4">
        <w:rPr>
          <w:rFonts w:eastAsia="MS Mincho"/>
        </w:rPr>
        <w:t>)”.</w:t>
      </w:r>
    </w:p>
    <w:p w:rsidR="008569B3" w:rsidRPr="008569B3" w:rsidRDefault="00BF056D" w:rsidP="008569B3">
      <w:pPr>
        <w:pStyle w:val="SingleTxtG"/>
        <w:tabs>
          <w:tab w:val="left" w:pos="1440"/>
        </w:tabs>
        <w:ind w:right="612"/>
        <w:rPr>
          <w:rFonts w:eastAsia="MS Mincho"/>
          <w:b/>
        </w:rPr>
      </w:pPr>
      <w:r>
        <w:rPr>
          <w:rFonts w:eastAsia="MS Mincho"/>
          <w:b/>
        </w:rPr>
        <w:t>4.</w:t>
      </w:r>
      <w:r w:rsidR="008569B3" w:rsidRPr="008569B3">
        <w:rPr>
          <w:rFonts w:eastAsia="MS Mincho"/>
          <w:b/>
        </w:rPr>
        <w:tab/>
        <w:t>Modification de l’Annexe A, A.5 Méthode de calcul – Note de calcul</w:t>
      </w:r>
    </w:p>
    <w:p w:rsidR="008569B3" w:rsidRPr="008569B3" w:rsidRDefault="008569B3" w:rsidP="008569B3">
      <w:pPr>
        <w:pStyle w:val="SingleTxtG"/>
        <w:tabs>
          <w:tab w:val="left" w:pos="1620"/>
        </w:tabs>
        <w:ind w:right="612"/>
        <w:rPr>
          <w:rFonts w:eastAsia="MS Mincho"/>
        </w:rPr>
      </w:pPr>
      <w:r w:rsidRPr="008569B3">
        <w:rPr>
          <w:rFonts w:eastAsia="MS Mincho"/>
          <w:b/>
        </w:rPr>
        <w:t>4.1</w:t>
      </w:r>
      <w:r w:rsidRPr="008569B3">
        <w:rPr>
          <w:rFonts w:eastAsia="MS Mincho"/>
          <w:b/>
        </w:rPr>
        <w:tab/>
      </w:r>
      <w:r w:rsidRPr="008569B3">
        <w:rPr>
          <w:rFonts w:eastAsia="MS Mincho"/>
        </w:rPr>
        <w:t>Modification du A.5.2.2.1, Tableau A.2, Pressions</w:t>
      </w:r>
    </w:p>
    <w:p w:rsidR="008569B3" w:rsidRPr="00A613E4" w:rsidRDefault="008569B3" w:rsidP="008569B3">
      <w:pPr>
        <w:pStyle w:val="BodyText"/>
        <w:ind w:left="1134" w:right="612"/>
        <w:rPr>
          <w:rFonts w:eastAsia="MS Mincho"/>
        </w:rPr>
      </w:pPr>
      <w:r w:rsidRPr="008569B3">
        <w:rPr>
          <w:i/>
        </w:rPr>
        <w:t>Remplacer</w:t>
      </w:r>
      <w:r w:rsidRPr="00A613E4">
        <w:rPr>
          <w:rFonts w:eastAsia="MS Mincho"/>
          <w:i/>
        </w:rPr>
        <w:t xml:space="preserve"> N°2 “</w:t>
      </w:r>
      <w:r w:rsidRPr="00A613E4">
        <w:rPr>
          <w:rFonts w:eastAsia="MS Mincho"/>
        </w:rPr>
        <w:t xml:space="preserve">Pression maximale de service </w:t>
      </w:r>
      <w:r w:rsidRPr="00A613E4">
        <w:rPr>
          <w:rFonts w:eastAsia="MS Mincho"/>
          <w:vertAlign w:val="superscript"/>
        </w:rPr>
        <w:t>b</w:t>
      </w:r>
      <w:r w:rsidRPr="00A613E4">
        <w:rPr>
          <w:rFonts w:eastAsia="MS Mincho"/>
        </w:rPr>
        <w:t>,</w:t>
      </w:r>
      <w:r w:rsidRPr="00A613E4">
        <w:rPr>
          <w:rFonts w:eastAsia="MS Mincho"/>
          <w:i/>
        </w:rPr>
        <w:t xml:space="preserve"> </w:t>
      </w:r>
      <w:proofErr w:type="spellStart"/>
      <w:r w:rsidRPr="00A613E4">
        <w:rPr>
          <w:rStyle w:val="CCMCvariableitalic"/>
          <w:rFonts w:eastAsia="MS Mincho"/>
        </w:rPr>
        <w:t>P</w:t>
      </w:r>
      <w:r w:rsidRPr="00A613E4">
        <w:rPr>
          <w:rFonts w:eastAsia="MS Mincho"/>
          <w:vertAlign w:val="subscript"/>
        </w:rPr>
        <w:t>ms</w:t>
      </w:r>
      <w:proofErr w:type="spellEnd"/>
      <w:r w:rsidRPr="00A613E4">
        <w:rPr>
          <w:rFonts w:eastAsia="MS Mincho"/>
          <w:i/>
        </w:rPr>
        <w:t>” par “</w:t>
      </w:r>
      <w:r w:rsidRPr="00A613E4">
        <w:rPr>
          <w:rFonts w:eastAsia="MS Mincho"/>
        </w:rPr>
        <w:t>Pression d’ouverture du dispositif de respiration,</w:t>
      </w:r>
      <w:r w:rsidRPr="00A613E4">
        <w:rPr>
          <w:rFonts w:eastAsia="MS Mincho"/>
          <w:i/>
        </w:rPr>
        <w:t xml:space="preserve"> </w:t>
      </w:r>
      <w:r w:rsidRPr="00A613E4">
        <w:rPr>
          <w:rStyle w:val="CCMCvariableitalic"/>
          <w:rFonts w:eastAsia="MS Mincho"/>
        </w:rPr>
        <w:t>P</w:t>
      </w:r>
      <w:r w:rsidRPr="00A613E4">
        <w:rPr>
          <w:rFonts w:eastAsia="MS Mincho"/>
          <w:vertAlign w:val="subscript"/>
        </w:rPr>
        <w:t>ts</w:t>
      </w:r>
      <w:r w:rsidRPr="00A613E4">
        <w:rPr>
          <w:rFonts w:eastAsia="MS Mincho"/>
        </w:rPr>
        <w:t>”.</w:t>
      </w:r>
    </w:p>
    <w:p w:rsidR="008569B3" w:rsidRPr="00A613E4" w:rsidRDefault="008569B3" w:rsidP="008569B3">
      <w:pPr>
        <w:pStyle w:val="BodyText"/>
        <w:tabs>
          <w:tab w:val="left" w:pos="2340"/>
        </w:tabs>
        <w:ind w:left="1134" w:right="612"/>
      </w:pPr>
      <w:r w:rsidRPr="008569B3">
        <w:rPr>
          <w:i/>
        </w:rPr>
        <w:t>Supprimer</w:t>
      </w:r>
      <w:r w:rsidRPr="00A613E4">
        <w:rPr>
          <w:bCs/>
          <w:i/>
          <w:iCs/>
        </w:rPr>
        <w:t xml:space="preserve"> “</w:t>
      </w:r>
      <w:r w:rsidRPr="00A613E4">
        <w:rPr>
          <w:vertAlign w:val="superscript"/>
        </w:rPr>
        <w:t>b</w:t>
      </w:r>
      <w:r w:rsidRPr="00A613E4">
        <w:rPr>
          <w:vertAlign w:val="superscript"/>
        </w:rPr>
        <w:tab/>
      </w:r>
      <w:proofErr w:type="spellStart"/>
      <w:r w:rsidRPr="00A613E4">
        <w:rPr>
          <w:rStyle w:val="CCMCvariableitalic"/>
        </w:rPr>
        <w:t>P</w:t>
      </w:r>
      <w:r w:rsidRPr="00A613E4">
        <w:rPr>
          <w:vertAlign w:val="subscript"/>
        </w:rPr>
        <w:t>ms</w:t>
      </w:r>
      <w:proofErr w:type="spellEnd"/>
      <w:r w:rsidRPr="00A613E4">
        <w:t xml:space="preserve"> est le maximum de </w:t>
      </w:r>
      <w:proofErr w:type="spellStart"/>
      <w:r w:rsidRPr="00A613E4">
        <w:rPr>
          <w:rStyle w:val="CCMCvariableitalic"/>
        </w:rPr>
        <w:t>P</w:t>
      </w:r>
      <w:r w:rsidRPr="00A613E4">
        <w:rPr>
          <w:vertAlign w:val="subscript"/>
        </w:rPr>
        <w:t>vd</w:t>
      </w:r>
      <w:proofErr w:type="spellEnd"/>
      <w:r w:rsidRPr="00A613E4">
        <w:t xml:space="preserve">, </w:t>
      </w:r>
      <w:r w:rsidRPr="00A613E4">
        <w:rPr>
          <w:rStyle w:val="CCMCvariableitalic"/>
        </w:rPr>
        <w:t>P</w:t>
      </w:r>
      <w:r w:rsidRPr="00A613E4">
        <w:rPr>
          <w:vertAlign w:val="subscript"/>
        </w:rPr>
        <w:t>ts</w:t>
      </w:r>
      <w:r w:rsidRPr="00A613E4">
        <w:t xml:space="preserve">, </w:t>
      </w:r>
      <w:r w:rsidRPr="00A613E4">
        <w:rPr>
          <w:rStyle w:val="CCMCvariableitalic"/>
        </w:rPr>
        <w:t>P</w:t>
      </w:r>
      <w:r w:rsidRPr="00A613E4">
        <w:rPr>
          <w:vertAlign w:val="subscript"/>
        </w:rPr>
        <w:t>d</w:t>
      </w:r>
      <w:r w:rsidRPr="00A613E4">
        <w:t xml:space="preserve"> et </w:t>
      </w:r>
      <w:r w:rsidRPr="00A613E4">
        <w:rPr>
          <w:rStyle w:val="CCMCvariableitalic"/>
        </w:rPr>
        <w:t>P</w:t>
      </w:r>
      <w:r w:rsidRPr="00A613E4">
        <w:rPr>
          <w:vertAlign w:val="subscript"/>
        </w:rPr>
        <w:t>r</w:t>
      </w:r>
      <w:r w:rsidRPr="00A613E4">
        <w:t>.”.</w:t>
      </w:r>
    </w:p>
    <w:p w:rsidR="008569B3" w:rsidRPr="008569B3" w:rsidRDefault="008569B3" w:rsidP="008569B3">
      <w:pPr>
        <w:pStyle w:val="SingleTxtG"/>
        <w:tabs>
          <w:tab w:val="left" w:pos="1620"/>
        </w:tabs>
        <w:ind w:right="612"/>
        <w:rPr>
          <w:rFonts w:eastAsia="MS Mincho"/>
        </w:rPr>
      </w:pPr>
      <w:r w:rsidRPr="008569B3">
        <w:rPr>
          <w:rFonts w:eastAsia="MS Mincho"/>
          <w:b/>
        </w:rPr>
        <w:t>4.2</w:t>
      </w:r>
      <w:r w:rsidRPr="008569B3">
        <w:rPr>
          <w:rFonts w:eastAsia="MS Mincho"/>
          <w:b/>
        </w:rPr>
        <w:tab/>
      </w:r>
      <w:r w:rsidRPr="008569B3">
        <w:rPr>
          <w:rFonts w:eastAsia="MS Mincho"/>
        </w:rPr>
        <w:t xml:space="preserve">Modification du A.5.2.2.2, Tableau A.3, Pression de calcul dans les conditions de service </w:t>
      </w:r>
    </w:p>
    <w:p w:rsidR="008569B3" w:rsidRPr="008569B3" w:rsidRDefault="008569B3" w:rsidP="008569B3">
      <w:pPr>
        <w:pStyle w:val="BodyText"/>
        <w:ind w:left="1134" w:right="612"/>
      </w:pPr>
      <w:r w:rsidRPr="008569B3">
        <w:rPr>
          <w:i/>
        </w:rPr>
        <w:t>Aux</w:t>
      </w:r>
      <w:r w:rsidRPr="00A613E4">
        <w:rPr>
          <w:bCs/>
          <w:i/>
          <w:iCs/>
        </w:rPr>
        <w:t xml:space="preserve"> 4, 5, 6 et 7, remplacer</w:t>
      </w:r>
      <w:r w:rsidRPr="008569B3">
        <w:t xml:space="preserve"> “</w:t>
      </w:r>
      <w:proofErr w:type="spellStart"/>
      <w:r w:rsidRPr="00A613E4">
        <w:rPr>
          <w:rStyle w:val="CCMCvariableitalic"/>
        </w:rPr>
        <w:t>P</w:t>
      </w:r>
      <w:r w:rsidRPr="00A613E4">
        <w:rPr>
          <w:vertAlign w:val="subscript"/>
        </w:rPr>
        <w:t>ms</w:t>
      </w:r>
      <w:proofErr w:type="spellEnd"/>
      <w:r w:rsidRPr="00A613E4">
        <w:rPr>
          <w:i/>
        </w:rPr>
        <w:t>” par “</w:t>
      </w:r>
      <w:r w:rsidRPr="00A613E4">
        <w:rPr>
          <w:rStyle w:val="CCMCvariableitalic"/>
        </w:rPr>
        <w:t>P</w:t>
      </w:r>
      <w:r w:rsidRPr="00A613E4">
        <w:rPr>
          <w:vertAlign w:val="subscript"/>
        </w:rPr>
        <w:t>ts</w:t>
      </w:r>
      <w:r w:rsidRPr="00A613E4">
        <w:t>”.</w:t>
      </w:r>
    </w:p>
    <w:p w:rsidR="008569B3" w:rsidRPr="008569B3" w:rsidRDefault="00BF056D" w:rsidP="008569B3">
      <w:pPr>
        <w:pStyle w:val="SingleTxtG"/>
        <w:tabs>
          <w:tab w:val="left" w:pos="1620"/>
        </w:tabs>
        <w:ind w:right="612"/>
        <w:rPr>
          <w:rFonts w:eastAsia="MS Mincho"/>
          <w:b/>
        </w:rPr>
      </w:pPr>
      <w:r>
        <w:rPr>
          <w:rFonts w:eastAsia="MS Mincho"/>
          <w:b/>
        </w:rPr>
        <w:t>4.3</w:t>
      </w:r>
      <w:r w:rsidR="008569B3" w:rsidRPr="008569B3">
        <w:rPr>
          <w:rFonts w:eastAsia="MS Mincho"/>
          <w:b/>
        </w:rPr>
        <w:tab/>
      </w:r>
      <w:r w:rsidR="008569B3" w:rsidRPr="008569B3">
        <w:rPr>
          <w:rFonts w:eastAsia="MS Mincho"/>
        </w:rPr>
        <w:t>Modification du A.5.6.2.1.2, Contrainte de traction due à la pression lors du transport</w:t>
      </w:r>
    </w:p>
    <w:p w:rsidR="007A48FD" w:rsidRDefault="008569B3" w:rsidP="008569B3">
      <w:pPr>
        <w:pStyle w:val="BodyText"/>
        <w:ind w:left="1134" w:right="612"/>
      </w:pPr>
      <w:r w:rsidRPr="00A613E4">
        <w:rPr>
          <w:bCs/>
          <w:i/>
          <w:iCs/>
        </w:rPr>
        <w:t xml:space="preserve">Au a) Force, remplacer </w:t>
      </w:r>
      <w:r w:rsidRPr="008569B3">
        <w:t>“</w:t>
      </w:r>
      <w:proofErr w:type="spellStart"/>
      <w:r w:rsidRPr="00A613E4">
        <w:rPr>
          <w:rStyle w:val="CCMCvariableitalic"/>
        </w:rPr>
        <w:t>P</w:t>
      </w:r>
      <w:r w:rsidRPr="00A613E4">
        <w:rPr>
          <w:vertAlign w:val="subscript"/>
        </w:rPr>
        <w:t>ms</w:t>
      </w:r>
      <w:proofErr w:type="spellEnd"/>
      <w:r w:rsidRPr="00A613E4">
        <w:rPr>
          <w:i/>
        </w:rPr>
        <w:t>” par “</w:t>
      </w:r>
      <w:r w:rsidRPr="00A613E4">
        <w:rPr>
          <w:rStyle w:val="CCMCvariableitalic"/>
        </w:rPr>
        <w:t>P</w:t>
      </w:r>
      <w:r w:rsidRPr="00A613E4">
        <w:rPr>
          <w:vertAlign w:val="subscript"/>
        </w:rPr>
        <w:t>ts</w:t>
      </w:r>
      <w:r w:rsidRPr="00A613E4">
        <w:t>”.</w:t>
      </w:r>
    </w:p>
    <w:p w:rsidR="007A48FD" w:rsidRDefault="007A48FD">
      <w:pPr>
        <w:suppressAutoHyphens w:val="0"/>
        <w:spacing w:line="240" w:lineRule="auto"/>
      </w:pPr>
      <w:r>
        <w:br w:type="page"/>
      </w:r>
    </w:p>
    <w:p w:rsidR="007A48FD" w:rsidRDefault="007A48FD" w:rsidP="007A48FD">
      <w:pPr>
        <w:pStyle w:val="HChG"/>
        <w:rPr>
          <w:szCs w:val="28"/>
        </w:rPr>
      </w:pPr>
      <w:r w:rsidRPr="007A48FD">
        <w:rPr>
          <w:szCs w:val="28"/>
        </w:rPr>
        <w:lastRenderedPageBreak/>
        <w:t>Annexe III</w:t>
      </w:r>
      <w:r w:rsidRPr="007A48FD">
        <w:rPr>
          <w:szCs w:val="28"/>
        </w:rPr>
        <w:tab/>
      </w:r>
    </w:p>
    <w:p w:rsidR="004F1892" w:rsidRPr="004F1892" w:rsidRDefault="004F1892" w:rsidP="00424B78">
      <w:pPr>
        <w:pStyle w:val="H1G"/>
      </w:pPr>
      <w:r>
        <w:tab/>
      </w:r>
      <w:r>
        <w:tab/>
        <w:t xml:space="preserve">Projet d’amendements relatifs aux normes </w:t>
      </w:r>
      <w:r w:rsidRPr="002F5CAB">
        <w:t xml:space="preserve">EN </w:t>
      </w:r>
      <w:proofErr w:type="gramStart"/>
      <w:r w:rsidRPr="002F5CAB">
        <w:t>14025:</w:t>
      </w:r>
      <w:proofErr w:type="gramEnd"/>
      <w:r w:rsidRPr="002F5CAB">
        <w:t>2018 et EN 12972:2018</w:t>
      </w:r>
      <w:r w:rsidR="001B283A">
        <w:t xml:space="preserve"> pour </w:t>
      </w:r>
      <w:proofErr w:type="spellStart"/>
      <w:r w:rsidR="001B283A">
        <w:t>entrée</w:t>
      </w:r>
      <w:proofErr w:type="spellEnd"/>
      <w:r w:rsidR="001B283A">
        <w:t xml:space="preserve"> en vigueur dès que possible après que ces normes sont publiées</w:t>
      </w:r>
    </w:p>
    <w:p w:rsidR="008569B3" w:rsidRDefault="007A48FD" w:rsidP="00803CB6">
      <w:pPr>
        <w:pStyle w:val="H1G"/>
        <w:rPr>
          <w:szCs w:val="24"/>
        </w:rPr>
      </w:pPr>
      <w:r w:rsidRPr="007A48FD">
        <w:rPr>
          <w:szCs w:val="24"/>
        </w:rPr>
        <w:tab/>
      </w:r>
      <w:r w:rsidR="00803CB6" w:rsidRPr="00803CB6">
        <w:t>A.</w:t>
      </w:r>
      <w:r w:rsidR="00803CB6" w:rsidRPr="00803CB6">
        <w:tab/>
      </w:r>
      <w:r w:rsidRPr="00803CB6">
        <w:t xml:space="preserve">Projet d’amendements relatifs </w:t>
      </w:r>
      <w:r w:rsidR="00803CB6">
        <w:t>à la</w:t>
      </w:r>
      <w:r w:rsidRPr="00803CB6">
        <w:t xml:space="preserve"> norme EN </w:t>
      </w:r>
      <w:proofErr w:type="gramStart"/>
      <w:r w:rsidRPr="00803CB6">
        <w:t>14025:</w:t>
      </w:r>
      <w:proofErr w:type="gramEnd"/>
      <w:r w:rsidRPr="00803CB6">
        <w:t xml:space="preserve">2018 </w:t>
      </w:r>
    </w:p>
    <w:p w:rsidR="00314E4D" w:rsidRPr="00314E4D" w:rsidRDefault="00314E4D" w:rsidP="00314E4D">
      <w:pPr>
        <w:pStyle w:val="SingleTxtG"/>
        <w:rPr>
          <w:i/>
          <w:lang w:val="fr-FR"/>
        </w:rPr>
      </w:pPr>
      <w:r w:rsidRPr="00314E4D">
        <w:rPr>
          <w:lang w:val="fr-FR"/>
        </w:rPr>
        <w:t>6.8.2.6.1</w:t>
      </w:r>
      <w:r w:rsidRPr="00314E4D">
        <w:rPr>
          <w:lang w:val="fr-FR"/>
        </w:rPr>
        <w:tab/>
        <w:t>Dans le tableau, sous « Pour la conception et la construction des citernes » :</w:t>
      </w:r>
    </w:p>
    <w:p w:rsidR="00314E4D" w:rsidRPr="00314E4D" w:rsidRDefault="00314E4D" w:rsidP="00314E4D">
      <w:pPr>
        <w:pStyle w:val="SingleTxtG"/>
        <w:rPr>
          <w:lang w:val="fr-FR"/>
        </w:rPr>
      </w:pPr>
      <w:r w:rsidRPr="00314E4D">
        <w:rPr>
          <w:lang w:val="fr-FR"/>
        </w:rPr>
        <w:t>–</w:t>
      </w:r>
      <w:r w:rsidRPr="00314E4D">
        <w:rPr>
          <w:lang w:val="fr-FR"/>
        </w:rPr>
        <w:tab/>
        <w:t>Pour la norme « EN </w:t>
      </w:r>
      <w:proofErr w:type="gramStart"/>
      <w:r w:rsidRPr="00314E4D">
        <w:rPr>
          <w:lang w:val="fr-FR"/>
        </w:rPr>
        <w:t>14025:</w:t>
      </w:r>
      <w:proofErr w:type="gramEnd"/>
      <w:r w:rsidRPr="00314E4D">
        <w:rPr>
          <w:lang w:val="fr-FR"/>
        </w:rPr>
        <w:t>2013 + A1:2016 », dans la colonne (4), remplacer « Jusqu’à nouvel ordre » par : « Entre le 1er janvier 2017 et le 31 décembre 2020 ».</w:t>
      </w:r>
    </w:p>
    <w:p w:rsidR="00314E4D" w:rsidRPr="00314E4D" w:rsidRDefault="00314E4D" w:rsidP="00314E4D">
      <w:pPr>
        <w:pStyle w:val="SingleTxtG"/>
        <w:rPr>
          <w:lang w:val="fr-FR"/>
        </w:rPr>
      </w:pPr>
      <w:r w:rsidRPr="00314E4D">
        <w:rPr>
          <w:lang w:val="fr-FR"/>
        </w:rPr>
        <w:t>–</w:t>
      </w:r>
      <w:r w:rsidRPr="00314E4D">
        <w:rPr>
          <w:lang w:val="fr-FR"/>
        </w:rPr>
        <w:tab/>
        <w:t>Après la ligne pour la norme « EN </w:t>
      </w:r>
      <w:proofErr w:type="gramStart"/>
      <w:r w:rsidRPr="00314E4D">
        <w:rPr>
          <w:lang w:val="fr-FR"/>
        </w:rPr>
        <w:t>14025:</w:t>
      </w:r>
      <w:proofErr w:type="gramEnd"/>
      <w:r w:rsidRPr="00314E4D">
        <w:rPr>
          <w:lang w:val="fr-FR"/>
        </w:rPr>
        <w:t>2013 + A1:2016 », insérer la nouvelle norme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3805"/>
        <w:gridCol w:w="850"/>
        <w:gridCol w:w="1559"/>
        <w:gridCol w:w="567"/>
      </w:tblGrid>
      <w:tr w:rsidR="00314E4D" w:rsidRPr="00314E4D" w:rsidTr="001C495C">
        <w:tc>
          <w:tcPr>
            <w:tcW w:w="1724" w:type="dxa"/>
            <w:vAlign w:val="center"/>
          </w:tcPr>
          <w:p w:rsidR="00314E4D" w:rsidRPr="00314E4D" w:rsidRDefault="00314E4D" w:rsidP="001C495C">
            <w:pPr>
              <w:widowControl w:val="0"/>
              <w:rPr>
                <w:rFonts w:cs="Arial"/>
                <w:lang w:val="fr-FR"/>
              </w:rPr>
            </w:pPr>
            <w:r w:rsidRPr="00314E4D">
              <w:rPr>
                <w:rFonts w:cs="Arial"/>
                <w:lang w:val="fr-FR"/>
              </w:rPr>
              <w:t>EN </w:t>
            </w:r>
            <w:proofErr w:type="gramStart"/>
            <w:r w:rsidRPr="00314E4D">
              <w:rPr>
                <w:rFonts w:cs="Arial"/>
                <w:lang w:val="fr-FR"/>
              </w:rPr>
              <w:t>14025:</w:t>
            </w:r>
            <w:proofErr w:type="gramEnd"/>
            <w:r w:rsidRPr="00314E4D">
              <w:rPr>
                <w:rFonts w:cs="Arial"/>
                <w:lang w:val="fr-FR"/>
              </w:rPr>
              <w:t>2018</w:t>
            </w:r>
          </w:p>
        </w:tc>
        <w:tc>
          <w:tcPr>
            <w:tcW w:w="3805" w:type="dxa"/>
            <w:vAlign w:val="center"/>
          </w:tcPr>
          <w:p w:rsidR="00314E4D" w:rsidRPr="00314E4D" w:rsidRDefault="00314E4D" w:rsidP="001C495C">
            <w:pPr>
              <w:widowControl w:val="0"/>
              <w:rPr>
                <w:rFonts w:cs="Arial"/>
                <w:lang w:val="fr-FR"/>
              </w:rPr>
            </w:pPr>
            <w:r w:rsidRPr="00314E4D">
              <w:rPr>
                <w:rFonts w:cs="Arial"/>
                <w:bCs/>
                <w:lang w:val="fr-FR"/>
              </w:rPr>
              <w:t>Citernes destinées au transport de matières dangereuses – citernes métalliques sous pression – conception et fabrication</w:t>
            </w:r>
          </w:p>
        </w:tc>
        <w:tc>
          <w:tcPr>
            <w:tcW w:w="850" w:type="dxa"/>
            <w:vAlign w:val="center"/>
          </w:tcPr>
          <w:p w:rsidR="00314E4D" w:rsidRPr="00314E4D" w:rsidRDefault="00314E4D" w:rsidP="001C495C">
            <w:pPr>
              <w:widowControl w:val="0"/>
              <w:rPr>
                <w:rFonts w:cs="Arial"/>
                <w:lang w:val="fr-FR"/>
              </w:rPr>
            </w:pPr>
            <w:r w:rsidRPr="00314E4D">
              <w:rPr>
                <w:rFonts w:cs="Arial"/>
                <w:lang w:val="fr-FR"/>
              </w:rPr>
              <w:t>6.8.2.1 et 6.8.3.1</w:t>
            </w:r>
          </w:p>
        </w:tc>
        <w:tc>
          <w:tcPr>
            <w:tcW w:w="1559" w:type="dxa"/>
            <w:vAlign w:val="center"/>
          </w:tcPr>
          <w:p w:rsidR="00314E4D" w:rsidRPr="00314E4D" w:rsidRDefault="00314E4D" w:rsidP="001C495C">
            <w:pPr>
              <w:widowControl w:val="0"/>
              <w:jc w:val="center"/>
              <w:rPr>
                <w:rFonts w:cs="Arial"/>
                <w:lang w:val="fr-FR"/>
              </w:rPr>
            </w:pPr>
            <w:r w:rsidRPr="00314E4D">
              <w:rPr>
                <w:rFonts w:cs="Arial"/>
                <w:lang w:val="fr-FR"/>
              </w:rPr>
              <w:t>Jusqu’à nouvel ordre</w:t>
            </w:r>
          </w:p>
        </w:tc>
        <w:tc>
          <w:tcPr>
            <w:tcW w:w="567" w:type="dxa"/>
            <w:vAlign w:val="center"/>
          </w:tcPr>
          <w:p w:rsidR="00314E4D" w:rsidRPr="00314E4D" w:rsidRDefault="00314E4D" w:rsidP="001C495C">
            <w:pPr>
              <w:widowControl w:val="0"/>
              <w:rPr>
                <w:rFonts w:cs="Arial"/>
                <w:lang w:val="fr-FR"/>
              </w:rPr>
            </w:pPr>
          </w:p>
        </w:tc>
      </w:tr>
    </w:tbl>
    <w:p w:rsidR="00803CB6" w:rsidRPr="00314E4D" w:rsidRDefault="00803CB6" w:rsidP="00586429">
      <w:pPr>
        <w:pStyle w:val="SingleTxt"/>
        <w:spacing w:before="240"/>
        <w:ind w:left="1134" w:right="1008" w:hanging="126"/>
        <w:rPr>
          <w:rStyle w:val="SingleTxtGChar"/>
        </w:rPr>
      </w:pPr>
      <w:r>
        <w:rPr>
          <w:rStyle w:val="SingleTxtGChar"/>
        </w:rPr>
        <w:tab/>
      </w:r>
      <w:r w:rsidRPr="00803CB6">
        <w:rPr>
          <w:rStyle w:val="SingleTxtGChar"/>
        </w:rPr>
        <w:t>6.8.4 d), TT11</w:t>
      </w:r>
      <w:r w:rsidRPr="00803CB6">
        <w:rPr>
          <w:rStyle w:val="SingleTxtGChar"/>
        </w:rPr>
        <w:tab/>
        <w:t xml:space="preserve">Dans le paragraphe après le tableau, remplacer « EN </w:t>
      </w:r>
      <w:proofErr w:type="gramStart"/>
      <w:r w:rsidRPr="00803CB6">
        <w:rPr>
          <w:rStyle w:val="SingleTxtGChar"/>
        </w:rPr>
        <w:t>14025:</w:t>
      </w:r>
      <w:proofErr w:type="gramEnd"/>
      <w:r w:rsidRPr="00803CB6">
        <w:rPr>
          <w:rStyle w:val="SingleTxtGChar"/>
        </w:rPr>
        <w:t>2013 + A1:2016 » par : « EN 14025:2018 ».</w:t>
      </w:r>
    </w:p>
    <w:p w:rsidR="00803CB6" w:rsidRPr="00803CB6" w:rsidRDefault="00803CB6" w:rsidP="00803CB6">
      <w:pPr>
        <w:pStyle w:val="H1G"/>
      </w:pPr>
      <w:r>
        <w:tab/>
        <w:t>B.</w:t>
      </w:r>
      <w:r>
        <w:tab/>
      </w:r>
      <w:r w:rsidRPr="00803CB6">
        <w:t xml:space="preserve">Projet d’amendements relatifs </w:t>
      </w:r>
      <w:r>
        <w:t>à la</w:t>
      </w:r>
      <w:r w:rsidRPr="00803CB6">
        <w:t xml:space="preserve"> norme EN </w:t>
      </w:r>
      <w:proofErr w:type="gramStart"/>
      <w:r w:rsidRPr="00803CB6">
        <w:t>12972:</w:t>
      </w:r>
      <w:proofErr w:type="gramEnd"/>
      <w:r w:rsidRPr="00803CB6">
        <w:t>2018</w:t>
      </w:r>
    </w:p>
    <w:p w:rsidR="00314E4D" w:rsidRPr="00314E4D" w:rsidRDefault="00803CB6" w:rsidP="00314E4D">
      <w:pPr>
        <w:pStyle w:val="SingleTxtG"/>
        <w:spacing w:before="240"/>
        <w:rPr>
          <w:lang w:val="fr-FR"/>
        </w:rPr>
      </w:pPr>
      <w:r w:rsidRPr="00314E4D">
        <w:rPr>
          <w:lang w:val="fr-FR"/>
        </w:rPr>
        <w:t>6.8.2.6.1</w:t>
      </w:r>
      <w:r w:rsidR="00314E4D" w:rsidRPr="00314E4D">
        <w:rPr>
          <w:lang w:val="fr-FR"/>
        </w:rPr>
        <w:tab/>
        <w:t>Après la ligne pour la nouvelle norme « </w:t>
      </w:r>
      <w:r w:rsidR="00314E4D" w:rsidRPr="00314E4D">
        <w:rPr>
          <w:rFonts w:cs="Arial"/>
          <w:lang w:val="fr-FR"/>
        </w:rPr>
        <w:t>EN </w:t>
      </w:r>
      <w:proofErr w:type="gramStart"/>
      <w:r w:rsidR="00314E4D" w:rsidRPr="00314E4D">
        <w:rPr>
          <w:rFonts w:cs="Arial"/>
          <w:lang w:val="fr-FR"/>
        </w:rPr>
        <w:t>14025:</w:t>
      </w:r>
      <w:proofErr w:type="gramEnd"/>
      <w:r w:rsidR="00314E4D" w:rsidRPr="00314E4D">
        <w:rPr>
          <w:rFonts w:cs="Arial"/>
          <w:lang w:val="fr-FR"/>
        </w:rPr>
        <w:t>2018</w:t>
      </w:r>
      <w:r w:rsidR="00314E4D" w:rsidRPr="00314E4D">
        <w:rPr>
          <w:lang w:val="fr-FR"/>
        </w:rPr>
        <w:t xml:space="preserve"> », insérer la nouvelle </w:t>
      </w:r>
      <w:r w:rsidR="00721D7D">
        <w:rPr>
          <w:lang w:val="fr-FR"/>
        </w:rPr>
        <w:t>ligne</w:t>
      </w:r>
      <w:r w:rsidR="00314E4D" w:rsidRPr="00314E4D">
        <w:rPr>
          <w:lang w:val="fr-FR"/>
        </w:rPr>
        <w:t xml:space="preserv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3805"/>
        <w:gridCol w:w="850"/>
        <w:gridCol w:w="1559"/>
        <w:gridCol w:w="567"/>
      </w:tblGrid>
      <w:tr w:rsidR="00314E4D" w:rsidRPr="00314E4D" w:rsidTr="001C495C">
        <w:tc>
          <w:tcPr>
            <w:tcW w:w="1724" w:type="dxa"/>
            <w:vAlign w:val="center"/>
          </w:tcPr>
          <w:p w:rsidR="00314E4D" w:rsidRPr="00314E4D" w:rsidRDefault="00314E4D" w:rsidP="001C495C">
            <w:pPr>
              <w:widowControl w:val="0"/>
              <w:rPr>
                <w:rFonts w:cs="Arial"/>
                <w:lang w:val="fr-FR"/>
              </w:rPr>
            </w:pPr>
            <w:r w:rsidRPr="00314E4D">
              <w:rPr>
                <w:rFonts w:cs="Arial"/>
                <w:lang w:val="fr-FR"/>
              </w:rPr>
              <w:t>EN </w:t>
            </w:r>
            <w:proofErr w:type="gramStart"/>
            <w:r w:rsidRPr="00314E4D">
              <w:rPr>
                <w:rFonts w:cs="Arial"/>
                <w:lang w:val="fr-FR"/>
              </w:rPr>
              <w:t>12972:</w:t>
            </w:r>
            <w:proofErr w:type="gramEnd"/>
            <w:r w:rsidRPr="00314E4D">
              <w:rPr>
                <w:rFonts w:cs="Arial"/>
                <w:lang w:val="fr-FR"/>
              </w:rPr>
              <w:t>2018</w:t>
            </w:r>
          </w:p>
        </w:tc>
        <w:tc>
          <w:tcPr>
            <w:tcW w:w="3805" w:type="dxa"/>
            <w:vAlign w:val="center"/>
          </w:tcPr>
          <w:p w:rsidR="00314E4D" w:rsidRPr="00314E4D" w:rsidRDefault="00314E4D" w:rsidP="001C495C">
            <w:pPr>
              <w:widowControl w:val="0"/>
              <w:rPr>
                <w:rFonts w:cs="Arial"/>
                <w:lang w:val="fr-FR"/>
              </w:rPr>
            </w:pPr>
            <w:r w:rsidRPr="00314E4D">
              <w:rPr>
                <w:rFonts w:cs="Arial"/>
                <w:bCs/>
                <w:lang w:val="fr-FR"/>
              </w:rPr>
              <w:t xml:space="preserve">Citernes destinées au transport de matières dangereuses – </w:t>
            </w:r>
            <w:r w:rsidRPr="00314E4D">
              <w:rPr>
                <w:rStyle w:val="st"/>
                <w:lang w:val="fr-FR"/>
              </w:rPr>
              <w:t>épreuve, contrôle et marquage des citernes métalliques</w:t>
            </w:r>
          </w:p>
        </w:tc>
        <w:tc>
          <w:tcPr>
            <w:tcW w:w="850" w:type="dxa"/>
            <w:vAlign w:val="center"/>
          </w:tcPr>
          <w:p w:rsidR="00314E4D" w:rsidRPr="00314E4D" w:rsidRDefault="00314E4D" w:rsidP="001C495C">
            <w:pPr>
              <w:widowControl w:val="0"/>
              <w:rPr>
                <w:rFonts w:cs="Arial"/>
                <w:lang w:val="fr-FR"/>
              </w:rPr>
            </w:pPr>
            <w:r w:rsidRPr="00314E4D">
              <w:rPr>
                <w:rFonts w:cs="Arial"/>
                <w:lang w:val="fr-FR"/>
              </w:rPr>
              <w:t>6.8.2.3</w:t>
            </w:r>
          </w:p>
        </w:tc>
        <w:tc>
          <w:tcPr>
            <w:tcW w:w="1559" w:type="dxa"/>
            <w:vAlign w:val="center"/>
          </w:tcPr>
          <w:p w:rsidR="00314E4D" w:rsidRPr="00314E4D" w:rsidRDefault="00314E4D" w:rsidP="001C495C">
            <w:pPr>
              <w:widowControl w:val="0"/>
              <w:jc w:val="center"/>
              <w:rPr>
                <w:rFonts w:cs="Arial"/>
                <w:lang w:val="fr-FR"/>
              </w:rPr>
            </w:pPr>
            <w:r w:rsidRPr="00314E4D">
              <w:rPr>
                <w:rFonts w:cs="Arial"/>
                <w:lang w:val="fr-FR"/>
              </w:rPr>
              <w:t>Obligatoirement à partir du 1</w:t>
            </w:r>
            <w:r w:rsidRPr="00314E4D">
              <w:rPr>
                <w:rFonts w:cs="Arial"/>
                <w:vertAlign w:val="superscript"/>
                <w:lang w:val="fr-FR"/>
              </w:rPr>
              <w:t>er</w:t>
            </w:r>
            <w:r w:rsidRPr="00314E4D">
              <w:rPr>
                <w:rFonts w:cs="Arial"/>
                <w:lang w:val="fr-FR"/>
              </w:rPr>
              <w:t xml:space="preserve"> janvier 2021</w:t>
            </w:r>
          </w:p>
        </w:tc>
        <w:tc>
          <w:tcPr>
            <w:tcW w:w="567" w:type="dxa"/>
            <w:vAlign w:val="center"/>
          </w:tcPr>
          <w:p w:rsidR="00314E4D" w:rsidRPr="00314E4D" w:rsidRDefault="00314E4D" w:rsidP="001C495C">
            <w:pPr>
              <w:widowControl w:val="0"/>
              <w:rPr>
                <w:rFonts w:cs="Arial"/>
                <w:lang w:val="fr-FR"/>
              </w:rPr>
            </w:pPr>
          </w:p>
        </w:tc>
      </w:tr>
    </w:tbl>
    <w:p w:rsidR="001C7ED3" w:rsidRPr="00803CB6" w:rsidRDefault="001C7ED3" w:rsidP="00586429">
      <w:pPr>
        <w:pStyle w:val="SingleTxtG"/>
        <w:spacing w:before="240"/>
        <w:rPr>
          <w:lang w:val="fr-FR"/>
        </w:rPr>
      </w:pPr>
      <w:r w:rsidRPr="00803CB6">
        <w:rPr>
          <w:lang w:val="fr-FR"/>
        </w:rPr>
        <w:t>6.8.2.6.2</w:t>
      </w:r>
      <w:r w:rsidRPr="00803CB6">
        <w:rPr>
          <w:lang w:val="fr-FR"/>
        </w:rPr>
        <w:tab/>
        <w:t>Modifier le tableau comme suit</w:t>
      </w:r>
      <w:r w:rsidR="00721D7D">
        <w:rPr>
          <w:lang w:val="fr-FR"/>
        </w:rPr>
        <w:t xml:space="preserve"> </w:t>
      </w:r>
      <w:r w:rsidRPr="00803CB6">
        <w:rPr>
          <w:lang w:val="fr-FR"/>
        </w:rPr>
        <w:t>:</w:t>
      </w:r>
    </w:p>
    <w:p w:rsidR="001C7ED3" w:rsidRPr="00803CB6" w:rsidRDefault="001C7ED3" w:rsidP="001C7ED3">
      <w:pPr>
        <w:pStyle w:val="SingleTxtG"/>
        <w:rPr>
          <w:lang w:val="fr-FR"/>
        </w:rPr>
      </w:pPr>
      <w:r w:rsidRPr="00803CB6">
        <w:rPr>
          <w:lang w:val="fr-FR"/>
        </w:rPr>
        <w:t>–</w:t>
      </w:r>
      <w:r w:rsidRPr="00803CB6">
        <w:rPr>
          <w:lang w:val="fr-FR"/>
        </w:rPr>
        <w:tab/>
        <w:t>Pour la norme « EN </w:t>
      </w:r>
      <w:proofErr w:type="gramStart"/>
      <w:r w:rsidRPr="00803CB6">
        <w:rPr>
          <w:lang w:val="fr-FR"/>
        </w:rPr>
        <w:t>12972:</w:t>
      </w:r>
      <w:proofErr w:type="gramEnd"/>
      <w:r w:rsidRPr="00803CB6">
        <w:rPr>
          <w:lang w:val="fr-FR"/>
        </w:rPr>
        <w:t>2007 », dans la colonne (4), remplacer « Jusqu’à nouvel ordre » par : « Jusqu’au 30 juin 2019 ».</w:t>
      </w:r>
    </w:p>
    <w:p w:rsidR="001C7ED3" w:rsidRPr="00803CB6" w:rsidRDefault="001C7ED3" w:rsidP="001C7ED3">
      <w:pPr>
        <w:pStyle w:val="SingleTxtG"/>
        <w:rPr>
          <w:lang w:val="fr-FR"/>
        </w:rPr>
      </w:pPr>
      <w:r w:rsidRPr="00803CB6">
        <w:rPr>
          <w:lang w:val="fr-FR"/>
        </w:rPr>
        <w:t>–</w:t>
      </w:r>
      <w:r w:rsidRPr="00803CB6">
        <w:rPr>
          <w:lang w:val="fr-FR"/>
        </w:rPr>
        <w:tab/>
        <w:t>Après la ligne pour la norme « EN </w:t>
      </w:r>
      <w:proofErr w:type="gramStart"/>
      <w:r w:rsidRPr="00803CB6">
        <w:rPr>
          <w:lang w:val="fr-FR"/>
        </w:rPr>
        <w:t>12972:</w:t>
      </w:r>
      <w:proofErr w:type="gramEnd"/>
      <w:r w:rsidRPr="00803CB6">
        <w:rPr>
          <w:lang w:val="fr-FR"/>
        </w:rPr>
        <w:t xml:space="preserve">2007 », insérer la nouvelle </w:t>
      </w:r>
      <w:r w:rsidR="00721D7D">
        <w:rPr>
          <w:lang w:val="fr-FR"/>
        </w:rPr>
        <w:t>ligne</w:t>
      </w:r>
      <w:r w:rsidRPr="00803CB6">
        <w:rPr>
          <w:lang w:val="fr-FR"/>
        </w:rPr>
        <w:t xml:space="preserv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3521"/>
        <w:gridCol w:w="992"/>
        <w:gridCol w:w="1586"/>
        <w:gridCol w:w="682"/>
      </w:tblGrid>
      <w:tr w:rsidR="001C7ED3" w:rsidRPr="00361536" w:rsidTr="001C495C">
        <w:tc>
          <w:tcPr>
            <w:tcW w:w="1724" w:type="dxa"/>
            <w:vAlign w:val="center"/>
          </w:tcPr>
          <w:p w:rsidR="001C7ED3" w:rsidRPr="00803CB6" w:rsidRDefault="001C7ED3" w:rsidP="001C495C">
            <w:pPr>
              <w:widowControl w:val="0"/>
              <w:rPr>
                <w:rFonts w:cs="Arial"/>
                <w:lang w:val="fr-FR"/>
              </w:rPr>
            </w:pPr>
            <w:r w:rsidRPr="00803CB6">
              <w:rPr>
                <w:rFonts w:cs="Arial"/>
                <w:lang w:val="fr-FR"/>
              </w:rPr>
              <w:t>EN </w:t>
            </w:r>
            <w:proofErr w:type="gramStart"/>
            <w:r w:rsidRPr="00803CB6">
              <w:rPr>
                <w:rFonts w:cs="Arial"/>
                <w:lang w:val="fr-FR"/>
              </w:rPr>
              <w:t>12972:</w:t>
            </w:r>
            <w:proofErr w:type="gramEnd"/>
            <w:r w:rsidRPr="00803CB6">
              <w:rPr>
                <w:rFonts w:cs="Arial"/>
                <w:lang w:val="fr-FR"/>
              </w:rPr>
              <w:t>2018</w:t>
            </w:r>
          </w:p>
        </w:tc>
        <w:tc>
          <w:tcPr>
            <w:tcW w:w="3521" w:type="dxa"/>
            <w:vAlign w:val="center"/>
          </w:tcPr>
          <w:p w:rsidR="001C7ED3" w:rsidRPr="00803CB6" w:rsidRDefault="001C7ED3" w:rsidP="001C495C">
            <w:pPr>
              <w:widowControl w:val="0"/>
              <w:rPr>
                <w:rFonts w:cs="Arial"/>
                <w:lang w:val="fr-FR"/>
              </w:rPr>
            </w:pPr>
            <w:r w:rsidRPr="00803CB6">
              <w:rPr>
                <w:rFonts w:cs="Arial"/>
                <w:bCs/>
                <w:lang w:val="fr-FR"/>
              </w:rPr>
              <w:t xml:space="preserve">Citernes destinées au transport de matières dangereuses – </w:t>
            </w:r>
            <w:r w:rsidRPr="00803CB6">
              <w:rPr>
                <w:rStyle w:val="st"/>
                <w:lang w:val="fr-FR"/>
              </w:rPr>
              <w:t>épreuve, contrôle et marquage des citernes métalliques.</w:t>
            </w:r>
          </w:p>
        </w:tc>
        <w:tc>
          <w:tcPr>
            <w:tcW w:w="992" w:type="dxa"/>
            <w:vAlign w:val="center"/>
          </w:tcPr>
          <w:p w:rsidR="001C7ED3" w:rsidRPr="00803CB6" w:rsidRDefault="001C7ED3" w:rsidP="001C495C">
            <w:pPr>
              <w:widowControl w:val="0"/>
              <w:rPr>
                <w:rFonts w:cs="Arial"/>
                <w:lang w:val="fr-FR"/>
              </w:rPr>
            </w:pPr>
            <w:r w:rsidRPr="00803CB6">
              <w:rPr>
                <w:rFonts w:cs="Arial"/>
                <w:lang w:val="fr-FR"/>
              </w:rPr>
              <w:t>6.8.2.4 et 6.8.3.4</w:t>
            </w:r>
          </w:p>
        </w:tc>
        <w:tc>
          <w:tcPr>
            <w:tcW w:w="1586" w:type="dxa"/>
            <w:vAlign w:val="center"/>
          </w:tcPr>
          <w:p w:rsidR="001C7ED3" w:rsidRPr="00803CB6" w:rsidRDefault="001C7ED3" w:rsidP="001C495C">
            <w:pPr>
              <w:widowControl w:val="0"/>
              <w:jc w:val="center"/>
              <w:rPr>
                <w:rFonts w:cs="Arial"/>
                <w:lang w:val="fr-FR"/>
              </w:rPr>
            </w:pPr>
            <w:r w:rsidRPr="00803CB6">
              <w:rPr>
                <w:rFonts w:cs="Arial"/>
                <w:lang w:val="fr-FR"/>
              </w:rPr>
              <w:t>Obligatoirement à partir du 1</w:t>
            </w:r>
            <w:r w:rsidR="00721D7D">
              <w:rPr>
                <w:rFonts w:cs="Arial"/>
                <w:lang w:val="fr-FR"/>
              </w:rPr>
              <w:t>er</w:t>
            </w:r>
            <w:r w:rsidRPr="00803CB6">
              <w:rPr>
                <w:rFonts w:cs="Arial"/>
                <w:lang w:val="fr-FR"/>
              </w:rPr>
              <w:t xml:space="preserve"> juillet 2019</w:t>
            </w:r>
          </w:p>
        </w:tc>
        <w:tc>
          <w:tcPr>
            <w:tcW w:w="682" w:type="dxa"/>
            <w:vAlign w:val="center"/>
          </w:tcPr>
          <w:p w:rsidR="001C7ED3" w:rsidRPr="00803CB6" w:rsidRDefault="001C7ED3" w:rsidP="001C495C">
            <w:pPr>
              <w:widowControl w:val="0"/>
              <w:rPr>
                <w:rFonts w:cs="Arial"/>
                <w:lang w:val="fr-FR"/>
              </w:rPr>
            </w:pPr>
          </w:p>
        </w:tc>
      </w:tr>
    </w:tbl>
    <w:p w:rsidR="00803CB6" w:rsidRDefault="00803CB6" w:rsidP="00314E4D">
      <w:pPr>
        <w:pStyle w:val="SingleTxt"/>
        <w:spacing w:before="240"/>
        <w:rPr>
          <w:rStyle w:val="SingleTxtGChar"/>
        </w:rPr>
      </w:pPr>
    </w:p>
    <w:p w:rsidR="00314E4D" w:rsidRPr="00314E4D" w:rsidRDefault="00314E4D" w:rsidP="00314E4D">
      <w:pPr>
        <w:pStyle w:val="SingleTxtG"/>
        <w:spacing w:before="120"/>
        <w:rPr>
          <w:highlight w:val="yellow"/>
          <w:lang w:val="fr-FR"/>
        </w:rPr>
      </w:pPr>
    </w:p>
    <w:p w:rsidR="00314E4D" w:rsidRDefault="00314E4D">
      <w:pPr>
        <w:suppressAutoHyphens w:val="0"/>
        <w:spacing w:line="240" w:lineRule="auto"/>
      </w:pPr>
      <w:r>
        <w:br w:type="page"/>
      </w:r>
    </w:p>
    <w:p w:rsidR="00314E4D" w:rsidRDefault="00314E4D" w:rsidP="00314E4D">
      <w:pPr>
        <w:pStyle w:val="HChG"/>
        <w:rPr>
          <w:szCs w:val="28"/>
        </w:rPr>
      </w:pPr>
      <w:r w:rsidRPr="00314E4D">
        <w:rPr>
          <w:szCs w:val="28"/>
        </w:rPr>
        <w:lastRenderedPageBreak/>
        <w:t>Annexe IV</w:t>
      </w:r>
      <w:r w:rsidRPr="00314E4D">
        <w:rPr>
          <w:szCs w:val="28"/>
        </w:rPr>
        <w:tab/>
      </w:r>
    </w:p>
    <w:p w:rsidR="004F1892" w:rsidRPr="004F1892" w:rsidRDefault="004F1892" w:rsidP="00424B78">
      <w:pPr>
        <w:pStyle w:val="H1G"/>
      </w:pPr>
      <w:r>
        <w:tab/>
      </w:r>
      <w:r>
        <w:tab/>
        <w:t xml:space="preserve">Projet d’amendements relatifs aux normes </w:t>
      </w:r>
      <w:r>
        <w:rPr>
          <w:lang w:val="fr-FR"/>
        </w:rPr>
        <w:t xml:space="preserve">EN ISO </w:t>
      </w:r>
      <w:proofErr w:type="gramStart"/>
      <w:r>
        <w:rPr>
          <w:lang w:val="fr-FR"/>
        </w:rPr>
        <w:t>17871:</w:t>
      </w:r>
      <w:proofErr w:type="gramEnd"/>
      <w:r>
        <w:rPr>
          <w:lang w:val="fr-FR"/>
        </w:rPr>
        <w:t>2015 + A1:2018, EN 1440:2016 +A1:2018, EN 16728:2016 +A1:2018 et EN 13317:2018</w:t>
      </w:r>
      <w:r w:rsidR="001B283A">
        <w:rPr>
          <w:lang w:val="fr-FR"/>
        </w:rPr>
        <w:t xml:space="preserve"> </w:t>
      </w:r>
      <w:r w:rsidR="001B283A">
        <w:t xml:space="preserve">pour </w:t>
      </w:r>
      <w:proofErr w:type="spellStart"/>
      <w:r w:rsidR="001B283A">
        <w:t>entrée</w:t>
      </w:r>
      <w:proofErr w:type="spellEnd"/>
      <w:r w:rsidR="001B283A">
        <w:t xml:space="preserve"> en vigueur dès que possible après que ces normes sont publiées</w:t>
      </w:r>
    </w:p>
    <w:p w:rsidR="00366A41" w:rsidRDefault="00366A41" w:rsidP="00366A41">
      <w:pPr>
        <w:pStyle w:val="H1G"/>
      </w:pPr>
      <w:r>
        <w:tab/>
        <w:t>A.</w:t>
      </w:r>
      <w:r>
        <w:tab/>
        <w:t>Projet d’amendement</w:t>
      </w:r>
      <w:r w:rsidR="00721D7D">
        <w:t>s</w:t>
      </w:r>
      <w:r>
        <w:t xml:space="preserve"> relatif</w:t>
      </w:r>
      <w:r w:rsidR="00721D7D">
        <w:t>s</w:t>
      </w:r>
      <w:r>
        <w:t xml:space="preserve"> à la norme </w:t>
      </w:r>
      <w:r w:rsidRPr="00314E4D">
        <w:t xml:space="preserve">EN </w:t>
      </w:r>
      <w:proofErr w:type="gramStart"/>
      <w:r w:rsidRPr="00314E4D">
        <w:t>13317:</w:t>
      </w:r>
      <w:proofErr w:type="gramEnd"/>
      <w:r w:rsidRPr="00314E4D">
        <w:t>2018</w:t>
      </w:r>
    </w:p>
    <w:p w:rsidR="00366A41" w:rsidRPr="00805662" w:rsidRDefault="00366A41" w:rsidP="00366A41">
      <w:pPr>
        <w:pStyle w:val="SingleTxtG"/>
        <w:rPr>
          <w:lang w:val="fr-FR"/>
        </w:rPr>
      </w:pPr>
      <w:r w:rsidRPr="00805662">
        <w:t>6.8.2.6.1</w:t>
      </w:r>
      <w:r w:rsidRPr="00805662">
        <w:tab/>
      </w:r>
      <w:r>
        <w:rPr>
          <w:lang w:val="fr-FR"/>
        </w:rPr>
        <w:t>Dans</w:t>
      </w:r>
      <w:r w:rsidRPr="004C2793">
        <w:rPr>
          <w:lang w:val="fr-FR"/>
        </w:rPr>
        <w:t xml:space="preserve"> le tableau sous</w:t>
      </w:r>
      <w:r w:rsidRPr="00805662" w:rsidDel="00F541B4">
        <w:t xml:space="preserve"> </w:t>
      </w:r>
      <w:r w:rsidRPr="00805662">
        <w:t>« </w:t>
      </w:r>
      <w:r w:rsidRPr="00F541B4">
        <w:rPr>
          <w:i/>
        </w:rPr>
        <w:t>Pour les équipements</w:t>
      </w:r>
      <w:r w:rsidRPr="00805662">
        <w:t xml:space="preserve"> », pour la norme « EN </w:t>
      </w:r>
      <w:proofErr w:type="gramStart"/>
      <w:r w:rsidRPr="00805662">
        <w:t>13317:</w:t>
      </w:r>
      <w:proofErr w:type="gramEnd"/>
      <w:r w:rsidRPr="00805662">
        <w:t xml:space="preserve">2002 + A1:2006 », en colonne 4), remplacer « Jusqu’à nouvel ordre » par </w:t>
      </w:r>
      <w:r w:rsidRPr="00805662">
        <w:rPr>
          <w:lang w:val="fr-FR"/>
        </w:rPr>
        <w:t>« Entre le 1</w:t>
      </w:r>
      <w:r w:rsidRPr="009040ED">
        <w:rPr>
          <w:lang w:val="fr-FR"/>
        </w:rPr>
        <w:t>er</w:t>
      </w:r>
      <w:r w:rsidRPr="00805662">
        <w:rPr>
          <w:lang w:val="fr-FR"/>
        </w:rPr>
        <w:t> janvier 2009 et le 31 décembre 2020 »</w:t>
      </w:r>
      <w:r w:rsidRPr="00805662">
        <w:t xml:space="preserve">. </w:t>
      </w:r>
      <w:r w:rsidRPr="00805662">
        <w:rPr>
          <w:lang w:val="fr-FR"/>
        </w:rPr>
        <w:t xml:space="preserve">Après la norme </w:t>
      </w:r>
      <w:r w:rsidRPr="00805662">
        <w:t xml:space="preserve">« EN </w:t>
      </w:r>
      <w:proofErr w:type="gramStart"/>
      <w:r w:rsidRPr="00805662">
        <w:t>13317:</w:t>
      </w:r>
      <w:proofErr w:type="gramEnd"/>
      <w:r w:rsidRPr="00805662">
        <w:t>2002 + A1:2006 »</w:t>
      </w:r>
      <w:r w:rsidRPr="00805662">
        <w:rPr>
          <w:lang w:val="fr-FR"/>
        </w:rPr>
        <w:t xml:space="preserve">, ajouter la nouvelle </w:t>
      </w:r>
      <w:r w:rsidR="00721D7D">
        <w:rPr>
          <w:lang w:val="fr-FR"/>
        </w:rPr>
        <w:t>ligne</w:t>
      </w:r>
      <w:r w:rsidRPr="00805662">
        <w:rPr>
          <w:lang w:val="fr-FR"/>
        </w:rPr>
        <w:t xml:space="preserv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3328"/>
        <w:gridCol w:w="1067"/>
        <w:gridCol w:w="1194"/>
        <w:gridCol w:w="892"/>
      </w:tblGrid>
      <w:tr w:rsidR="00366A41" w:rsidRPr="00805662" w:rsidTr="001C495C">
        <w:trPr>
          <w:cantSplit/>
        </w:trPr>
        <w:tc>
          <w:tcPr>
            <w:tcW w:w="2024" w:type="dxa"/>
          </w:tcPr>
          <w:p w:rsidR="00366A41" w:rsidRPr="00805662" w:rsidRDefault="00366A41" w:rsidP="001C495C">
            <w:pPr>
              <w:tabs>
                <w:tab w:val="left" w:pos="1418"/>
              </w:tabs>
              <w:rPr>
                <w:lang w:val="fr-FR"/>
              </w:rPr>
            </w:pPr>
            <w:r w:rsidRPr="00805662">
              <w:rPr>
                <w:lang w:val="fr-FR"/>
              </w:rPr>
              <w:t xml:space="preserve">EN </w:t>
            </w:r>
            <w:proofErr w:type="gramStart"/>
            <w:r w:rsidRPr="00805662">
              <w:rPr>
                <w:lang w:val="fr-FR"/>
              </w:rPr>
              <w:t>13317:</w:t>
            </w:r>
            <w:proofErr w:type="gramEnd"/>
            <w:r w:rsidRPr="00805662">
              <w:rPr>
                <w:lang w:val="fr-FR"/>
              </w:rPr>
              <w:t>2018</w:t>
            </w:r>
          </w:p>
        </w:tc>
        <w:tc>
          <w:tcPr>
            <w:tcW w:w="3328" w:type="dxa"/>
            <w:vAlign w:val="center"/>
          </w:tcPr>
          <w:p w:rsidR="00366A41" w:rsidRPr="00805662" w:rsidRDefault="00366A41" w:rsidP="001C495C">
            <w:pPr>
              <w:rPr>
                <w:lang w:val="fr-FR"/>
              </w:rPr>
            </w:pPr>
            <w:r w:rsidRPr="00805662">
              <w:rPr>
                <w:bCs/>
                <w:lang w:val="fr-FR"/>
              </w:rPr>
              <w:t>Citernes destinées au transport de matières dangereuses - Équipements de service pour citernes - Couvercles de trou d'homme</w:t>
            </w:r>
          </w:p>
        </w:tc>
        <w:tc>
          <w:tcPr>
            <w:tcW w:w="1067" w:type="dxa"/>
            <w:vAlign w:val="center"/>
          </w:tcPr>
          <w:p w:rsidR="00366A41" w:rsidRPr="00805662" w:rsidRDefault="00366A41" w:rsidP="001C495C">
            <w:pPr>
              <w:rPr>
                <w:lang w:val="fr-FR"/>
              </w:rPr>
            </w:pPr>
            <w:r w:rsidRPr="00805662">
              <w:rPr>
                <w:bCs/>
                <w:lang w:val="fr-FR"/>
              </w:rPr>
              <w:t>6.8.2.2 et 6.8.2.4.1</w:t>
            </w:r>
          </w:p>
        </w:tc>
        <w:tc>
          <w:tcPr>
            <w:tcW w:w="1194" w:type="dxa"/>
            <w:vAlign w:val="center"/>
          </w:tcPr>
          <w:p w:rsidR="00366A41" w:rsidRPr="00805662" w:rsidRDefault="00366A41" w:rsidP="001C495C">
            <w:pPr>
              <w:jc w:val="center"/>
              <w:rPr>
                <w:lang w:val="fr-FR"/>
              </w:rPr>
            </w:pPr>
            <w:r w:rsidRPr="00805662">
              <w:rPr>
                <w:bCs/>
                <w:lang w:val="fr-FR"/>
              </w:rPr>
              <w:t>Jusqu’à nouvel ordre</w:t>
            </w:r>
          </w:p>
        </w:tc>
        <w:tc>
          <w:tcPr>
            <w:tcW w:w="892" w:type="dxa"/>
          </w:tcPr>
          <w:p w:rsidR="00366A41" w:rsidRPr="00805662" w:rsidRDefault="00366A41" w:rsidP="001C495C">
            <w:pPr>
              <w:tabs>
                <w:tab w:val="left" w:pos="1418"/>
              </w:tabs>
              <w:rPr>
                <w:lang w:val="fr-FR"/>
              </w:rPr>
            </w:pPr>
          </w:p>
        </w:tc>
      </w:tr>
    </w:tbl>
    <w:p w:rsidR="00B03963" w:rsidRDefault="00314E4D" w:rsidP="00366A41">
      <w:pPr>
        <w:pStyle w:val="H1G"/>
        <w:rPr>
          <w:szCs w:val="24"/>
        </w:rPr>
      </w:pPr>
      <w:r>
        <w:rPr>
          <w:szCs w:val="28"/>
        </w:rPr>
        <w:tab/>
      </w:r>
      <w:r w:rsidR="00B03963">
        <w:rPr>
          <w:szCs w:val="24"/>
        </w:rPr>
        <w:t>B.</w:t>
      </w:r>
      <w:r w:rsidR="00B03963">
        <w:rPr>
          <w:szCs w:val="24"/>
        </w:rPr>
        <w:tab/>
        <w:t>Projet d’amendement</w:t>
      </w:r>
      <w:r w:rsidR="00721D7D">
        <w:rPr>
          <w:szCs w:val="24"/>
        </w:rPr>
        <w:t>s</w:t>
      </w:r>
      <w:r w:rsidR="00B03963">
        <w:rPr>
          <w:szCs w:val="24"/>
        </w:rPr>
        <w:t xml:space="preserve"> relatif</w:t>
      </w:r>
      <w:r w:rsidR="00721D7D">
        <w:rPr>
          <w:szCs w:val="24"/>
        </w:rPr>
        <w:t>s</w:t>
      </w:r>
      <w:r w:rsidR="00B03963">
        <w:rPr>
          <w:szCs w:val="24"/>
        </w:rPr>
        <w:t xml:space="preserve"> à la norme</w:t>
      </w:r>
      <w:r w:rsidR="00B03963" w:rsidRPr="00314E4D">
        <w:rPr>
          <w:szCs w:val="24"/>
        </w:rPr>
        <w:t xml:space="preserve"> EN </w:t>
      </w:r>
      <w:proofErr w:type="gramStart"/>
      <w:r w:rsidR="00B03963" w:rsidRPr="00314E4D">
        <w:rPr>
          <w:szCs w:val="24"/>
        </w:rPr>
        <w:t>1440:</w:t>
      </w:r>
      <w:proofErr w:type="gramEnd"/>
      <w:r w:rsidR="00B03963" w:rsidRPr="00314E4D">
        <w:rPr>
          <w:szCs w:val="24"/>
        </w:rPr>
        <w:t>2016 +A1:2018</w:t>
      </w:r>
    </w:p>
    <w:p w:rsidR="001C7ED3" w:rsidRPr="00A8435F" w:rsidRDefault="001C7ED3" w:rsidP="001C7ED3">
      <w:pPr>
        <w:pStyle w:val="SingleTxtG"/>
        <w:tabs>
          <w:tab w:val="left" w:pos="2268"/>
        </w:tabs>
        <w:spacing w:before="120"/>
      </w:pPr>
      <w:r>
        <w:t>6.2.4.2</w:t>
      </w:r>
      <w:r>
        <w:tab/>
      </w:r>
      <w:r w:rsidRPr="00A8435F">
        <w:t xml:space="preserve">Pour la norme « EN </w:t>
      </w:r>
      <w:proofErr w:type="gramStart"/>
      <w:r w:rsidRPr="00A8435F">
        <w:t>1440:</w:t>
      </w:r>
      <w:proofErr w:type="gramEnd"/>
      <w:r w:rsidRPr="00A8435F">
        <w:t xml:space="preserve">2016 (sauf annexe C) », en colonne 3), remplacer </w:t>
      </w:r>
      <w:r w:rsidRPr="00A8435F">
        <w:rPr>
          <w:lang w:val="fr-FR"/>
        </w:rPr>
        <w:t xml:space="preserve">« Obligatoirement à partir du 1er janvier 2019 » par « Jusqu’au 31 décembre 2020 ». Après </w:t>
      </w:r>
      <w:r w:rsidRPr="00A8435F">
        <w:t xml:space="preserve">la norme « EN </w:t>
      </w:r>
      <w:proofErr w:type="gramStart"/>
      <w:r w:rsidRPr="00A8435F">
        <w:t>1440:</w:t>
      </w:r>
      <w:proofErr w:type="gramEnd"/>
      <w:r w:rsidRPr="00A8435F">
        <w:t>2016 (sauf annexe C) », ajouter la nouvelle ligne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4008"/>
        <w:gridCol w:w="2058"/>
      </w:tblGrid>
      <w:tr w:rsidR="001C7ED3" w:rsidRPr="00A8435F" w:rsidTr="001C495C">
        <w:trPr>
          <w:cantSplit/>
        </w:trPr>
        <w:tc>
          <w:tcPr>
            <w:tcW w:w="2439" w:type="dxa"/>
          </w:tcPr>
          <w:p w:rsidR="001C7ED3" w:rsidRPr="00A8435F" w:rsidRDefault="001C7ED3" w:rsidP="001C495C">
            <w:pPr>
              <w:tabs>
                <w:tab w:val="left" w:pos="1418"/>
              </w:tabs>
              <w:rPr>
                <w:lang w:val="fr-FR"/>
              </w:rPr>
            </w:pPr>
            <w:r w:rsidRPr="00A8435F">
              <w:rPr>
                <w:bCs/>
                <w:lang w:val="fr-FR"/>
              </w:rPr>
              <w:t xml:space="preserve">EN </w:t>
            </w:r>
            <w:proofErr w:type="gramStart"/>
            <w:r w:rsidRPr="00A8435F">
              <w:rPr>
                <w:bCs/>
                <w:lang w:val="fr-FR"/>
              </w:rPr>
              <w:t>1440:</w:t>
            </w:r>
            <w:proofErr w:type="gramEnd"/>
            <w:r w:rsidRPr="00A8435F">
              <w:rPr>
                <w:bCs/>
                <w:lang w:val="fr-FR"/>
              </w:rPr>
              <w:t>2016 +A1:2018 (sauf annexe C)</w:t>
            </w:r>
          </w:p>
        </w:tc>
        <w:tc>
          <w:tcPr>
            <w:tcW w:w="4008" w:type="dxa"/>
            <w:vAlign w:val="center"/>
          </w:tcPr>
          <w:p w:rsidR="001C7ED3" w:rsidRPr="00A8435F" w:rsidRDefault="001C7ED3" w:rsidP="001C495C">
            <w:pPr>
              <w:rPr>
                <w:lang w:val="fr-FR"/>
              </w:rPr>
            </w:pPr>
            <w:r w:rsidRPr="00A8435F">
              <w:rPr>
                <w:bCs/>
                <w:lang w:val="fr-FR"/>
              </w:rPr>
              <w:t xml:space="preserve">Équipement pour GPL et leurs accessoires – Bouteilles </w:t>
            </w:r>
            <w:r>
              <w:rPr>
                <w:bCs/>
                <w:lang w:val="fr-FR"/>
              </w:rPr>
              <w:t xml:space="preserve">de gaz de pétrole liquéfié (GPL) </w:t>
            </w:r>
            <w:r w:rsidRPr="00140003">
              <w:rPr>
                <w:bCs/>
                <w:lang w:val="fr-FR"/>
              </w:rPr>
              <w:t xml:space="preserve">en acier soudé et brasé </w:t>
            </w:r>
            <w:r w:rsidRPr="00A8435F">
              <w:rPr>
                <w:bCs/>
                <w:lang w:val="fr-FR"/>
              </w:rPr>
              <w:t>transportables et rechargeables – Contrôle périodique</w:t>
            </w:r>
          </w:p>
        </w:tc>
        <w:tc>
          <w:tcPr>
            <w:tcW w:w="2058" w:type="dxa"/>
            <w:vAlign w:val="center"/>
          </w:tcPr>
          <w:p w:rsidR="001C7ED3" w:rsidRPr="00A8435F" w:rsidRDefault="001C7ED3" w:rsidP="001C495C">
            <w:pPr>
              <w:jc w:val="center"/>
              <w:rPr>
                <w:lang w:val="fr-FR"/>
              </w:rPr>
            </w:pPr>
            <w:r w:rsidRPr="00A8435F">
              <w:rPr>
                <w:bCs/>
                <w:lang w:val="fr-FR"/>
              </w:rPr>
              <w:t>Obligatoirement à partir du 1er janvier 2021</w:t>
            </w:r>
          </w:p>
        </w:tc>
      </w:tr>
    </w:tbl>
    <w:p w:rsidR="00B03963" w:rsidRDefault="00B03963" w:rsidP="00366A41">
      <w:pPr>
        <w:pStyle w:val="H1G"/>
      </w:pPr>
      <w:r>
        <w:tab/>
        <w:t>C.</w:t>
      </w:r>
      <w:r>
        <w:tab/>
        <w:t>Projet d’amendement</w:t>
      </w:r>
      <w:r w:rsidR="00721D7D">
        <w:t>s</w:t>
      </w:r>
      <w:r>
        <w:t xml:space="preserve"> relatif</w:t>
      </w:r>
      <w:r w:rsidR="00721D7D">
        <w:t>s</w:t>
      </w:r>
      <w:r>
        <w:t xml:space="preserve"> à la norme </w:t>
      </w:r>
      <w:r w:rsidRPr="00314E4D">
        <w:t xml:space="preserve">EN </w:t>
      </w:r>
      <w:proofErr w:type="gramStart"/>
      <w:r w:rsidRPr="00314E4D">
        <w:t>16728:</w:t>
      </w:r>
      <w:proofErr w:type="gramEnd"/>
      <w:r w:rsidRPr="00314E4D">
        <w:t xml:space="preserve">2016 +A1:2018 </w:t>
      </w:r>
    </w:p>
    <w:p w:rsidR="00366A41" w:rsidRPr="00A8435F" w:rsidRDefault="00366A41" w:rsidP="00366A41">
      <w:pPr>
        <w:pStyle w:val="SingleTxtG"/>
        <w:tabs>
          <w:tab w:val="left" w:pos="2268"/>
        </w:tabs>
        <w:spacing w:before="120"/>
        <w:rPr>
          <w:iCs/>
          <w:lang w:val="fr-FR"/>
        </w:rPr>
      </w:pPr>
      <w:r w:rsidRPr="00A8435F">
        <w:t>6.2.4.2</w:t>
      </w:r>
      <w:r w:rsidRPr="00A8435F">
        <w:tab/>
        <w:t xml:space="preserve">Pour la norme « EN </w:t>
      </w:r>
      <w:proofErr w:type="gramStart"/>
      <w:r w:rsidRPr="00A8435F">
        <w:t>16728:</w:t>
      </w:r>
      <w:proofErr w:type="gramEnd"/>
      <w:r w:rsidRPr="00A8435F">
        <w:t xml:space="preserve">2016 (sauf article 3.5, annexe F et annexe G) », en colonne 3), remplacer </w:t>
      </w:r>
      <w:r w:rsidRPr="00A8435F">
        <w:rPr>
          <w:lang w:val="fr-FR"/>
        </w:rPr>
        <w:t xml:space="preserve">« Obligatoirement à partir du 1er janvier 2019 » par « Jusqu’au 31 décembre 2020 ». Après </w:t>
      </w:r>
      <w:r w:rsidRPr="00A8435F">
        <w:t xml:space="preserve">la norme « EN </w:t>
      </w:r>
      <w:proofErr w:type="gramStart"/>
      <w:r w:rsidRPr="00A8435F">
        <w:t>16728:</w:t>
      </w:r>
      <w:proofErr w:type="gramEnd"/>
      <w:r w:rsidRPr="00A8435F">
        <w:t>2016 (sauf article 3.5, annexe F et annexe G) », ajouter la nouvelle ligne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4008"/>
        <w:gridCol w:w="2058"/>
      </w:tblGrid>
      <w:tr w:rsidR="00366A41" w:rsidRPr="00A8435F" w:rsidTr="001C495C">
        <w:trPr>
          <w:cantSplit/>
        </w:trPr>
        <w:tc>
          <w:tcPr>
            <w:tcW w:w="2439" w:type="dxa"/>
          </w:tcPr>
          <w:p w:rsidR="00366A41" w:rsidRPr="00A8435F" w:rsidRDefault="00366A41" w:rsidP="001C495C">
            <w:pPr>
              <w:tabs>
                <w:tab w:val="left" w:pos="1418"/>
              </w:tabs>
              <w:rPr>
                <w:lang w:val="fr-FR"/>
              </w:rPr>
            </w:pPr>
            <w:r w:rsidRPr="00A8435F">
              <w:rPr>
                <w:bCs/>
                <w:lang w:val="fr-FR"/>
              </w:rPr>
              <w:t xml:space="preserve">EN </w:t>
            </w:r>
            <w:proofErr w:type="gramStart"/>
            <w:r w:rsidRPr="00A8435F">
              <w:rPr>
                <w:bCs/>
                <w:lang w:val="fr-FR"/>
              </w:rPr>
              <w:t>16728:</w:t>
            </w:r>
            <w:proofErr w:type="gramEnd"/>
            <w:r w:rsidRPr="00A8435F">
              <w:rPr>
                <w:bCs/>
                <w:lang w:val="fr-FR"/>
              </w:rPr>
              <w:t>2016 +A1:2018</w:t>
            </w:r>
          </w:p>
        </w:tc>
        <w:tc>
          <w:tcPr>
            <w:tcW w:w="4008" w:type="dxa"/>
            <w:vAlign w:val="center"/>
          </w:tcPr>
          <w:p w:rsidR="00366A41" w:rsidRPr="00A8435F" w:rsidRDefault="00366A41" w:rsidP="001C495C">
            <w:pPr>
              <w:rPr>
                <w:lang w:val="fr-FR"/>
              </w:rPr>
            </w:pPr>
            <w:r w:rsidRPr="00A8435F">
              <w:rPr>
                <w:bCs/>
                <w:lang w:val="fr-FR"/>
              </w:rPr>
              <w:t>Équipement pour GPL et leurs accessoires – Bouteilles transportables et rechargeables pour GPL autres que celles en acier soudé et brasé – Contrôle périodique</w:t>
            </w:r>
          </w:p>
        </w:tc>
        <w:tc>
          <w:tcPr>
            <w:tcW w:w="2058" w:type="dxa"/>
            <w:vAlign w:val="center"/>
          </w:tcPr>
          <w:p w:rsidR="00366A41" w:rsidRPr="00A8435F" w:rsidRDefault="00366A41" w:rsidP="001C495C">
            <w:pPr>
              <w:jc w:val="center"/>
              <w:rPr>
                <w:lang w:val="fr-FR"/>
              </w:rPr>
            </w:pPr>
            <w:r w:rsidRPr="00A8435F">
              <w:rPr>
                <w:bCs/>
                <w:lang w:val="fr-FR"/>
              </w:rPr>
              <w:t>Obligatoirement à partir du 1er janvier 2021</w:t>
            </w:r>
          </w:p>
        </w:tc>
      </w:tr>
    </w:tbl>
    <w:p w:rsidR="00366A41" w:rsidRDefault="00B03963" w:rsidP="00366A41">
      <w:pPr>
        <w:pStyle w:val="H1G"/>
        <w:rPr>
          <w:szCs w:val="24"/>
        </w:rPr>
      </w:pPr>
      <w:r>
        <w:rPr>
          <w:szCs w:val="24"/>
        </w:rPr>
        <w:tab/>
      </w:r>
      <w:r w:rsidR="00366A41">
        <w:rPr>
          <w:szCs w:val="24"/>
        </w:rPr>
        <w:t>D</w:t>
      </w:r>
      <w:r w:rsidR="00366A41">
        <w:rPr>
          <w:szCs w:val="28"/>
        </w:rPr>
        <w:t>.</w:t>
      </w:r>
      <w:r w:rsidR="00366A41">
        <w:rPr>
          <w:szCs w:val="28"/>
        </w:rPr>
        <w:tab/>
      </w:r>
      <w:r w:rsidR="00366A41" w:rsidRPr="00B03963">
        <w:t xml:space="preserve">Projet d’amendements relatifs à la norme EN ISO </w:t>
      </w:r>
      <w:proofErr w:type="gramStart"/>
      <w:r w:rsidR="00366A41" w:rsidRPr="00B03963">
        <w:t>17871:</w:t>
      </w:r>
      <w:proofErr w:type="gramEnd"/>
      <w:r w:rsidR="00366A41" w:rsidRPr="00B03963">
        <w:t>2015 + A1:2018</w:t>
      </w:r>
    </w:p>
    <w:p w:rsidR="00366A41" w:rsidRPr="00A8435F" w:rsidRDefault="00366A41" w:rsidP="00366A41">
      <w:pPr>
        <w:pStyle w:val="SingleTxtG"/>
        <w:tabs>
          <w:tab w:val="left" w:pos="2268"/>
        </w:tabs>
        <w:rPr>
          <w:lang w:val="fr-FR"/>
        </w:rPr>
      </w:pPr>
      <w:r w:rsidRPr="00A8435F">
        <w:rPr>
          <w:bCs/>
          <w:lang w:val="fr-FR"/>
        </w:rPr>
        <w:t>6.2.4.1</w:t>
      </w:r>
      <w:r w:rsidRPr="00A8435F">
        <w:rPr>
          <w:b/>
          <w:lang w:val="fr-FR"/>
        </w:rPr>
        <w:tab/>
      </w:r>
      <w:r w:rsidRPr="00A8435F">
        <w:rPr>
          <w:rFonts w:cs="Arial"/>
          <w:szCs w:val="22"/>
          <w:lang w:val="fr-FR"/>
        </w:rPr>
        <w:t>Dans</w:t>
      </w:r>
      <w:r w:rsidRPr="00A8435F">
        <w:rPr>
          <w:lang w:val="fr-FR"/>
        </w:rPr>
        <w:t xml:space="preserve"> le tableau, sous « Pour les fermetures », pour la norme « </w:t>
      </w:r>
      <w:r w:rsidRPr="00A8435F">
        <w:rPr>
          <w:rFonts w:eastAsia="MS Mincho"/>
          <w:lang w:val="fr-FR" w:eastAsia="de-DE"/>
        </w:rPr>
        <w:t xml:space="preserve">EN ISO </w:t>
      </w:r>
      <w:proofErr w:type="gramStart"/>
      <w:r w:rsidRPr="00A8435F">
        <w:rPr>
          <w:rFonts w:eastAsia="MS Mincho"/>
          <w:lang w:val="fr-FR" w:eastAsia="de-DE"/>
        </w:rPr>
        <w:t>17871:</w:t>
      </w:r>
      <w:proofErr w:type="gramEnd"/>
      <w:r w:rsidRPr="00A8435F">
        <w:rPr>
          <w:rFonts w:eastAsia="MS Mincho"/>
          <w:lang w:val="fr-FR" w:eastAsia="de-DE"/>
        </w:rPr>
        <w:t>2015 »</w:t>
      </w:r>
      <w:r w:rsidRPr="00A8435F">
        <w:rPr>
          <w:lang w:val="fr-FR"/>
        </w:rPr>
        <w:t>, dans la colonne (4), remplacer « Jusqu’à nouvel ordre » par « Entre le 1</w:t>
      </w:r>
      <w:r w:rsidRPr="009040ED">
        <w:rPr>
          <w:lang w:val="fr-FR"/>
        </w:rPr>
        <w:t>er</w:t>
      </w:r>
      <w:r w:rsidRPr="00A8435F">
        <w:rPr>
          <w:lang w:val="fr-FR"/>
        </w:rPr>
        <w:t> janvier 2017 et le 31 décembre 2020 ». Après la norme « </w:t>
      </w:r>
      <w:r w:rsidRPr="00A8435F">
        <w:rPr>
          <w:rFonts w:eastAsia="MS Mincho"/>
          <w:lang w:val="fr-FR" w:eastAsia="de-DE"/>
        </w:rPr>
        <w:t xml:space="preserve">EN ISO </w:t>
      </w:r>
      <w:proofErr w:type="gramStart"/>
      <w:r w:rsidRPr="00A8435F">
        <w:rPr>
          <w:rFonts w:eastAsia="MS Mincho"/>
          <w:lang w:val="fr-FR" w:eastAsia="de-DE"/>
        </w:rPr>
        <w:t>17871:</w:t>
      </w:r>
      <w:proofErr w:type="gramEnd"/>
      <w:r w:rsidRPr="00A8435F">
        <w:rPr>
          <w:rFonts w:eastAsia="MS Mincho"/>
          <w:lang w:val="fr-FR" w:eastAsia="de-DE"/>
        </w:rPr>
        <w:t>2015 »</w:t>
      </w:r>
      <w:r w:rsidRPr="00A8435F">
        <w:rPr>
          <w:lang w:val="fr-FR"/>
        </w:rPr>
        <w:t xml:space="preserve">, ajouter la nouvelle </w:t>
      </w:r>
      <w:r w:rsidR="00721D7D">
        <w:rPr>
          <w:lang w:val="fr-FR"/>
        </w:rPr>
        <w:t>ligne</w:t>
      </w:r>
      <w:r w:rsidRPr="00A8435F">
        <w:rPr>
          <w:lang w:val="fr-FR"/>
        </w:rPr>
        <w:t xml:space="preserv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3530"/>
        <w:gridCol w:w="1290"/>
        <w:gridCol w:w="828"/>
        <w:gridCol w:w="866"/>
      </w:tblGrid>
      <w:tr w:rsidR="00366A41" w:rsidRPr="00A8435F" w:rsidTr="001C495C">
        <w:trPr>
          <w:cantSplit/>
        </w:trPr>
        <w:tc>
          <w:tcPr>
            <w:tcW w:w="1991" w:type="dxa"/>
          </w:tcPr>
          <w:p w:rsidR="00366A41" w:rsidRPr="00A8435F" w:rsidRDefault="00366A41" w:rsidP="001C495C">
            <w:pPr>
              <w:tabs>
                <w:tab w:val="left" w:pos="1418"/>
              </w:tabs>
              <w:rPr>
                <w:lang w:val="fr-FR"/>
              </w:rPr>
            </w:pPr>
            <w:r w:rsidRPr="00A8435F">
              <w:rPr>
                <w:lang w:val="fr-FR"/>
              </w:rPr>
              <w:lastRenderedPageBreak/>
              <w:t xml:space="preserve">EN ISO </w:t>
            </w:r>
            <w:proofErr w:type="gramStart"/>
            <w:r w:rsidRPr="00A8435F">
              <w:rPr>
                <w:lang w:val="fr-FR"/>
              </w:rPr>
              <w:t>17871:</w:t>
            </w:r>
            <w:proofErr w:type="gramEnd"/>
            <w:r w:rsidRPr="00A8435F">
              <w:rPr>
                <w:lang w:val="fr-FR"/>
              </w:rPr>
              <w:t>2015 + A1:2018</w:t>
            </w:r>
          </w:p>
        </w:tc>
        <w:tc>
          <w:tcPr>
            <w:tcW w:w="3530" w:type="dxa"/>
            <w:vAlign w:val="center"/>
          </w:tcPr>
          <w:p w:rsidR="00366A41" w:rsidRPr="00A8435F" w:rsidRDefault="00366A41" w:rsidP="001C495C">
            <w:pPr>
              <w:rPr>
                <w:lang w:val="fr-FR"/>
              </w:rPr>
            </w:pPr>
            <w:r w:rsidRPr="00A8435F">
              <w:rPr>
                <w:bCs/>
                <w:lang w:val="fr-FR"/>
              </w:rPr>
              <w:t>Bouteilles à gaz − Robinets de bouteilles à ouverture rapide – Spécifications et essais de type</w:t>
            </w:r>
          </w:p>
        </w:tc>
        <w:tc>
          <w:tcPr>
            <w:tcW w:w="1290" w:type="dxa"/>
            <w:vAlign w:val="center"/>
          </w:tcPr>
          <w:p w:rsidR="00366A41" w:rsidRPr="00A8435F" w:rsidRDefault="00366A41" w:rsidP="001C495C">
            <w:pPr>
              <w:rPr>
                <w:lang w:val="fr-FR"/>
              </w:rPr>
            </w:pPr>
            <w:r w:rsidRPr="00A8435F">
              <w:rPr>
                <w:lang w:val="fr-FR"/>
              </w:rPr>
              <w:t>6.2.3.1, 6.2.3.3 et 6.2.3.4</w:t>
            </w:r>
          </w:p>
        </w:tc>
        <w:tc>
          <w:tcPr>
            <w:tcW w:w="828" w:type="dxa"/>
            <w:vAlign w:val="center"/>
          </w:tcPr>
          <w:p w:rsidR="00366A41" w:rsidRPr="00A8435F" w:rsidRDefault="00366A41" w:rsidP="001C495C">
            <w:pPr>
              <w:jc w:val="center"/>
              <w:rPr>
                <w:lang w:val="fr-FR"/>
              </w:rPr>
            </w:pPr>
            <w:r w:rsidRPr="00A8435F">
              <w:rPr>
                <w:bCs/>
                <w:lang w:val="fr-FR"/>
              </w:rPr>
              <w:t>Jusqu’à nouvel ordre</w:t>
            </w:r>
          </w:p>
        </w:tc>
        <w:tc>
          <w:tcPr>
            <w:tcW w:w="866" w:type="dxa"/>
          </w:tcPr>
          <w:p w:rsidR="00366A41" w:rsidRPr="00A8435F" w:rsidRDefault="00366A41" w:rsidP="001C495C">
            <w:pPr>
              <w:tabs>
                <w:tab w:val="left" w:pos="1418"/>
              </w:tabs>
              <w:rPr>
                <w:lang w:val="fr-FR"/>
              </w:rPr>
            </w:pPr>
          </w:p>
        </w:tc>
      </w:tr>
    </w:tbl>
    <w:p w:rsidR="008C7AD9" w:rsidRPr="00EA09D6" w:rsidRDefault="00EA09D6" w:rsidP="00EA09D6">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8C7AD9" w:rsidRPr="00EA09D6" w:rsidSect="00E5505D">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B96" w:rsidRDefault="00136B96"/>
  </w:endnote>
  <w:endnote w:type="continuationSeparator" w:id="0">
    <w:p w:rsidR="00136B96" w:rsidRDefault="00136B96"/>
  </w:endnote>
  <w:endnote w:type="continuationNotice" w:id="1">
    <w:p w:rsidR="00136B96" w:rsidRDefault="00136B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3B7" w:rsidRPr="00765650" w:rsidRDefault="00337869" w:rsidP="00765650">
    <w:pPr>
      <w:pStyle w:val="Footer"/>
      <w:tabs>
        <w:tab w:val="right" w:pos="9638"/>
      </w:tabs>
      <w:rPr>
        <w:sz w:val="18"/>
      </w:rPr>
    </w:pPr>
    <w:r w:rsidRPr="00765650">
      <w:rPr>
        <w:b/>
        <w:sz w:val="18"/>
      </w:rPr>
      <w:fldChar w:fldCharType="begin"/>
    </w:r>
    <w:r w:rsidR="00B333B7" w:rsidRPr="00765650">
      <w:rPr>
        <w:b/>
        <w:sz w:val="18"/>
      </w:rPr>
      <w:instrText xml:space="preserve"> PAGE  \* MERGEFORMAT </w:instrText>
    </w:r>
    <w:r w:rsidRPr="00765650">
      <w:rPr>
        <w:b/>
        <w:sz w:val="18"/>
      </w:rPr>
      <w:fldChar w:fldCharType="separate"/>
    </w:r>
    <w:r w:rsidR="00212675">
      <w:rPr>
        <w:b/>
        <w:noProof/>
        <w:sz w:val="18"/>
      </w:rPr>
      <w:t>18</w:t>
    </w:r>
    <w:r w:rsidRPr="00765650">
      <w:rPr>
        <w:b/>
        <w:sz w:val="18"/>
      </w:rPr>
      <w:fldChar w:fldCharType="end"/>
    </w:r>
    <w:r w:rsidR="00B333B7">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3B7" w:rsidRPr="00765650" w:rsidRDefault="00B333B7" w:rsidP="00765650">
    <w:pPr>
      <w:pStyle w:val="Footer"/>
      <w:tabs>
        <w:tab w:val="right" w:pos="9638"/>
      </w:tabs>
      <w:rPr>
        <w:sz w:val="18"/>
      </w:rPr>
    </w:pPr>
    <w:r>
      <w:tab/>
    </w:r>
    <w:r w:rsidR="00337869" w:rsidRPr="00765650">
      <w:rPr>
        <w:b/>
        <w:sz w:val="18"/>
      </w:rPr>
      <w:fldChar w:fldCharType="begin"/>
    </w:r>
    <w:r w:rsidRPr="00765650">
      <w:rPr>
        <w:b/>
        <w:sz w:val="18"/>
      </w:rPr>
      <w:instrText xml:space="preserve"> PAGE  \* MERGEFORMAT </w:instrText>
    </w:r>
    <w:r w:rsidR="00337869" w:rsidRPr="00765650">
      <w:rPr>
        <w:b/>
        <w:sz w:val="18"/>
      </w:rPr>
      <w:fldChar w:fldCharType="separate"/>
    </w:r>
    <w:r w:rsidR="00212675">
      <w:rPr>
        <w:b/>
        <w:noProof/>
        <w:sz w:val="18"/>
      </w:rPr>
      <w:t>17</w:t>
    </w:r>
    <w:r w:rsidR="00337869" w:rsidRPr="0076565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B96" w:rsidRPr="00D27D5E" w:rsidRDefault="00136B96" w:rsidP="00D27D5E">
      <w:pPr>
        <w:tabs>
          <w:tab w:val="right" w:pos="2155"/>
        </w:tabs>
        <w:spacing w:after="80"/>
        <w:ind w:left="680"/>
        <w:rPr>
          <w:u w:val="single"/>
        </w:rPr>
      </w:pPr>
      <w:r>
        <w:rPr>
          <w:u w:val="single"/>
        </w:rPr>
        <w:tab/>
      </w:r>
    </w:p>
  </w:footnote>
  <w:footnote w:type="continuationSeparator" w:id="0">
    <w:p w:rsidR="00136B96" w:rsidRPr="00A80554" w:rsidRDefault="00136B96" w:rsidP="00A80554">
      <w:pPr>
        <w:tabs>
          <w:tab w:val="left" w:pos="2155"/>
        </w:tabs>
        <w:spacing w:after="80"/>
        <w:ind w:left="680"/>
        <w:rPr>
          <w:u w:val="single"/>
        </w:rPr>
      </w:pPr>
      <w:r w:rsidRPr="00A80554">
        <w:rPr>
          <w:u w:val="single"/>
        </w:rPr>
        <w:tab/>
      </w:r>
    </w:p>
  </w:footnote>
  <w:footnote w:type="continuationNotice" w:id="1">
    <w:p w:rsidR="00136B96" w:rsidRDefault="00136B96"/>
  </w:footnote>
  <w:footnote w:id="2">
    <w:p w:rsidR="00FA795E" w:rsidRPr="00FA795E" w:rsidRDefault="00FA795E" w:rsidP="00FA795E">
      <w:pPr>
        <w:pStyle w:val="FootnoteText"/>
        <w:widowControl w:val="0"/>
        <w:tabs>
          <w:tab w:val="clear" w:pos="1021"/>
          <w:tab w:val="right" w:pos="1020"/>
        </w:tabs>
        <w:rPr>
          <w:i/>
          <w:iCs/>
        </w:rPr>
      </w:pPr>
      <w:r>
        <w:tab/>
      </w:r>
      <w:r w:rsidRPr="00DD58C4">
        <w:rPr>
          <w:rStyle w:val="FootnoteReference"/>
          <w:sz w:val="20"/>
        </w:rPr>
        <w:footnoteRef/>
      </w:r>
      <w:r>
        <w:tab/>
        <w:t xml:space="preserve"> </w:t>
      </w:r>
      <w:r w:rsidRPr="00FA795E">
        <w:rPr>
          <w:i/>
          <w:iCs/>
          <w:u w:val="single"/>
        </w:rPr>
        <w:t>Note du secrétariat :</w:t>
      </w:r>
      <w:r w:rsidRPr="00FA795E">
        <w:rPr>
          <w:i/>
          <w:iCs/>
        </w:rPr>
        <w:t xml:space="preserve"> La Réunion commune RID/ADR/ADN avait adopté les amendements aux 6.8.2.6.1, 6.8.2.6.2 et 6.8.4 (d) (disposition spéciale TT1), visant à introduire une référence aux normes EN </w:t>
      </w:r>
      <w:proofErr w:type="gramStart"/>
      <w:r w:rsidRPr="00FA795E">
        <w:rPr>
          <w:i/>
          <w:iCs/>
        </w:rPr>
        <w:t>14025:</w:t>
      </w:r>
      <w:proofErr w:type="gramEnd"/>
      <w:r w:rsidRPr="00FA795E">
        <w:rPr>
          <w:i/>
          <w:iCs/>
        </w:rPr>
        <w:t xml:space="preserve">2018 et EN 12972:2018, pour </w:t>
      </w:r>
      <w:proofErr w:type="spellStart"/>
      <w:r w:rsidRPr="00FA795E">
        <w:rPr>
          <w:i/>
          <w:iCs/>
        </w:rPr>
        <w:t>entrée</w:t>
      </w:r>
      <w:proofErr w:type="spellEnd"/>
      <w:r w:rsidRPr="00FA795E">
        <w:rPr>
          <w:i/>
          <w:iCs/>
        </w:rPr>
        <w:t xml:space="preserve"> en vigueur le 1er janvier 2019, à condition qu’elles soient disponibles avant le 1er juin 2018. Le secrétariat a été informé que lesdi</w:t>
      </w:r>
      <w:r>
        <w:rPr>
          <w:i/>
          <w:iCs/>
        </w:rPr>
        <w:t>tes normes ne seraient publiées</w:t>
      </w:r>
      <w:r w:rsidRPr="00FA795E">
        <w:rPr>
          <w:i/>
          <w:iCs/>
        </w:rPr>
        <w:t xml:space="preserve"> respectivement qu’en ao</w:t>
      </w:r>
      <w:r w:rsidR="001B283A">
        <w:rPr>
          <w:i/>
          <w:iCs/>
        </w:rPr>
        <w:t>û</w:t>
      </w:r>
      <w:r w:rsidRPr="00FA795E">
        <w:rPr>
          <w:i/>
          <w:iCs/>
        </w:rPr>
        <w:t>t et en juillet 2018.</w:t>
      </w:r>
      <w:r>
        <w:rPr>
          <w:i/>
          <w:iCs/>
        </w:rPr>
        <w:t xml:space="preserve"> </w:t>
      </w:r>
      <w:r w:rsidRPr="00FA795E">
        <w:rPr>
          <w:i/>
          <w:iCs/>
        </w:rPr>
        <w:t>Il n’est donc pas possible d’introduire lesdits amendements dan</w:t>
      </w:r>
      <w:r>
        <w:rPr>
          <w:i/>
          <w:iCs/>
        </w:rPr>
        <w:t>s la proposition d’amendements</w:t>
      </w:r>
      <w:r w:rsidRPr="00FA795E">
        <w:rPr>
          <w:i/>
          <w:iCs/>
        </w:rPr>
        <w:t xml:space="preserve"> à notifier aux Parties contractantes le 1er juillet 2018 pour </w:t>
      </w:r>
      <w:proofErr w:type="spellStart"/>
      <w:r w:rsidRPr="00FA795E">
        <w:rPr>
          <w:i/>
          <w:iCs/>
        </w:rPr>
        <w:t>entrée</w:t>
      </w:r>
      <w:proofErr w:type="spellEnd"/>
      <w:r w:rsidRPr="00FA795E">
        <w:rPr>
          <w:i/>
          <w:iCs/>
        </w:rPr>
        <w:t xml:space="preserve"> en vigueur le 1er janvier 2019. L</w:t>
      </w:r>
      <w:r>
        <w:rPr>
          <w:i/>
          <w:iCs/>
        </w:rPr>
        <w:t>es amendements en question sont</w:t>
      </w:r>
      <w:r w:rsidRPr="00FA795E">
        <w:rPr>
          <w:i/>
          <w:iCs/>
        </w:rPr>
        <w:t xml:space="preserve"> reproduits en annexe III</w:t>
      </w:r>
      <w:r>
        <w:rPr>
          <w:i/>
          <w:iCs/>
        </w:rPr>
        <w:t xml:space="preserve"> au présent rapport et devront faire l’objet d’une</w:t>
      </w:r>
      <w:r w:rsidRPr="00FA795E">
        <w:rPr>
          <w:i/>
          <w:iCs/>
        </w:rPr>
        <w:t xml:space="preserve"> proposition séparée pour notification en temps opportun.</w:t>
      </w:r>
    </w:p>
  </w:footnote>
  <w:footnote w:id="3">
    <w:p w:rsidR="003E19A8" w:rsidRDefault="003E19A8" w:rsidP="003E19A8">
      <w:pPr>
        <w:pStyle w:val="FootnoteText"/>
        <w:widowControl w:val="0"/>
        <w:tabs>
          <w:tab w:val="clear" w:pos="1021"/>
          <w:tab w:val="right" w:pos="1020"/>
        </w:tabs>
      </w:pPr>
      <w:r>
        <w:tab/>
      </w:r>
      <w:r w:rsidRPr="00DA2E8F">
        <w:rPr>
          <w:rStyle w:val="FootnoteReference"/>
          <w:sz w:val="20"/>
        </w:rPr>
        <w:footnoteRef/>
      </w:r>
      <w:r>
        <w:tab/>
      </w:r>
      <w:r w:rsidRPr="003E19A8">
        <w:rPr>
          <w:i/>
          <w:iCs/>
          <w:u w:val="single"/>
        </w:rPr>
        <w:t>Note du secrétariat :</w:t>
      </w:r>
      <w:r w:rsidRPr="003E19A8">
        <w:rPr>
          <w:i/>
          <w:iCs/>
        </w:rPr>
        <w:t xml:space="preserve"> Suivant la décision du Groupe de travail lors de sa 103</w:t>
      </w:r>
      <w:r w:rsidR="001B283A">
        <w:rPr>
          <w:i/>
          <w:iCs/>
        </w:rPr>
        <w:t>e</w:t>
      </w:r>
      <w:r w:rsidRPr="003E19A8">
        <w:rPr>
          <w:i/>
          <w:iCs/>
        </w:rPr>
        <w:t xml:space="preserve"> session en ce qui concerne les références aux normes non publiées avant sa 104e session (voir ECE/TRANS/WP.15/239, para. 25), les amendements concernant les références à de nouvelles normes ou additifs à des normes référencées (EN ISO </w:t>
      </w:r>
      <w:proofErr w:type="gramStart"/>
      <w:r w:rsidRPr="003E19A8">
        <w:rPr>
          <w:i/>
          <w:iCs/>
        </w:rPr>
        <w:t>17871:</w:t>
      </w:r>
      <w:proofErr w:type="gramEnd"/>
      <w:r w:rsidRPr="003E19A8">
        <w:rPr>
          <w:i/>
          <w:iCs/>
        </w:rPr>
        <w:t xml:space="preserve">2015 + A1: 2018, EN 1440:2016 +A1: 2018, EN 16728:2016 +A1:2018 et EN 13317:2018) ne peuvent pas être inclus dans la proposition d’amendements à notifier aux Parties contractantes le 1er juillet 2018 pour </w:t>
      </w:r>
      <w:proofErr w:type="spellStart"/>
      <w:r w:rsidRPr="003E19A8">
        <w:rPr>
          <w:i/>
          <w:iCs/>
        </w:rPr>
        <w:t>entrée</w:t>
      </w:r>
      <w:proofErr w:type="spellEnd"/>
      <w:r w:rsidRPr="003E19A8">
        <w:rPr>
          <w:i/>
          <w:iCs/>
        </w:rPr>
        <w:t xml:space="preserve"> en vigueur le 1er janvier 2019, les normes et additifs en question n’ayant pas été publiées à temps</w:t>
      </w:r>
      <w:r>
        <w:rPr>
          <w:i/>
          <w:iCs/>
        </w:rPr>
        <w:t>.</w:t>
      </w:r>
      <w:r w:rsidRPr="003E19A8">
        <w:rPr>
          <w:i/>
          <w:iCs/>
        </w:rPr>
        <w:t xml:space="preserve"> Les amendements concernés sont reproduits en annexe</w:t>
      </w:r>
      <w:r>
        <w:rPr>
          <w:i/>
          <w:iCs/>
        </w:rPr>
        <w:t xml:space="preserve"> IV</w:t>
      </w:r>
      <w:r w:rsidRPr="003E19A8">
        <w:rPr>
          <w:i/>
          <w:iCs/>
        </w:rPr>
        <w:t xml:space="preserve"> au présent rapport et devront faire l’objet d’une proposition séparée pour notification en temps opportun.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3B7" w:rsidRPr="00765650" w:rsidRDefault="00B333B7">
    <w:pPr>
      <w:pStyle w:val="Header"/>
    </w:pPr>
    <w:r>
      <w:t>ECE/TRANS/WP.15/242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3B7" w:rsidRPr="00765650" w:rsidRDefault="00B333B7" w:rsidP="00765650">
    <w:pPr>
      <w:pStyle w:val="Header"/>
      <w:jc w:val="right"/>
    </w:pPr>
    <w:r>
      <w:t>ECE/TRANS/WP.15/242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8E10ABD"/>
    <w:multiLevelType w:val="hybridMultilevel"/>
    <w:tmpl w:val="29E6D352"/>
    <w:lvl w:ilvl="0" w:tplc="67F6BFDE">
      <w:start w:val="9"/>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44E373E9"/>
    <w:multiLevelType w:val="hybridMultilevel"/>
    <w:tmpl w:val="969C78EE"/>
    <w:lvl w:ilvl="0" w:tplc="2AC8B33C">
      <w:start w:val="1"/>
      <w:numFmt w:val="upperLetter"/>
      <w:lvlText w:val="%1."/>
      <w:lvlJc w:val="left"/>
      <w:pPr>
        <w:ind w:left="1560" w:hanging="4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15:restartNumberingAfterBreak="0">
    <w:nsid w:val="4D1A26B7"/>
    <w:multiLevelType w:val="hybridMultilevel"/>
    <w:tmpl w:val="2A5A31B6"/>
    <w:lvl w:ilvl="0" w:tplc="67605778">
      <w:start w:val="1"/>
      <w:numFmt w:val="upperRoman"/>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8A4316"/>
    <w:multiLevelType w:val="multilevel"/>
    <w:tmpl w:val="EA44C0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2" w15:restartNumberingAfterBreak="0">
    <w:nsid w:val="747C7F29"/>
    <w:multiLevelType w:val="hybridMultilevel"/>
    <w:tmpl w:val="F648AB26"/>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4"/>
  </w:num>
  <w:num w:numId="4">
    <w:abstractNumId w:val="3"/>
  </w:num>
  <w:num w:numId="5">
    <w:abstractNumId w:val="10"/>
  </w:num>
  <w:num w:numId="6">
    <w:abstractNumId w:val="13"/>
  </w:num>
  <w:num w:numId="7">
    <w:abstractNumId w:val="1"/>
  </w:num>
  <w:num w:numId="8">
    <w:abstractNumId w:val="8"/>
  </w:num>
  <w:num w:numId="9">
    <w:abstractNumId w:val="2"/>
  </w:num>
  <w:num w:numId="10">
    <w:abstractNumId w:val="5"/>
  </w:num>
  <w:num w:numId="11">
    <w:abstractNumId w:val="9"/>
  </w:num>
  <w:num w:numId="12">
    <w:abstractNumId w:val="11"/>
  </w:num>
  <w:num w:numId="13">
    <w:abstractNumId w:val="11"/>
  </w:num>
  <w:num w:numId="14">
    <w:abstractNumId w:val="7"/>
  </w:num>
  <w:num w:numId="15">
    <w:abstractNumId w:val="0"/>
  </w:num>
  <w:num w:numId="1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1"/>
  <w:activeWritingStyle w:appName="MSWord" w:lang="fr-FR" w:vendorID="64" w:dllVersion="6" w:nlCheck="1" w:checkStyle="1"/>
  <w:activeWritingStyle w:appName="MSWord" w:lang="fr-CA" w:vendorID="64" w:dllVersion="6"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fr-C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50"/>
    <w:rsid w:val="0000121E"/>
    <w:rsid w:val="00016AC5"/>
    <w:rsid w:val="00024736"/>
    <w:rsid w:val="00030ADE"/>
    <w:rsid w:val="000312C0"/>
    <w:rsid w:val="00054577"/>
    <w:rsid w:val="0007332E"/>
    <w:rsid w:val="00082578"/>
    <w:rsid w:val="000843FF"/>
    <w:rsid w:val="0008561F"/>
    <w:rsid w:val="000964C7"/>
    <w:rsid w:val="000B34CA"/>
    <w:rsid w:val="000E0F83"/>
    <w:rsid w:val="000F41F2"/>
    <w:rsid w:val="001055AA"/>
    <w:rsid w:val="0011449D"/>
    <w:rsid w:val="001157E5"/>
    <w:rsid w:val="00130074"/>
    <w:rsid w:val="00134A69"/>
    <w:rsid w:val="00135C0D"/>
    <w:rsid w:val="00136B96"/>
    <w:rsid w:val="00141C47"/>
    <w:rsid w:val="00146279"/>
    <w:rsid w:val="00147929"/>
    <w:rsid w:val="00153D80"/>
    <w:rsid w:val="00154636"/>
    <w:rsid w:val="0015786B"/>
    <w:rsid w:val="00160540"/>
    <w:rsid w:val="0017182C"/>
    <w:rsid w:val="00177007"/>
    <w:rsid w:val="00186EE9"/>
    <w:rsid w:val="00192EEB"/>
    <w:rsid w:val="001A1B1E"/>
    <w:rsid w:val="001A20FB"/>
    <w:rsid w:val="001A665B"/>
    <w:rsid w:val="001B283A"/>
    <w:rsid w:val="001B6F40"/>
    <w:rsid w:val="001C139F"/>
    <w:rsid w:val="001C1C9C"/>
    <w:rsid w:val="001C34D2"/>
    <w:rsid w:val="001C7ED3"/>
    <w:rsid w:val="001D25EA"/>
    <w:rsid w:val="001D7F8A"/>
    <w:rsid w:val="001E3FEB"/>
    <w:rsid w:val="001E4A02"/>
    <w:rsid w:val="0021199C"/>
    <w:rsid w:val="00212675"/>
    <w:rsid w:val="0021629C"/>
    <w:rsid w:val="00223B89"/>
    <w:rsid w:val="0022452E"/>
    <w:rsid w:val="00225A8C"/>
    <w:rsid w:val="00225FD8"/>
    <w:rsid w:val="00232C61"/>
    <w:rsid w:val="002659F1"/>
    <w:rsid w:val="00270C74"/>
    <w:rsid w:val="00271C7C"/>
    <w:rsid w:val="00273538"/>
    <w:rsid w:val="00273F3C"/>
    <w:rsid w:val="00282606"/>
    <w:rsid w:val="00284094"/>
    <w:rsid w:val="00287E79"/>
    <w:rsid w:val="002928F9"/>
    <w:rsid w:val="002A5D07"/>
    <w:rsid w:val="002D43AD"/>
    <w:rsid w:val="002F5CAB"/>
    <w:rsid w:val="003016B7"/>
    <w:rsid w:val="00304E93"/>
    <w:rsid w:val="00314E4D"/>
    <w:rsid w:val="003306BF"/>
    <w:rsid w:val="00330F9C"/>
    <w:rsid w:val="00337869"/>
    <w:rsid w:val="00340C35"/>
    <w:rsid w:val="00343240"/>
    <w:rsid w:val="003515AA"/>
    <w:rsid w:val="00356CB6"/>
    <w:rsid w:val="00366A41"/>
    <w:rsid w:val="00367E6A"/>
    <w:rsid w:val="00370E0F"/>
    <w:rsid w:val="00373317"/>
    <w:rsid w:val="00374106"/>
    <w:rsid w:val="003857A1"/>
    <w:rsid w:val="00393312"/>
    <w:rsid w:val="00393E5A"/>
    <w:rsid w:val="003976D5"/>
    <w:rsid w:val="003B46E0"/>
    <w:rsid w:val="003D13EA"/>
    <w:rsid w:val="003D1DF3"/>
    <w:rsid w:val="003D46A7"/>
    <w:rsid w:val="003D68F0"/>
    <w:rsid w:val="003D6C68"/>
    <w:rsid w:val="003D76E4"/>
    <w:rsid w:val="003E19A8"/>
    <w:rsid w:val="003F3A64"/>
    <w:rsid w:val="00407DDB"/>
    <w:rsid w:val="00414425"/>
    <w:rsid w:val="004159D0"/>
    <w:rsid w:val="004249E7"/>
    <w:rsid w:val="00424B78"/>
    <w:rsid w:val="00426DA1"/>
    <w:rsid w:val="00434168"/>
    <w:rsid w:val="00442080"/>
    <w:rsid w:val="00455653"/>
    <w:rsid w:val="004610AF"/>
    <w:rsid w:val="00476853"/>
    <w:rsid w:val="00491DEA"/>
    <w:rsid w:val="00497A70"/>
    <w:rsid w:val="004B16EF"/>
    <w:rsid w:val="004B17D3"/>
    <w:rsid w:val="004D078B"/>
    <w:rsid w:val="004D53B7"/>
    <w:rsid w:val="004E2A2B"/>
    <w:rsid w:val="004F1892"/>
    <w:rsid w:val="00516A87"/>
    <w:rsid w:val="00520C42"/>
    <w:rsid w:val="00523539"/>
    <w:rsid w:val="00541759"/>
    <w:rsid w:val="00543D5E"/>
    <w:rsid w:val="00552182"/>
    <w:rsid w:val="005620AE"/>
    <w:rsid w:val="00571F41"/>
    <w:rsid w:val="005764B9"/>
    <w:rsid w:val="0058170A"/>
    <w:rsid w:val="00584D23"/>
    <w:rsid w:val="00586429"/>
    <w:rsid w:val="00587B24"/>
    <w:rsid w:val="0059410B"/>
    <w:rsid w:val="00595BE4"/>
    <w:rsid w:val="005A29FC"/>
    <w:rsid w:val="005A7A0D"/>
    <w:rsid w:val="005B738F"/>
    <w:rsid w:val="005B76A3"/>
    <w:rsid w:val="005C4DF1"/>
    <w:rsid w:val="005E5D1F"/>
    <w:rsid w:val="00603391"/>
    <w:rsid w:val="006049FD"/>
    <w:rsid w:val="00606974"/>
    <w:rsid w:val="00611471"/>
    <w:rsid w:val="00611D43"/>
    <w:rsid w:val="00612D48"/>
    <w:rsid w:val="00616B45"/>
    <w:rsid w:val="00630D9B"/>
    <w:rsid w:val="00631953"/>
    <w:rsid w:val="006439EC"/>
    <w:rsid w:val="0064430B"/>
    <w:rsid w:val="00645C01"/>
    <w:rsid w:val="00652E9D"/>
    <w:rsid w:val="0066732B"/>
    <w:rsid w:val="00687E20"/>
    <w:rsid w:val="006A047B"/>
    <w:rsid w:val="006A4C46"/>
    <w:rsid w:val="006B4590"/>
    <w:rsid w:val="006C340C"/>
    <w:rsid w:val="006D3E0A"/>
    <w:rsid w:val="006D7C2B"/>
    <w:rsid w:val="006E3B57"/>
    <w:rsid w:val="006E5FC7"/>
    <w:rsid w:val="0070347C"/>
    <w:rsid w:val="0071416B"/>
    <w:rsid w:val="007176C1"/>
    <w:rsid w:val="00721D7D"/>
    <w:rsid w:val="00725B68"/>
    <w:rsid w:val="007326F3"/>
    <w:rsid w:val="00740BC2"/>
    <w:rsid w:val="00741FFF"/>
    <w:rsid w:val="0074396A"/>
    <w:rsid w:val="0076227D"/>
    <w:rsid w:val="0076446A"/>
    <w:rsid w:val="0076474D"/>
    <w:rsid w:val="00765650"/>
    <w:rsid w:val="007830B1"/>
    <w:rsid w:val="00783355"/>
    <w:rsid w:val="00783F37"/>
    <w:rsid w:val="00790F2F"/>
    <w:rsid w:val="00795461"/>
    <w:rsid w:val="007A30E4"/>
    <w:rsid w:val="007A48FD"/>
    <w:rsid w:val="007A6076"/>
    <w:rsid w:val="007C4E5F"/>
    <w:rsid w:val="007C512E"/>
    <w:rsid w:val="007D1F7E"/>
    <w:rsid w:val="007D2AB9"/>
    <w:rsid w:val="007F55CB"/>
    <w:rsid w:val="00803CB6"/>
    <w:rsid w:val="00812C1A"/>
    <w:rsid w:val="00822AEF"/>
    <w:rsid w:val="008317F6"/>
    <w:rsid w:val="00844750"/>
    <w:rsid w:val="00845F25"/>
    <w:rsid w:val="0084685D"/>
    <w:rsid w:val="008569B3"/>
    <w:rsid w:val="00881D68"/>
    <w:rsid w:val="00884911"/>
    <w:rsid w:val="008935F2"/>
    <w:rsid w:val="008A08E7"/>
    <w:rsid w:val="008B15A6"/>
    <w:rsid w:val="008B44C4"/>
    <w:rsid w:val="008B7879"/>
    <w:rsid w:val="008C2211"/>
    <w:rsid w:val="008C310B"/>
    <w:rsid w:val="008C4A2C"/>
    <w:rsid w:val="008C7AD9"/>
    <w:rsid w:val="008D3919"/>
    <w:rsid w:val="008E3FB8"/>
    <w:rsid w:val="008E7FAE"/>
    <w:rsid w:val="008F04A3"/>
    <w:rsid w:val="00910CC3"/>
    <w:rsid w:val="00911BF7"/>
    <w:rsid w:val="009124D6"/>
    <w:rsid w:val="00917269"/>
    <w:rsid w:val="00926E87"/>
    <w:rsid w:val="00952FDB"/>
    <w:rsid w:val="00977495"/>
    <w:rsid w:val="00977EC8"/>
    <w:rsid w:val="00983D84"/>
    <w:rsid w:val="009843EC"/>
    <w:rsid w:val="009A0461"/>
    <w:rsid w:val="009B18A3"/>
    <w:rsid w:val="009B69DA"/>
    <w:rsid w:val="009C16F9"/>
    <w:rsid w:val="009C2D51"/>
    <w:rsid w:val="009D3A8C"/>
    <w:rsid w:val="009D7804"/>
    <w:rsid w:val="009E01B8"/>
    <w:rsid w:val="009E7956"/>
    <w:rsid w:val="009F69FE"/>
    <w:rsid w:val="00A1547F"/>
    <w:rsid w:val="00A2492E"/>
    <w:rsid w:val="00A31F07"/>
    <w:rsid w:val="00A40F44"/>
    <w:rsid w:val="00A41235"/>
    <w:rsid w:val="00A546EF"/>
    <w:rsid w:val="00A613E4"/>
    <w:rsid w:val="00A632C7"/>
    <w:rsid w:val="00A70163"/>
    <w:rsid w:val="00A80554"/>
    <w:rsid w:val="00AA4831"/>
    <w:rsid w:val="00AA49FD"/>
    <w:rsid w:val="00AA72C3"/>
    <w:rsid w:val="00AB0E07"/>
    <w:rsid w:val="00AC67A1"/>
    <w:rsid w:val="00AC7977"/>
    <w:rsid w:val="00AE352C"/>
    <w:rsid w:val="00B03963"/>
    <w:rsid w:val="00B1494A"/>
    <w:rsid w:val="00B32E2D"/>
    <w:rsid w:val="00B333B7"/>
    <w:rsid w:val="00B359AE"/>
    <w:rsid w:val="00B4466B"/>
    <w:rsid w:val="00B61990"/>
    <w:rsid w:val="00B6602A"/>
    <w:rsid w:val="00B67CD5"/>
    <w:rsid w:val="00B7058F"/>
    <w:rsid w:val="00B76EAE"/>
    <w:rsid w:val="00B85D99"/>
    <w:rsid w:val="00B90B26"/>
    <w:rsid w:val="00B93E72"/>
    <w:rsid w:val="00B94939"/>
    <w:rsid w:val="00BB0394"/>
    <w:rsid w:val="00BB422E"/>
    <w:rsid w:val="00BB6B82"/>
    <w:rsid w:val="00BC4498"/>
    <w:rsid w:val="00BC7260"/>
    <w:rsid w:val="00BD0202"/>
    <w:rsid w:val="00BE036D"/>
    <w:rsid w:val="00BF0556"/>
    <w:rsid w:val="00BF056D"/>
    <w:rsid w:val="00BF06B0"/>
    <w:rsid w:val="00BF2DC1"/>
    <w:rsid w:val="00BF5FBD"/>
    <w:rsid w:val="00BF77AE"/>
    <w:rsid w:val="00C05E3D"/>
    <w:rsid w:val="00C102B5"/>
    <w:rsid w:val="00C20E32"/>
    <w:rsid w:val="00C24B53"/>
    <w:rsid w:val="00C261F8"/>
    <w:rsid w:val="00C33100"/>
    <w:rsid w:val="00C3452D"/>
    <w:rsid w:val="00C64452"/>
    <w:rsid w:val="00C74DB7"/>
    <w:rsid w:val="00C76112"/>
    <w:rsid w:val="00C805AC"/>
    <w:rsid w:val="00C81426"/>
    <w:rsid w:val="00C940E9"/>
    <w:rsid w:val="00CB44D7"/>
    <w:rsid w:val="00CB6267"/>
    <w:rsid w:val="00CD1A71"/>
    <w:rsid w:val="00CD1FBB"/>
    <w:rsid w:val="00CF7D08"/>
    <w:rsid w:val="00D016B5"/>
    <w:rsid w:val="00D034F1"/>
    <w:rsid w:val="00D11B17"/>
    <w:rsid w:val="00D27D5E"/>
    <w:rsid w:val="00D34402"/>
    <w:rsid w:val="00D60301"/>
    <w:rsid w:val="00D63526"/>
    <w:rsid w:val="00D65401"/>
    <w:rsid w:val="00D76B18"/>
    <w:rsid w:val="00D8638C"/>
    <w:rsid w:val="00D86B2A"/>
    <w:rsid w:val="00D97256"/>
    <w:rsid w:val="00D97B49"/>
    <w:rsid w:val="00DA2E8F"/>
    <w:rsid w:val="00DA57D4"/>
    <w:rsid w:val="00DA7D56"/>
    <w:rsid w:val="00DB4793"/>
    <w:rsid w:val="00DB77BC"/>
    <w:rsid w:val="00DC7380"/>
    <w:rsid w:val="00DD0FEC"/>
    <w:rsid w:val="00DD540B"/>
    <w:rsid w:val="00DD58C4"/>
    <w:rsid w:val="00DD5DF7"/>
    <w:rsid w:val="00DE01E3"/>
    <w:rsid w:val="00DE6D90"/>
    <w:rsid w:val="00DF002F"/>
    <w:rsid w:val="00DF527A"/>
    <w:rsid w:val="00E0244D"/>
    <w:rsid w:val="00E0792D"/>
    <w:rsid w:val="00E157A7"/>
    <w:rsid w:val="00E16D6E"/>
    <w:rsid w:val="00E432EC"/>
    <w:rsid w:val="00E460A1"/>
    <w:rsid w:val="00E5505D"/>
    <w:rsid w:val="00E55D71"/>
    <w:rsid w:val="00E623CA"/>
    <w:rsid w:val="00E73877"/>
    <w:rsid w:val="00E81E94"/>
    <w:rsid w:val="00E82607"/>
    <w:rsid w:val="00EA09D6"/>
    <w:rsid w:val="00EA31C2"/>
    <w:rsid w:val="00EB60D5"/>
    <w:rsid w:val="00EB6ED9"/>
    <w:rsid w:val="00EC28BB"/>
    <w:rsid w:val="00ED00DC"/>
    <w:rsid w:val="00EE2EA3"/>
    <w:rsid w:val="00F01516"/>
    <w:rsid w:val="00F025AD"/>
    <w:rsid w:val="00F06EBE"/>
    <w:rsid w:val="00F106F7"/>
    <w:rsid w:val="00F24C54"/>
    <w:rsid w:val="00F30EF5"/>
    <w:rsid w:val="00F42B4E"/>
    <w:rsid w:val="00F46508"/>
    <w:rsid w:val="00F5312B"/>
    <w:rsid w:val="00F57129"/>
    <w:rsid w:val="00F63415"/>
    <w:rsid w:val="00F879D5"/>
    <w:rsid w:val="00F92F7B"/>
    <w:rsid w:val="00FA5A79"/>
    <w:rsid w:val="00FA6422"/>
    <w:rsid w:val="00FA795E"/>
    <w:rsid w:val="00FB00CB"/>
    <w:rsid w:val="00FB0BFE"/>
    <w:rsid w:val="00FB4C51"/>
    <w:rsid w:val="00FC3A89"/>
    <w:rsid w:val="00FC537E"/>
    <w:rsid w:val="00FC6DEB"/>
    <w:rsid w:val="00FD6B1B"/>
    <w:rsid w:val="00FF1034"/>
    <w:rsid w:val="00FF1DBD"/>
    <w:rsid w:val="00FF3B4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oNotEmbedSmartTags/>
  <w:decimalSymbol w:val="."/>
  <w:listSeparator w:val=","/>
  <w14:docId w14:val="3A75B930"/>
  <w15:docId w15:val="{4AD6CB4C-47BF-4352-B1AB-4DD1C32A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link w:val="Heading2Char"/>
    <w:qFormat/>
    <w:rsid w:val="000964C7"/>
    <w:pPr>
      <w:outlineLvl w:val="1"/>
    </w:pPr>
  </w:style>
  <w:style w:type="paragraph" w:styleId="Heading3">
    <w:name w:val="heading 3"/>
    <w:basedOn w:val="Normal"/>
    <w:next w:val="Normal"/>
    <w:link w:val="Heading3Char"/>
    <w:qFormat/>
    <w:rsid w:val="000964C7"/>
    <w:pPr>
      <w:outlineLvl w:val="2"/>
    </w:pPr>
  </w:style>
  <w:style w:type="paragraph" w:styleId="Heading4">
    <w:name w:val="heading 4"/>
    <w:basedOn w:val="Normal"/>
    <w:next w:val="Normal"/>
    <w:link w:val="Heading4Char"/>
    <w:qFormat/>
    <w:rsid w:val="000964C7"/>
    <w:pPr>
      <w:outlineLvl w:val="3"/>
    </w:pPr>
  </w:style>
  <w:style w:type="paragraph" w:styleId="Heading5">
    <w:name w:val="heading 5"/>
    <w:basedOn w:val="Normal"/>
    <w:next w:val="Normal"/>
    <w:link w:val="Heading5Char"/>
    <w:qFormat/>
    <w:rsid w:val="000964C7"/>
    <w:pPr>
      <w:outlineLvl w:val="4"/>
    </w:pPr>
  </w:style>
  <w:style w:type="paragraph" w:styleId="Heading6">
    <w:name w:val="heading 6"/>
    <w:basedOn w:val="Normal"/>
    <w:next w:val="Normal"/>
    <w:link w:val="Heading6Char"/>
    <w:qFormat/>
    <w:rsid w:val="000964C7"/>
    <w:pPr>
      <w:outlineLvl w:val="5"/>
    </w:pPr>
  </w:style>
  <w:style w:type="paragraph" w:styleId="Heading7">
    <w:name w:val="heading 7"/>
    <w:basedOn w:val="Normal"/>
    <w:next w:val="Normal"/>
    <w:link w:val="Heading7Char"/>
    <w:qFormat/>
    <w:rsid w:val="000964C7"/>
    <w:pPr>
      <w:outlineLvl w:val="6"/>
    </w:pPr>
  </w:style>
  <w:style w:type="paragraph" w:styleId="Heading8">
    <w:name w:val="heading 8"/>
    <w:basedOn w:val="Normal"/>
    <w:next w:val="Normal"/>
    <w:link w:val="Heading8Char"/>
    <w:qFormat/>
    <w:rsid w:val="000964C7"/>
    <w:pPr>
      <w:outlineLvl w:val="7"/>
    </w:pPr>
  </w:style>
  <w:style w:type="paragraph" w:styleId="Heading9">
    <w:name w:val="heading 9"/>
    <w:basedOn w:val="Normal"/>
    <w:next w:val="Normal"/>
    <w:link w:val="Heading9Char"/>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qFormat/>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basedOn w:val="DefaultParagraphFont"/>
    <w:qFormat/>
    <w:rsid w:val="000964C7"/>
    <w:rPr>
      <w:rFonts w:ascii="Times New Roman" w:hAnsi="Times New Roman"/>
      <w:sz w:val="18"/>
      <w:vertAlign w:val="superscript"/>
      <w:lang w:val="fr-CH"/>
    </w:rPr>
  </w:style>
  <w:style w:type="character" w:styleId="EndnoteReference">
    <w:name w:val="endnote reference"/>
    <w:aliases w:val="1_G"/>
    <w:basedOn w:val="FootnoteReference"/>
    <w:rsid w:val="000964C7"/>
    <w:rPr>
      <w:rFonts w:ascii="Times New Roman" w:hAnsi="Times New Roman"/>
      <w:sz w:val="18"/>
      <w:vertAlign w:val="superscript"/>
      <w:lang w:val="fr-CH"/>
    </w:rPr>
  </w:style>
  <w:style w:type="paragraph" w:styleId="Header">
    <w:name w:val="header"/>
    <w:aliases w:val="6_G"/>
    <w:basedOn w:val="Normal"/>
    <w:next w:val="Normal"/>
    <w:link w:val="HeaderChar"/>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0964C7"/>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0964C7"/>
  </w:style>
  <w:style w:type="character" w:styleId="PageNumber">
    <w:name w:val="page number"/>
    <w:aliases w:val="7_G"/>
    <w:basedOn w:val="DefaultParagraphFont"/>
    <w:rsid w:val="000964C7"/>
    <w:rPr>
      <w:rFonts w:ascii="Times New Roman" w:hAnsi="Times New Roman"/>
      <w:b/>
      <w:sz w:val="18"/>
      <w:lang w:val="fr-CH"/>
    </w:rPr>
  </w:style>
  <w:style w:type="paragraph" w:styleId="Footer">
    <w:name w:val="footer"/>
    <w:aliases w:val="3_G"/>
    <w:basedOn w:val="Normal"/>
    <w:next w:val="Normal"/>
    <w:link w:val="FooterChar"/>
    <w:uiPriority w:val="99"/>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0964C7"/>
    <w:rPr>
      <w:color w:val="auto"/>
      <w:u w:val="none"/>
    </w:rPr>
  </w:style>
  <w:style w:type="character" w:styleId="FollowedHyperlink">
    <w:name w:val="FollowedHyperlink"/>
    <w:basedOn w:val="DefaultParagraphFont"/>
    <w:semiHidden/>
    <w:rsid w:val="000964C7"/>
    <w:rPr>
      <w:color w:val="auto"/>
      <w:u w:val="none"/>
    </w:rPr>
  </w:style>
  <w:style w:type="character" w:customStyle="1" w:styleId="SingleTxtGCar">
    <w:name w:val="_ Single Txt_G Car"/>
    <w:link w:val="SingleTxtG"/>
    <w:uiPriority w:val="99"/>
    <w:rsid w:val="00E16D6E"/>
    <w:rPr>
      <w:lang w:val="fr-CH" w:eastAsia="en-US"/>
    </w:rPr>
  </w:style>
  <w:style w:type="character" w:customStyle="1" w:styleId="H1GChar">
    <w:name w:val="_ H_1_G Char"/>
    <w:link w:val="H1G"/>
    <w:rsid w:val="00E16D6E"/>
    <w:rPr>
      <w:b/>
      <w:sz w:val="24"/>
      <w:lang w:val="fr-CH" w:eastAsia="en-US"/>
    </w:rPr>
  </w:style>
  <w:style w:type="character" w:customStyle="1" w:styleId="apple-converted-space">
    <w:name w:val="apple-converted-space"/>
    <w:rsid w:val="00E16D6E"/>
  </w:style>
  <w:style w:type="character" w:styleId="CommentReference">
    <w:name w:val="annotation reference"/>
    <w:basedOn w:val="DefaultParagraphFont"/>
    <w:unhideWhenUsed/>
    <w:rsid w:val="00407DDB"/>
    <w:rPr>
      <w:sz w:val="16"/>
      <w:szCs w:val="16"/>
    </w:rPr>
  </w:style>
  <w:style w:type="paragraph" w:styleId="CommentText">
    <w:name w:val="annotation text"/>
    <w:basedOn w:val="Normal"/>
    <w:link w:val="CommentTextChar"/>
    <w:unhideWhenUsed/>
    <w:rsid w:val="00407DDB"/>
    <w:pPr>
      <w:spacing w:line="240" w:lineRule="auto"/>
    </w:pPr>
  </w:style>
  <w:style w:type="character" w:customStyle="1" w:styleId="CommentTextChar">
    <w:name w:val="Comment Text Char"/>
    <w:basedOn w:val="DefaultParagraphFont"/>
    <w:link w:val="CommentText"/>
    <w:rsid w:val="00407DDB"/>
    <w:rPr>
      <w:lang w:val="fr-CH" w:eastAsia="en-US"/>
    </w:rPr>
  </w:style>
  <w:style w:type="paragraph" w:styleId="CommentSubject">
    <w:name w:val="annotation subject"/>
    <w:basedOn w:val="CommentText"/>
    <w:next w:val="CommentText"/>
    <w:link w:val="CommentSubjectChar"/>
    <w:semiHidden/>
    <w:unhideWhenUsed/>
    <w:rsid w:val="00407DDB"/>
    <w:rPr>
      <w:b/>
      <w:bCs/>
    </w:rPr>
  </w:style>
  <w:style w:type="character" w:customStyle="1" w:styleId="CommentSubjectChar">
    <w:name w:val="Comment Subject Char"/>
    <w:basedOn w:val="CommentTextChar"/>
    <w:link w:val="CommentSubject"/>
    <w:semiHidden/>
    <w:rsid w:val="00407DDB"/>
    <w:rPr>
      <w:b/>
      <w:bCs/>
      <w:lang w:val="fr-CH" w:eastAsia="en-US"/>
    </w:rPr>
  </w:style>
  <w:style w:type="paragraph" w:styleId="Revision">
    <w:name w:val="Revision"/>
    <w:hidden/>
    <w:uiPriority w:val="99"/>
    <w:semiHidden/>
    <w:rsid w:val="00407DDB"/>
    <w:rPr>
      <w:lang w:val="fr-CH" w:eastAsia="en-US"/>
    </w:rPr>
  </w:style>
  <w:style w:type="paragraph" w:styleId="BalloonText">
    <w:name w:val="Balloon Text"/>
    <w:basedOn w:val="Normal"/>
    <w:link w:val="BalloonTextChar"/>
    <w:uiPriority w:val="99"/>
    <w:semiHidden/>
    <w:unhideWhenUsed/>
    <w:rsid w:val="00407D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DDB"/>
    <w:rPr>
      <w:rFonts w:ascii="Segoe UI" w:hAnsi="Segoe UI" w:cs="Segoe UI"/>
      <w:sz w:val="18"/>
      <w:szCs w:val="18"/>
      <w:lang w:val="fr-CH" w:eastAsia="en-US"/>
    </w:rPr>
  </w:style>
  <w:style w:type="character" w:customStyle="1" w:styleId="H23GChar">
    <w:name w:val="_ H_2/3_G Char"/>
    <w:link w:val="H23G"/>
    <w:rsid w:val="00B67CD5"/>
    <w:rPr>
      <w:b/>
      <w:lang w:val="fr-CH" w:eastAsia="en-US"/>
    </w:rPr>
  </w:style>
  <w:style w:type="character" w:customStyle="1" w:styleId="HChGChar">
    <w:name w:val="_ H _Ch_G Char"/>
    <w:link w:val="HChG"/>
    <w:uiPriority w:val="99"/>
    <w:rsid w:val="00D34402"/>
    <w:rPr>
      <w:b/>
      <w:sz w:val="28"/>
      <w:lang w:val="fr-CH" w:eastAsia="en-US"/>
    </w:rPr>
  </w:style>
  <w:style w:type="paragraph" w:customStyle="1" w:styleId="H1">
    <w:name w:val="_ H_1"/>
    <w:basedOn w:val="Normal"/>
    <w:next w:val="SingleTxt"/>
    <w:qFormat/>
    <w:rsid w:val="0064430B"/>
    <w:pPr>
      <w:keepNext/>
      <w:keepLines/>
      <w:spacing w:line="270" w:lineRule="exact"/>
      <w:outlineLvl w:val="0"/>
    </w:pPr>
    <w:rPr>
      <w:rFonts w:eastAsiaTheme="minorHAnsi"/>
      <w:b/>
      <w:spacing w:val="4"/>
      <w:w w:val="103"/>
      <w:kern w:val="14"/>
      <w:sz w:val="24"/>
      <w:szCs w:val="22"/>
      <w:lang w:val="fr-CA"/>
    </w:rPr>
  </w:style>
  <w:style w:type="paragraph" w:customStyle="1" w:styleId="H23">
    <w:name w:val="_ H_2/3"/>
    <w:basedOn w:val="H1"/>
    <w:next w:val="SingleTxt"/>
    <w:qFormat/>
    <w:rsid w:val="0064430B"/>
    <w:pPr>
      <w:spacing w:line="240" w:lineRule="exact"/>
      <w:outlineLvl w:val="1"/>
    </w:pPr>
    <w:rPr>
      <w:spacing w:val="2"/>
      <w:sz w:val="20"/>
    </w:rPr>
  </w:style>
  <w:style w:type="paragraph" w:customStyle="1" w:styleId="H4">
    <w:name w:val="_ H_4"/>
    <w:basedOn w:val="Normal"/>
    <w:next w:val="SingleTxt"/>
    <w:qFormat/>
    <w:rsid w:val="0064430B"/>
    <w:pPr>
      <w:keepNext/>
      <w:keepLines/>
      <w:tabs>
        <w:tab w:val="right" w:pos="360"/>
      </w:tabs>
      <w:spacing w:line="240" w:lineRule="exact"/>
      <w:outlineLvl w:val="3"/>
    </w:pPr>
    <w:rPr>
      <w:rFonts w:eastAsiaTheme="minorHAnsi"/>
      <w:i/>
      <w:spacing w:val="3"/>
      <w:w w:val="103"/>
      <w:kern w:val="14"/>
      <w:szCs w:val="22"/>
      <w:lang w:val="fr-CA"/>
    </w:rPr>
  </w:style>
  <w:style w:type="paragraph" w:customStyle="1" w:styleId="SingleTxt">
    <w:name w:val="__Single Txt"/>
    <w:basedOn w:val="Normal"/>
    <w:qFormat/>
    <w:rsid w:val="0064430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
    <w:name w:val="Footnote Text Char"/>
    <w:aliases w:val="5_G Char"/>
    <w:link w:val="FootnoteText"/>
    <w:rsid w:val="0064430B"/>
    <w:rPr>
      <w:sz w:val="18"/>
      <w:lang w:val="fr-CH" w:eastAsia="en-US"/>
    </w:rPr>
  </w:style>
  <w:style w:type="character" w:customStyle="1" w:styleId="SingleTxtGChar">
    <w:name w:val="_ Single Txt_G Char"/>
    <w:qFormat/>
    <w:rsid w:val="00606974"/>
    <w:rPr>
      <w:lang w:val="fr-CH" w:eastAsia="en-US"/>
    </w:rPr>
  </w:style>
  <w:style w:type="character" w:customStyle="1" w:styleId="Heading1Char">
    <w:name w:val="Heading 1 Char"/>
    <w:aliases w:val="Table_G Char"/>
    <w:basedOn w:val="DefaultParagraphFont"/>
    <w:link w:val="Heading1"/>
    <w:rsid w:val="00E0792D"/>
    <w:rPr>
      <w:lang w:val="fr-CH" w:eastAsia="en-US"/>
    </w:rPr>
  </w:style>
  <w:style w:type="character" w:customStyle="1" w:styleId="Heading2Char">
    <w:name w:val="Heading 2 Char"/>
    <w:basedOn w:val="DefaultParagraphFont"/>
    <w:link w:val="Heading2"/>
    <w:rsid w:val="00E0792D"/>
    <w:rPr>
      <w:lang w:val="fr-CH" w:eastAsia="en-US"/>
    </w:rPr>
  </w:style>
  <w:style w:type="character" w:customStyle="1" w:styleId="Heading3Char">
    <w:name w:val="Heading 3 Char"/>
    <w:basedOn w:val="DefaultParagraphFont"/>
    <w:link w:val="Heading3"/>
    <w:rsid w:val="00E0792D"/>
    <w:rPr>
      <w:lang w:val="fr-CH" w:eastAsia="en-US"/>
    </w:rPr>
  </w:style>
  <w:style w:type="character" w:customStyle="1" w:styleId="Heading4Char">
    <w:name w:val="Heading 4 Char"/>
    <w:basedOn w:val="DefaultParagraphFont"/>
    <w:link w:val="Heading4"/>
    <w:rsid w:val="00E0792D"/>
    <w:rPr>
      <w:lang w:val="fr-CH" w:eastAsia="en-US"/>
    </w:rPr>
  </w:style>
  <w:style w:type="character" w:customStyle="1" w:styleId="Heading5Char">
    <w:name w:val="Heading 5 Char"/>
    <w:basedOn w:val="DefaultParagraphFont"/>
    <w:link w:val="Heading5"/>
    <w:rsid w:val="00E0792D"/>
    <w:rPr>
      <w:lang w:val="fr-CH" w:eastAsia="en-US"/>
    </w:rPr>
  </w:style>
  <w:style w:type="character" w:customStyle="1" w:styleId="Heading6Char">
    <w:name w:val="Heading 6 Char"/>
    <w:basedOn w:val="DefaultParagraphFont"/>
    <w:link w:val="Heading6"/>
    <w:rsid w:val="00E0792D"/>
    <w:rPr>
      <w:lang w:val="fr-CH" w:eastAsia="en-US"/>
    </w:rPr>
  </w:style>
  <w:style w:type="character" w:customStyle="1" w:styleId="Heading7Char">
    <w:name w:val="Heading 7 Char"/>
    <w:basedOn w:val="DefaultParagraphFont"/>
    <w:link w:val="Heading7"/>
    <w:rsid w:val="00E0792D"/>
    <w:rPr>
      <w:lang w:val="fr-CH" w:eastAsia="en-US"/>
    </w:rPr>
  </w:style>
  <w:style w:type="character" w:customStyle="1" w:styleId="Heading8Char">
    <w:name w:val="Heading 8 Char"/>
    <w:basedOn w:val="DefaultParagraphFont"/>
    <w:link w:val="Heading8"/>
    <w:rsid w:val="00E0792D"/>
    <w:rPr>
      <w:lang w:val="fr-CH" w:eastAsia="en-US"/>
    </w:rPr>
  </w:style>
  <w:style w:type="character" w:customStyle="1" w:styleId="Heading9Char">
    <w:name w:val="Heading 9 Char"/>
    <w:basedOn w:val="DefaultParagraphFont"/>
    <w:link w:val="Heading9"/>
    <w:rsid w:val="00E0792D"/>
    <w:rPr>
      <w:lang w:val="fr-CH" w:eastAsia="en-US"/>
    </w:rPr>
  </w:style>
  <w:style w:type="character" w:customStyle="1" w:styleId="EndnoteTextChar">
    <w:name w:val="Endnote Text Char"/>
    <w:aliases w:val="2_G Char"/>
    <w:basedOn w:val="DefaultParagraphFont"/>
    <w:link w:val="EndnoteText"/>
    <w:rsid w:val="00E0792D"/>
    <w:rPr>
      <w:sz w:val="18"/>
      <w:lang w:val="fr-CH" w:eastAsia="en-US"/>
    </w:rPr>
  </w:style>
  <w:style w:type="character" w:customStyle="1" w:styleId="FooterChar">
    <w:name w:val="Footer Char"/>
    <w:aliases w:val="3_G Char"/>
    <w:basedOn w:val="DefaultParagraphFont"/>
    <w:link w:val="Footer"/>
    <w:uiPriority w:val="99"/>
    <w:rsid w:val="00E0792D"/>
    <w:rPr>
      <w:sz w:val="16"/>
      <w:lang w:val="fr-CH" w:eastAsia="en-US"/>
    </w:rPr>
  </w:style>
  <w:style w:type="character" w:customStyle="1" w:styleId="HeaderChar">
    <w:name w:val="Header Char"/>
    <w:aliases w:val="6_G Char"/>
    <w:basedOn w:val="DefaultParagraphFont"/>
    <w:link w:val="Header"/>
    <w:rsid w:val="00E0792D"/>
    <w:rPr>
      <w:b/>
      <w:sz w:val="18"/>
      <w:lang w:val="fr-CH" w:eastAsia="en-US"/>
    </w:rPr>
  </w:style>
  <w:style w:type="paragraph" w:customStyle="1" w:styleId="Default">
    <w:name w:val="Default"/>
    <w:rsid w:val="00E0792D"/>
    <w:pPr>
      <w:autoSpaceDE w:val="0"/>
      <w:autoSpaceDN w:val="0"/>
      <w:adjustRightInd w:val="0"/>
    </w:pPr>
    <w:rPr>
      <w:rFonts w:ascii="Arial" w:eastAsia="MS Mincho" w:hAnsi="Arial" w:cs="Arial"/>
      <w:color w:val="000000"/>
      <w:sz w:val="24"/>
      <w:szCs w:val="24"/>
    </w:rPr>
  </w:style>
  <w:style w:type="paragraph" w:customStyle="1" w:styleId="ParNoG">
    <w:name w:val="_ParNo_G"/>
    <w:basedOn w:val="SingleTxtG"/>
    <w:link w:val="ParNoGCar"/>
    <w:qFormat/>
    <w:rsid w:val="00E0792D"/>
    <w:pPr>
      <w:numPr>
        <w:numId w:val="9"/>
      </w:numPr>
    </w:pPr>
  </w:style>
  <w:style w:type="character" w:customStyle="1" w:styleId="ParNoGCar">
    <w:name w:val="_ParNo_G Car"/>
    <w:link w:val="ParNoG"/>
    <w:locked/>
    <w:rsid w:val="00F5312B"/>
    <w:rPr>
      <w:lang w:val="fr-CH" w:eastAsia="en-US"/>
    </w:rPr>
  </w:style>
  <w:style w:type="paragraph" w:styleId="ListParagraph">
    <w:name w:val="List Paragraph"/>
    <w:basedOn w:val="Normal"/>
    <w:uiPriority w:val="34"/>
    <w:qFormat/>
    <w:rsid w:val="00741FFF"/>
    <w:pPr>
      <w:ind w:left="720"/>
      <w:contextualSpacing/>
    </w:pPr>
  </w:style>
  <w:style w:type="paragraph" w:styleId="ListNumber4">
    <w:name w:val="List Number 4"/>
    <w:basedOn w:val="Normal"/>
    <w:uiPriority w:val="99"/>
    <w:semiHidden/>
    <w:rsid w:val="008B15A6"/>
    <w:pPr>
      <w:numPr>
        <w:numId w:val="15"/>
      </w:numPr>
      <w:tabs>
        <w:tab w:val="clear" w:pos="360"/>
        <w:tab w:val="num" w:pos="1209"/>
      </w:tabs>
      <w:ind w:left="1209"/>
    </w:pPr>
    <w:rPr>
      <w:lang w:val="en-GB"/>
    </w:rPr>
  </w:style>
  <w:style w:type="paragraph" w:styleId="BodyText">
    <w:name w:val="Body Text"/>
    <w:basedOn w:val="Normal"/>
    <w:link w:val="BodyTextChar"/>
    <w:semiHidden/>
    <w:unhideWhenUsed/>
    <w:rsid w:val="008569B3"/>
    <w:pPr>
      <w:overflowPunct w:val="0"/>
      <w:spacing w:after="240"/>
      <w:jc w:val="both"/>
    </w:pPr>
  </w:style>
  <w:style w:type="character" w:customStyle="1" w:styleId="BodyTextChar">
    <w:name w:val="Body Text Char"/>
    <w:basedOn w:val="DefaultParagraphFont"/>
    <w:link w:val="BodyText"/>
    <w:semiHidden/>
    <w:rsid w:val="008569B3"/>
    <w:rPr>
      <w:lang w:val="fr-CH" w:eastAsia="en-US"/>
    </w:rPr>
  </w:style>
  <w:style w:type="character" w:customStyle="1" w:styleId="CCMCvariableitalic">
    <w:name w:val="CCMCvariable_italic"/>
    <w:rsid w:val="008569B3"/>
    <w:rPr>
      <w:rFonts w:ascii="Times New Roman" w:hAnsi="Times New Roman" w:cs="Times New Roman" w:hint="default"/>
      <w:i/>
      <w:iCs w:val="0"/>
    </w:rPr>
  </w:style>
  <w:style w:type="character" w:customStyle="1" w:styleId="st">
    <w:name w:val="st"/>
    <w:basedOn w:val="DefaultParagraphFont"/>
    <w:rsid w:val="00314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846602">
      <w:bodyDiv w:val="1"/>
      <w:marLeft w:val="0"/>
      <w:marRight w:val="0"/>
      <w:marTop w:val="0"/>
      <w:marBottom w:val="0"/>
      <w:divBdr>
        <w:top w:val="none" w:sz="0" w:space="0" w:color="auto"/>
        <w:left w:val="none" w:sz="0" w:space="0" w:color="auto"/>
        <w:bottom w:val="none" w:sz="0" w:space="0" w:color="auto"/>
        <w:right w:val="none" w:sz="0" w:space="0" w:color="auto"/>
      </w:divBdr>
    </w:div>
    <w:div w:id="336273925">
      <w:bodyDiv w:val="1"/>
      <w:marLeft w:val="0"/>
      <w:marRight w:val="0"/>
      <w:marTop w:val="0"/>
      <w:marBottom w:val="0"/>
      <w:divBdr>
        <w:top w:val="none" w:sz="0" w:space="0" w:color="auto"/>
        <w:left w:val="none" w:sz="0" w:space="0" w:color="auto"/>
        <w:bottom w:val="none" w:sz="0" w:space="0" w:color="auto"/>
        <w:right w:val="none" w:sz="0" w:space="0" w:color="auto"/>
      </w:divBdr>
    </w:div>
    <w:div w:id="379086943">
      <w:bodyDiv w:val="1"/>
      <w:marLeft w:val="0"/>
      <w:marRight w:val="0"/>
      <w:marTop w:val="0"/>
      <w:marBottom w:val="0"/>
      <w:divBdr>
        <w:top w:val="none" w:sz="0" w:space="0" w:color="auto"/>
        <w:left w:val="none" w:sz="0" w:space="0" w:color="auto"/>
        <w:bottom w:val="none" w:sz="0" w:space="0" w:color="auto"/>
        <w:right w:val="none" w:sz="0" w:space="0" w:color="auto"/>
      </w:divBdr>
    </w:div>
    <w:div w:id="521552416">
      <w:bodyDiv w:val="1"/>
      <w:marLeft w:val="0"/>
      <w:marRight w:val="0"/>
      <w:marTop w:val="0"/>
      <w:marBottom w:val="0"/>
      <w:divBdr>
        <w:top w:val="none" w:sz="0" w:space="0" w:color="auto"/>
        <w:left w:val="none" w:sz="0" w:space="0" w:color="auto"/>
        <w:bottom w:val="none" w:sz="0" w:space="0" w:color="auto"/>
        <w:right w:val="none" w:sz="0" w:space="0" w:color="auto"/>
      </w:divBdr>
    </w:div>
    <w:div w:id="1746799223">
      <w:bodyDiv w:val="1"/>
      <w:marLeft w:val="0"/>
      <w:marRight w:val="0"/>
      <w:marTop w:val="0"/>
      <w:marBottom w:val="0"/>
      <w:divBdr>
        <w:top w:val="none" w:sz="0" w:space="0" w:color="auto"/>
        <w:left w:val="none" w:sz="0" w:space="0" w:color="auto"/>
        <w:bottom w:val="none" w:sz="0" w:space="0" w:color="auto"/>
        <w:right w:val="none" w:sz="0" w:space="0" w:color="auto"/>
      </w:divBdr>
    </w:div>
    <w:div w:id="1951428191">
      <w:bodyDiv w:val="1"/>
      <w:marLeft w:val="0"/>
      <w:marRight w:val="0"/>
      <w:marTop w:val="0"/>
      <w:marBottom w:val="0"/>
      <w:divBdr>
        <w:top w:val="none" w:sz="0" w:space="0" w:color="auto"/>
        <w:left w:val="none" w:sz="0" w:space="0" w:color="auto"/>
        <w:bottom w:val="none" w:sz="0" w:space="0" w:color="auto"/>
        <w:right w:val="none" w:sz="0" w:space="0" w:color="auto"/>
      </w:divBdr>
    </w:div>
    <w:div w:id="201182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D3325-01B0-499A-BB79-55C03B80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TRANS_WP15_AC1_F.dotm</Template>
  <TotalTime>29</TotalTime>
  <Pages>18</Pages>
  <Words>5241</Words>
  <Characters>29879</Characters>
  <Application>Microsoft Office Word</Application>
  <DocSecurity>0</DocSecurity>
  <Lines>248</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35050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UNECE SM</dc:creator>
  <cp:lastModifiedBy>Christine Barrio-Champeau</cp:lastModifiedBy>
  <cp:revision>16</cp:revision>
  <cp:lastPrinted>2018-06-06T10:20:00Z</cp:lastPrinted>
  <dcterms:created xsi:type="dcterms:W3CDTF">2018-06-05T15:38:00Z</dcterms:created>
  <dcterms:modified xsi:type="dcterms:W3CDTF">2018-06-06T10:40:00Z</dcterms:modified>
</cp:coreProperties>
</file>