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509" w:rsidTr="001707B7">
        <w:trPr>
          <w:cantSplit/>
          <w:trHeight w:hRule="exact" w:val="851"/>
        </w:trPr>
        <w:tc>
          <w:tcPr>
            <w:tcW w:w="1276" w:type="dxa"/>
            <w:tcBorders>
              <w:bottom w:val="single" w:sz="4" w:space="0" w:color="auto"/>
            </w:tcBorders>
            <w:shd w:val="clear" w:color="auto" w:fill="auto"/>
            <w:vAlign w:val="bottom"/>
          </w:tcPr>
          <w:p w:rsidR="00B56E9C" w:rsidRPr="00786509" w:rsidRDefault="007B168D" w:rsidP="001707B7">
            <w:pPr>
              <w:spacing w:after="80"/>
            </w:pPr>
            <w:bookmarkStart w:id="0" w:name="_GoBack"/>
            <w:bookmarkEnd w:id="0"/>
            <w:r>
              <w:t xml:space="preserve"> </w:t>
            </w:r>
          </w:p>
        </w:tc>
        <w:tc>
          <w:tcPr>
            <w:tcW w:w="2268" w:type="dxa"/>
            <w:tcBorders>
              <w:bottom w:val="single" w:sz="4" w:space="0" w:color="auto"/>
            </w:tcBorders>
            <w:shd w:val="clear" w:color="auto" w:fill="auto"/>
            <w:vAlign w:val="bottom"/>
          </w:tcPr>
          <w:p w:rsidR="00B56E9C" w:rsidRPr="001707B7" w:rsidRDefault="00B56E9C" w:rsidP="001707B7">
            <w:pPr>
              <w:spacing w:after="80" w:line="300" w:lineRule="exact"/>
              <w:rPr>
                <w:b/>
                <w:sz w:val="24"/>
                <w:szCs w:val="24"/>
              </w:rPr>
            </w:pPr>
            <w:r w:rsidRPr="001707B7">
              <w:rPr>
                <w:sz w:val="28"/>
                <w:szCs w:val="28"/>
              </w:rPr>
              <w:t>United Nations</w:t>
            </w:r>
          </w:p>
        </w:tc>
        <w:tc>
          <w:tcPr>
            <w:tcW w:w="6095" w:type="dxa"/>
            <w:gridSpan w:val="2"/>
            <w:tcBorders>
              <w:bottom w:val="single" w:sz="4" w:space="0" w:color="auto"/>
            </w:tcBorders>
            <w:shd w:val="clear" w:color="auto" w:fill="auto"/>
            <w:vAlign w:val="bottom"/>
          </w:tcPr>
          <w:p w:rsidR="00B56E9C" w:rsidRPr="00786509" w:rsidRDefault="007A6E87" w:rsidP="003463BE">
            <w:pPr>
              <w:suppressAutoHyphens w:val="0"/>
              <w:spacing w:after="20"/>
              <w:jc w:val="right"/>
            </w:pPr>
            <w:r w:rsidRPr="001707B7">
              <w:rPr>
                <w:sz w:val="40"/>
              </w:rPr>
              <w:t>ECE</w:t>
            </w:r>
            <w:r w:rsidRPr="00786509">
              <w:t>/TRANS/WP.15/AC.1/</w:t>
            </w:r>
            <w:r w:rsidR="00B06BB7">
              <w:t>1</w:t>
            </w:r>
            <w:r w:rsidR="00E02062">
              <w:t>4</w:t>
            </w:r>
            <w:r w:rsidR="003463BE">
              <w:t>4</w:t>
            </w:r>
            <w:r w:rsidR="003F2964">
              <w:t>/Add.1</w:t>
            </w:r>
          </w:p>
        </w:tc>
      </w:tr>
      <w:tr w:rsidR="00B56E9C" w:rsidRPr="00786509" w:rsidTr="001707B7">
        <w:trPr>
          <w:cantSplit/>
          <w:trHeight w:hRule="exact" w:val="2835"/>
        </w:trPr>
        <w:tc>
          <w:tcPr>
            <w:tcW w:w="1276" w:type="dxa"/>
            <w:tcBorders>
              <w:top w:val="single" w:sz="4" w:space="0" w:color="auto"/>
              <w:bottom w:val="single" w:sz="12" w:space="0" w:color="auto"/>
            </w:tcBorders>
            <w:shd w:val="clear" w:color="auto" w:fill="auto"/>
          </w:tcPr>
          <w:p w:rsidR="00B56E9C" w:rsidRPr="00786509" w:rsidRDefault="00BF36A9" w:rsidP="001707B7">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707B7" w:rsidRDefault="00D773DF" w:rsidP="001707B7">
            <w:pPr>
              <w:spacing w:before="120" w:line="420" w:lineRule="exact"/>
              <w:rPr>
                <w:sz w:val="40"/>
                <w:szCs w:val="40"/>
              </w:rPr>
            </w:pPr>
            <w:r w:rsidRPr="001707B7">
              <w:rPr>
                <w:b/>
                <w:sz w:val="40"/>
                <w:szCs w:val="40"/>
              </w:rPr>
              <w:t>Economic and Social Council</w:t>
            </w:r>
          </w:p>
        </w:tc>
        <w:tc>
          <w:tcPr>
            <w:tcW w:w="2835" w:type="dxa"/>
            <w:tcBorders>
              <w:top w:val="single" w:sz="4" w:space="0" w:color="auto"/>
              <w:bottom w:val="single" w:sz="12" w:space="0" w:color="auto"/>
            </w:tcBorders>
            <w:shd w:val="clear" w:color="auto" w:fill="auto"/>
          </w:tcPr>
          <w:p w:rsidR="007A6E87" w:rsidRPr="00786509" w:rsidRDefault="007A6E87" w:rsidP="001707B7">
            <w:pPr>
              <w:suppressAutoHyphens w:val="0"/>
              <w:spacing w:before="240" w:line="240" w:lineRule="exact"/>
            </w:pPr>
            <w:r w:rsidRPr="00786509">
              <w:t>Distr.: General</w:t>
            </w:r>
          </w:p>
          <w:p w:rsidR="007A6E87" w:rsidRPr="00786509" w:rsidRDefault="001343B1" w:rsidP="001707B7">
            <w:pPr>
              <w:suppressAutoHyphens w:val="0"/>
            </w:pPr>
            <w:r>
              <w:t>23 November</w:t>
            </w:r>
            <w:r w:rsidR="00780F4A">
              <w:t xml:space="preserve"> 201</w:t>
            </w:r>
            <w:r w:rsidR="0062244A">
              <w:t>6</w:t>
            </w:r>
          </w:p>
          <w:p w:rsidR="003F2964" w:rsidRDefault="003F2964" w:rsidP="001707B7">
            <w:pPr>
              <w:suppressAutoHyphens w:val="0"/>
            </w:pPr>
          </w:p>
          <w:p w:rsidR="007A6E87" w:rsidRPr="00786509" w:rsidRDefault="009919FB" w:rsidP="001707B7">
            <w:pPr>
              <w:suppressAutoHyphens w:val="0"/>
            </w:pPr>
            <w:r>
              <w:t xml:space="preserve">Original: </w:t>
            </w:r>
            <w:r w:rsidR="007A6E87" w:rsidRPr="00786509">
              <w:t>English</w:t>
            </w:r>
          </w:p>
          <w:p w:rsidR="00B56E9C" w:rsidRPr="00786509" w:rsidRDefault="00B56E9C" w:rsidP="001707B7">
            <w:pPr>
              <w:suppressAutoHyphens w:val="0"/>
            </w:pPr>
          </w:p>
        </w:tc>
      </w:tr>
    </w:tbl>
    <w:p w:rsidR="00F67911" w:rsidRPr="00786509" w:rsidRDefault="00F67911">
      <w:pPr>
        <w:spacing w:before="120"/>
        <w:rPr>
          <w:b/>
          <w:sz w:val="28"/>
          <w:szCs w:val="28"/>
        </w:rPr>
      </w:pPr>
      <w:r w:rsidRPr="00786509">
        <w:rPr>
          <w:b/>
          <w:sz w:val="28"/>
          <w:szCs w:val="28"/>
        </w:rPr>
        <w:t xml:space="preserve">Economic Commission for </w:t>
      </w:r>
      <w:smartTag w:uri="urn:schemas-microsoft-com:office:smarttags" w:element="place">
        <w:r w:rsidRPr="00786509">
          <w:rPr>
            <w:b/>
            <w:sz w:val="28"/>
            <w:szCs w:val="28"/>
          </w:rPr>
          <w:t>Europe</w:t>
        </w:r>
      </w:smartTag>
    </w:p>
    <w:p w:rsidR="00F67911" w:rsidRPr="00786509" w:rsidRDefault="00F67911" w:rsidP="00E92F5D">
      <w:pPr>
        <w:spacing w:before="120"/>
        <w:outlineLvl w:val="0"/>
        <w:rPr>
          <w:sz w:val="28"/>
          <w:szCs w:val="28"/>
        </w:rPr>
      </w:pPr>
      <w:r w:rsidRPr="00786509">
        <w:rPr>
          <w:sz w:val="28"/>
          <w:szCs w:val="28"/>
        </w:rPr>
        <w:t>Inland Transport Committee</w:t>
      </w:r>
    </w:p>
    <w:p w:rsidR="00F67911" w:rsidRPr="00786509" w:rsidRDefault="00F67911" w:rsidP="00E92F5D">
      <w:pPr>
        <w:spacing w:before="120"/>
        <w:outlineLvl w:val="0"/>
        <w:rPr>
          <w:b/>
          <w:sz w:val="24"/>
          <w:szCs w:val="24"/>
        </w:rPr>
      </w:pPr>
      <w:r w:rsidRPr="00786509">
        <w:rPr>
          <w:b/>
          <w:sz w:val="24"/>
          <w:szCs w:val="24"/>
        </w:rPr>
        <w:t>Working Party on the Transport of Dangerous Goods</w:t>
      </w:r>
    </w:p>
    <w:p w:rsidR="007A6E87" w:rsidRPr="00786509" w:rsidRDefault="007D629E" w:rsidP="00F67911">
      <w:pPr>
        <w:spacing w:before="120"/>
        <w:rPr>
          <w:b/>
        </w:rPr>
      </w:pPr>
      <w:r w:rsidRPr="00786509">
        <w:rPr>
          <w:b/>
        </w:rPr>
        <w:t>Joint M</w:t>
      </w:r>
      <w:r w:rsidR="00F67911" w:rsidRPr="00786509">
        <w:rPr>
          <w:b/>
        </w:rPr>
        <w:t>eeting of the RID Committee of Experts and the</w:t>
      </w:r>
      <w:r w:rsidR="00F67911" w:rsidRPr="00786509">
        <w:rPr>
          <w:b/>
        </w:rPr>
        <w:br/>
        <w:t>Working Party on the Transport of Dangerous Goods</w:t>
      </w:r>
    </w:p>
    <w:p w:rsidR="00F67911" w:rsidRPr="00786509" w:rsidRDefault="00F67911" w:rsidP="009C737B">
      <w:pPr>
        <w:pStyle w:val="HChG"/>
      </w:pPr>
      <w:r w:rsidRPr="00786509">
        <w:tab/>
      </w:r>
      <w:r w:rsidRPr="00786509">
        <w:tab/>
        <w:t xml:space="preserve">Report of the Joint Meeting of the RID Committee of Experts and the Working Party on the Transport of Dangerous Goods on its </w:t>
      </w:r>
      <w:r w:rsidR="00E55C68">
        <w:t>autumn</w:t>
      </w:r>
      <w:r w:rsidR="003812A1">
        <w:t xml:space="preserve"> 201</w:t>
      </w:r>
      <w:r w:rsidR="00E02062">
        <w:t>6</w:t>
      </w:r>
      <w:r w:rsidR="00A638D7" w:rsidRPr="00786509">
        <w:t xml:space="preserve"> session</w:t>
      </w:r>
      <w:r w:rsidR="00E55C68" w:rsidRPr="00102C44">
        <w:rPr>
          <w:rStyle w:val="FootnoteReference"/>
          <w:sz w:val="20"/>
        </w:rPr>
        <w:footnoteReference w:id="2"/>
      </w:r>
    </w:p>
    <w:p w:rsidR="00F67911" w:rsidRDefault="00671767" w:rsidP="00671767">
      <w:pPr>
        <w:pStyle w:val="H56G"/>
      </w:pPr>
      <w:r w:rsidRPr="00786509">
        <w:tab/>
      </w:r>
      <w:r w:rsidRPr="00786509">
        <w:tab/>
      </w:r>
      <w:r w:rsidR="007D629E" w:rsidRPr="00786509">
        <w:t>h</w:t>
      </w:r>
      <w:r w:rsidR="00800004" w:rsidRPr="00786509">
        <w:t xml:space="preserve">eld </w:t>
      </w:r>
      <w:r w:rsidR="00F67911" w:rsidRPr="00786509">
        <w:t xml:space="preserve">in </w:t>
      </w:r>
      <w:r w:rsidR="00E55C68">
        <w:t>Geneva from 19-23 September 2016</w:t>
      </w:r>
    </w:p>
    <w:p w:rsidR="00EA789D" w:rsidRPr="006D5FCA" w:rsidRDefault="00EA789D" w:rsidP="00EA789D">
      <w:pPr>
        <w:pStyle w:val="H23G"/>
      </w:pPr>
      <w:r>
        <w:tab/>
      </w:r>
      <w:r>
        <w:tab/>
        <w:t>Addendum</w:t>
      </w:r>
      <w:r w:rsidR="00E55C68">
        <w:t>**</w:t>
      </w:r>
    </w:p>
    <w:p w:rsidR="006D5FCA" w:rsidRDefault="006D5FCA" w:rsidP="006D5FCA">
      <w:pPr>
        <w:pStyle w:val="H1G"/>
      </w:pPr>
      <w:r>
        <w:tab/>
      </w:r>
      <w:r>
        <w:tab/>
        <w:t>Annex I</w:t>
      </w:r>
    </w:p>
    <w:p w:rsidR="006D5FCA" w:rsidRDefault="009919FB" w:rsidP="009919FB">
      <w:pPr>
        <w:pStyle w:val="H1G"/>
      </w:pPr>
      <w:r>
        <w:tab/>
      </w:r>
      <w:r>
        <w:tab/>
      </w:r>
      <w:r w:rsidR="006D5FCA" w:rsidRPr="006D5FCA">
        <w:t>Report of the Working Group on Tanks</w:t>
      </w:r>
    </w:p>
    <w:p w:rsidR="00E55C68" w:rsidRPr="00ED05D6" w:rsidRDefault="00E55C68" w:rsidP="00E55C68">
      <w:pPr>
        <w:pStyle w:val="H56G"/>
        <w:jc w:val="both"/>
      </w:pPr>
      <w:r w:rsidRPr="00ED05D6">
        <w:tab/>
      </w:r>
      <w:r w:rsidRPr="00ED05D6">
        <w:tab/>
        <w:t>1.</w:t>
      </w:r>
      <w:r w:rsidRPr="00ED05D6">
        <w:tab/>
        <w:t xml:space="preserve">The Working Group on Tanks met from 19 to 21 September 2016 in Geneva on the basis of the mandate from the RID/ADR/ADN Joint Meeting, under the chairmanship of Mr. Arne Bale (United Kingdom) </w:t>
      </w:r>
      <w:r w:rsidR="001B496E">
        <w:t xml:space="preserve">and with </w:t>
      </w:r>
      <w:r w:rsidRPr="00ED05D6">
        <w:t>Mr. Kees de Putter (Netherlands) as secretary. The relevant documents were submitted to the plenary session and transferred to the Working Group for consideration.</w:t>
      </w:r>
    </w:p>
    <w:p w:rsidR="00E55C68" w:rsidRPr="00ED05D6" w:rsidRDefault="00E55C68" w:rsidP="00E55C68">
      <w:pPr>
        <w:pStyle w:val="SingleTxtG"/>
      </w:pPr>
      <w:r w:rsidRPr="00ED05D6">
        <w:t>2.</w:t>
      </w:r>
      <w:r w:rsidRPr="00ED05D6">
        <w:tab/>
        <w:t xml:space="preserve">The Working Group on Tanks, consisting of </w:t>
      </w:r>
      <w:r w:rsidR="00C36AFB">
        <w:t>twenty-five</w:t>
      </w:r>
      <w:r w:rsidRPr="00ED05D6">
        <w:t xml:space="preserve"> </w:t>
      </w:r>
      <w:r w:rsidR="00C36AFB">
        <w:t>representatives and experts of</w:t>
      </w:r>
      <w:r w:rsidRPr="00ED05D6">
        <w:t xml:space="preserve"> </w:t>
      </w:r>
      <w:r w:rsidR="00C36AFB">
        <w:t>thirteen</w:t>
      </w:r>
      <w:r w:rsidRPr="00ED05D6">
        <w:t xml:space="preserve"> countries and </w:t>
      </w:r>
      <w:r w:rsidR="00C36AFB">
        <w:t>seven</w:t>
      </w:r>
      <w:r w:rsidRPr="00ED05D6">
        <w:t xml:space="preserve"> non-governmental organizations, dealt with the following official and informal documents:</w:t>
      </w:r>
    </w:p>
    <w:p w:rsidR="00E55C68" w:rsidRPr="00ED05D6" w:rsidRDefault="00E55C68" w:rsidP="00E55C68">
      <w:pPr>
        <w:pStyle w:val="SingleTxtG"/>
        <w:tabs>
          <w:tab w:val="left" w:pos="2300"/>
        </w:tabs>
        <w:spacing w:after="0"/>
        <w:ind w:left="2829" w:hanging="1695"/>
        <w:jc w:val="left"/>
      </w:pPr>
      <w:r w:rsidRPr="00ED05D6">
        <w:rPr>
          <w:i/>
        </w:rPr>
        <w:lastRenderedPageBreak/>
        <w:t>Documents</w:t>
      </w:r>
      <w:r w:rsidRPr="00ED05D6">
        <w:t>:</w:t>
      </w:r>
      <w:r w:rsidRPr="00ED05D6">
        <w:tab/>
      </w:r>
      <w:r w:rsidRPr="00ED05D6">
        <w:tab/>
        <w:t>ECE/TRANS/WP.15/AC.1/2016/20 (CEN)  ECE/TRANS/WP.15/AC.1/2016/21 (EIGA)</w:t>
      </w:r>
    </w:p>
    <w:p w:rsidR="00E55C68" w:rsidRPr="00ED05D6" w:rsidRDefault="00E55C68" w:rsidP="00E55C68">
      <w:pPr>
        <w:pStyle w:val="SingleTxtG"/>
        <w:spacing w:after="0"/>
        <w:ind w:left="2829" w:hanging="1695"/>
        <w:jc w:val="left"/>
      </w:pPr>
      <w:r w:rsidRPr="00ED05D6">
        <w:tab/>
        <w:t>ECE/TRANS/WP.15/AC.1/2016/23 (Russian Federation)</w:t>
      </w:r>
    </w:p>
    <w:p w:rsidR="00E55C68" w:rsidRPr="00ED05D6" w:rsidRDefault="00E55C68" w:rsidP="00E55C68">
      <w:pPr>
        <w:pStyle w:val="SingleTxtG"/>
        <w:tabs>
          <w:tab w:val="left" w:pos="2300"/>
        </w:tabs>
        <w:spacing w:after="0"/>
        <w:ind w:left="2829" w:hanging="1695"/>
        <w:jc w:val="left"/>
      </w:pPr>
      <w:r w:rsidRPr="00ED05D6">
        <w:tab/>
      </w:r>
      <w:r w:rsidRPr="00ED05D6">
        <w:tab/>
        <w:t>ECE/TRANS/WP.15/AC.1/2016/25 (Netherlands)</w:t>
      </w:r>
    </w:p>
    <w:p w:rsidR="00E55C68" w:rsidRPr="00ED05D6" w:rsidRDefault="00E55C68" w:rsidP="00E55C68">
      <w:pPr>
        <w:pStyle w:val="SingleTxtG"/>
        <w:tabs>
          <w:tab w:val="left" w:pos="2300"/>
        </w:tabs>
        <w:spacing w:after="0"/>
        <w:ind w:left="2829" w:hanging="1695"/>
        <w:jc w:val="left"/>
      </w:pPr>
      <w:r w:rsidRPr="00ED05D6">
        <w:tab/>
      </w:r>
      <w:r w:rsidRPr="00ED05D6">
        <w:tab/>
        <w:t>ECE/TRANS/WP.15/AC.1/2016/26 (Netherlands)</w:t>
      </w:r>
      <w:r w:rsidRPr="00ED05D6">
        <w:br/>
        <w:t>ECE/TRANS/WP.15/AC.1/2016/31 (Netherlands)</w:t>
      </w:r>
      <w:r w:rsidRPr="00ED05D6">
        <w:br/>
        <w:t>ECE/TRANS/WP.15/AC.1/2016/36 (CEN)</w:t>
      </w:r>
      <w:r w:rsidRPr="00ED05D6">
        <w:br/>
        <w:t>ECE/TRANS/WP.15/AC.1/2016/37 (France)</w:t>
      </w:r>
    </w:p>
    <w:p w:rsidR="00E55C68" w:rsidRPr="00ED05D6" w:rsidRDefault="00E55C68" w:rsidP="00BF46C2">
      <w:pPr>
        <w:pStyle w:val="SingleTxtG"/>
        <w:tabs>
          <w:tab w:val="left" w:pos="3100"/>
        </w:tabs>
        <w:spacing w:before="120" w:after="0"/>
      </w:pPr>
      <w:r w:rsidRPr="00ED05D6">
        <w:rPr>
          <w:i/>
        </w:rPr>
        <w:t>Informal documents</w:t>
      </w:r>
      <w:r w:rsidRPr="00ED05D6">
        <w:t>: INF.6 (Russian Federation)</w:t>
      </w:r>
    </w:p>
    <w:p w:rsidR="00E55C68" w:rsidRPr="00ED05D6" w:rsidRDefault="00BF46C2" w:rsidP="00E55C68">
      <w:pPr>
        <w:pStyle w:val="SingleTxtG"/>
        <w:spacing w:after="0"/>
        <w:ind w:left="2835"/>
      </w:pPr>
      <w:r>
        <w:t>INF.</w:t>
      </w:r>
      <w:r w:rsidR="00E55C68" w:rsidRPr="00ED05D6">
        <w:t>8 (AEGPL)</w:t>
      </w:r>
    </w:p>
    <w:p w:rsidR="00E55C68" w:rsidRDefault="00BF46C2" w:rsidP="00E55C68">
      <w:pPr>
        <w:pStyle w:val="SingleTxtG"/>
        <w:spacing w:after="0"/>
        <w:ind w:left="2835"/>
      </w:pPr>
      <w:r>
        <w:t>INF.</w:t>
      </w:r>
      <w:r w:rsidR="00E55C68" w:rsidRPr="00ED05D6">
        <w:t xml:space="preserve">9 (AEGPL) </w:t>
      </w:r>
    </w:p>
    <w:p w:rsidR="00BF46C2" w:rsidRPr="00ED05D6" w:rsidRDefault="00BF46C2" w:rsidP="00E55C68">
      <w:pPr>
        <w:pStyle w:val="SingleTxtG"/>
        <w:spacing w:after="0"/>
        <w:ind w:left="2835"/>
      </w:pPr>
      <w:r>
        <w:t>INF.12 (United Kingdom)</w:t>
      </w:r>
    </w:p>
    <w:p w:rsidR="00E55C68" w:rsidRPr="00ED05D6" w:rsidRDefault="00BF46C2" w:rsidP="00E55C68">
      <w:pPr>
        <w:pStyle w:val="SingleTxtG"/>
        <w:spacing w:after="0"/>
        <w:ind w:left="2835" w:hanging="1701"/>
      </w:pPr>
      <w:r>
        <w:tab/>
        <w:t>INF.</w:t>
      </w:r>
      <w:r w:rsidR="00E55C68" w:rsidRPr="00ED05D6">
        <w:t>16 (United Kingdom)</w:t>
      </w:r>
    </w:p>
    <w:p w:rsidR="00E55C68" w:rsidRPr="00ED05D6" w:rsidRDefault="00BF46C2" w:rsidP="00E55C68">
      <w:pPr>
        <w:pStyle w:val="SingleTxtG"/>
        <w:spacing w:after="0"/>
      </w:pPr>
      <w:r>
        <w:tab/>
      </w:r>
      <w:r>
        <w:tab/>
      </w:r>
      <w:r>
        <w:tab/>
        <w:t>INF.</w:t>
      </w:r>
      <w:r w:rsidR="00E55C68" w:rsidRPr="00ED05D6">
        <w:t>19 (United Kingdom)</w:t>
      </w:r>
    </w:p>
    <w:p w:rsidR="00E55C68" w:rsidRPr="00ED05D6" w:rsidRDefault="00BF46C2" w:rsidP="00E55C68">
      <w:pPr>
        <w:pStyle w:val="SingleTxtG"/>
        <w:spacing w:after="0"/>
        <w:ind w:left="2268" w:firstLine="567"/>
      </w:pPr>
      <w:r>
        <w:t>INF.</w:t>
      </w:r>
      <w:r w:rsidR="00E55C68" w:rsidRPr="00ED05D6">
        <w:t>21 (Germany)</w:t>
      </w:r>
    </w:p>
    <w:p w:rsidR="00E55C68" w:rsidRPr="00ED05D6" w:rsidRDefault="00BF46C2" w:rsidP="00E55C68">
      <w:pPr>
        <w:pStyle w:val="SingleTxtG"/>
        <w:spacing w:after="0"/>
        <w:ind w:left="2268" w:firstLine="567"/>
      </w:pPr>
      <w:r>
        <w:t>INF.</w:t>
      </w:r>
      <w:r w:rsidR="00E55C68" w:rsidRPr="00ED05D6">
        <w:t>23 (Germany)</w:t>
      </w:r>
    </w:p>
    <w:p w:rsidR="00E55C68" w:rsidRPr="00ED05D6" w:rsidRDefault="00BF46C2" w:rsidP="00E55C68">
      <w:pPr>
        <w:pStyle w:val="SingleTxtG"/>
        <w:spacing w:after="0"/>
      </w:pPr>
      <w:r>
        <w:tab/>
      </w:r>
      <w:r>
        <w:tab/>
      </w:r>
      <w:r>
        <w:tab/>
        <w:t>INF.</w:t>
      </w:r>
      <w:r w:rsidR="00E55C68" w:rsidRPr="00ED05D6">
        <w:t>28 (Portugal)</w:t>
      </w:r>
    </w:p>
    <w:p w:rsidR="00E55C68" w:rsidRPr="00ED05D6" w:rsidRDefault="00BF46C2" w:rsidP="00E55C68">
      <w:pPr>
        <w:pStyle w:val="SingleTxtG"/>
        <w:spacing w:after="0"/>
      </w:pPr>
      <w:r>
        <w:tab/>
      </w:r>
      <w:r>
        <w:tab/>
      </w:r>
      <w:r>
        <w:tab/>
        <w:t>INF.</w:t>
      </w:r>
      <w:r w:rsidR="00E55C68" w:rsidRPr="00ED05D6">
        <w:t>31 (</w:t>
      </w:r>
      <w:r>
        <w:t>United States of America</w:t>
      </w:r>
      <w:r w:rsidR="00E55C68" w:rsidRPr="00ED05D6">
        <w:t xml:space="preserve">) </w:t>
      </w:r>
    </w:p>
    <w:p w:rsidR="00E55C68" w:rsidRPr="00ED05D6" w:rsidRDefault="00E55C68" w:rsidP="00E55C68">
      <w:pPr>
        <w:pStyle w:val="SingleTxtG"/>
        <w:spacing w:before="120"/>
        <w:rPr>
          <w:b/>
        </w:rPr>
      </w:pPr>
      <w:r w:rsidRPr="00ED05D6">
        <w:rPr>
          <w:b/>
        </w:rPr>
        <w:t xml:space="preserve">Item 1: ECE/TRANS/WP.15/AC.1/2016/20 (CEN) – Request for advice </w:t>
      </w:r>
      <w:r w:rsidR="00110B11">
        <w:rPr>
          <w:b/>
        </w:rPr>
        <w:t>from the Working Group on Tanks</w:t>
      </w:r>
    </w:p>
    <w:p w:rsidR="00E55C68" w:rsidRPr="00ED05D6" w:rsidRDefault="00E55C68" w:rsidP="00E55C68">
      <w:pPr>
        <w:pStyle w:val="SingleTxtG"/>
      </w:pPr>
      <w:r w:rsidRPr="00ED05D6">
        <w:t>3.</w:t>
      </w:r>
      <w:r w:rsidRPr="00ED05D6">
        <w:tab/>
        <w:t xml:space="preserve">The request for advice by CEN concerned standard EN 16522 for flame arrestors. No remarks were made on the technical contents of the standard by the </w:t>
      </w:r>
      <w:r w:rsidR="00BF46C2">
        <w:t>Working Group</w:t>
      </w:r>
      <w:r w:rsidRPr="00ED05D6">
        <w:t xml:space="preserve"> other than an observation that the names used for the tests of flame arrest</w:t>
      </w:r>
      <w:r w:rsidR="00BF46C2">
        <w:t>e</w:t>
      </w:r>
      <w:r w:rsidRPr="00ED05D6">
        <w:t>rs, i.e. “end of line flame arrest</w:t>
      </w:r>
      <w:r w:rsidR="00BF46C2">
        <w:t>e</w:t>
      </w:r>
      <w:r w:rsidRPr="00ED05D6">
        <w:t xml:space="preserve">r”, may lead to questions in practice. </w:t>
      </w:r>
    </w:p>
    <w:p w:rsidR="00E55C68" w:rsidRPr="00ED05D6" w:rsidRDefault="00E55C68" w:rsidP="00E55C68">
      <w:pPr>
        <w:pStyle w:val="SingleTxtG"/>
      </w:pPr>
      <w:r w:rsidRPr="00ED05D6">
        <w:t>4.</w:t>
      </w:r>
      <w:r w:rsidRPr="00ED05D6">
        <w:tab/>
        <w:t xml:space="preserve">On the question </w:t>
      </w:r>
      <w:r>
        <w:t>whether</w:t>
      </w:r>
      <w:r w:rsidRPr="00ED05D6">
        <w:t xml:space="preserve"> to make reference to the standard in 6.8.2.6.1 or include the information directly in 6.8.2.2.3</w:t>
      </w:r>
      <w:r w:rsidR="00BF46C2">
        <w:t>,</w:t>
      </w:r>
      <w:r w:rsidRPr="00ED05D6">
        <w:t xml:space="preserve"> it was the opinion of the majority of the experts that inclusion of </w:t>
      </w:r>
      <w:r>
        <w:t>some</w:t>
      </w:r>
      <w:r w:rsidRPr="00ED05D6">
        <w:t xml:space="preserve"> </w:t>
      </w:r>
      <w:r>
        <w:t>requirements</w:t>
      </w:r>
      <w:r w:rsidRPr="00ED05D6">
        <w:t xml:space="preserve"> in 6.8.2.2.3 would be preferred. It was also decided to limit the scope of the test for flame arrest</w:t>
      </w:r>
      <w:r w:rsidR="00BF46C2">
        <w:t>e</w:t>
      </w:r>
      <w:r w:rsidRPr="00ED05D6">
        <w:t>rs to those for breather devices and not to vacuum valves.</w:t>
      </w:r>
    </w:p>
    <w:p w:rsidR="00E55C68" w:rsidRPr="00ED05D6" w:rsidRDefault="00E55C68" w:rsidP="00E55C68">
      <w:pPr>
        <w:pStyle w:val="SingleTxtG"/>
      </w:pPr>
      <w:r w:rsidRPr="00ED05D6">
        <w:t>5.</w:t>
      </w:r>
      <w:r w:rsidRPr="00ED05D6">
        <w:tab/>
        <w:t xml:space="preserve">The </w:t>
      </w:r>
      <w:r w:rsidR="00BF46C2">
        <w:t>representative</w:t>
      </w:r>
      <w:r w:rsidRPr="00ED05D6">
        <w:t xml:space="preserve"> of the Netherlands was asked to develop wording in collaboration with the </w:t>
      </w:r>
      <w:r w:rsidR="00BF46C2">
        <w:t xml:space="preserve">representative of </w:t>
      </w:r>
      <w:r w:rsidRPr="00ED05D6">
        <w:t>France for the next session.</w:t>
      </w:r>
    </w:p>
    <w:p w:rsidR="00E55C68" w:rsidRPr="00ED05D6" w:rsidRDefault="00E55C68" w:rsidP="00E55C68">
      <w:pPr>
        <w:pStyle w:val="SingleTxtG"/>
        <w:rPr>
          <w:b/>
        </w:rPr>
      </w:pPr>
      <w:r w:rsidRPr="00ED05D6">
        <w:rPr>
          <w:b/>
        </w:rPr>
        <w:t>Item 2: ECE/TRANS/WP.15/AC.1/2016</w:t>
      </w:r>
      <w:r w:rsidR="001B496E">
        <w:rPr>
          <w:b/>
        </w:rPr>
        <w:t>/</w:t>
      </w:r>
      <w:r w:rsidRPr="00ED05D6">
        <w:rPr>
          <w:b/>
        </w:rPr>
        <w:t>21 (EIG</w:t>
      </w:r>
      <w:r w:rsidR="00BF46C2">
        <w:rPr>
          <w:b/>
        </w:rPr>
        <w:t>A) – Service equipment on tanks</w:t>
      </w:r>
    </w:p>
    <w:p w:rsidR="00E55C68" w:rsidRPr="00ED05D6" w:rsidRDefault="00E55C68" w:rsidP="00E55C68">
      <w:pPr>
        <w:pStyle w:val="SingleTxtG"/>
      </w:pPr>
      <w:r w:rsidRPr="00ED05D6">
        <w:t>6.</w:t>
      </w:r>
      <w:r w:rsidRPr="00ED05D6">
        <w:tab/>
        <w:t xml:space="preserve">The chairman of the informal working group on “Provisions on equipment of tanks and pressure receptacles” presented the document with a number of questions on the approval of service equipment of tanks.  </w:t>
      </w:r>
    </w:p>
    <w:p w:rsidR="00E55C68" w:rsidRPr="00ED05D6" w:rsidRDefault="00E55C68" w:rsidP="00E55C68">
      <w:pPr>
        <w:pStyle w:val="SingleTxtG"/>
      </w:pPr>
      <w:r w:rsidRPr="00ED05D6">
        <w:t>7.</w:t>
      </w:r>
      <w:r w:rsidRPr="00ED05D6">
        <w:tab/>
        <w:t xml:space="preserve"> Several experts </w:t>
      </w:r>
      <w:r>
        <w:t>mentioned</w:t>
      </w:r>
      <w:r w:rsidRPr="00ED05D6">
        <w:t xml:space="preserve"> that in the informal working group on “the inspection and certification of tanks” the approval of service equipment was under consideration that may resolve these questions. It was suggested to await the outcome of the developments which were due for the next session in March 2017.</w:t>
      </w:r>
    </w:p>
    <w:p w:rsidR="00E55C68" w:rsidRPr="00ED05D6" w:rsidRDefault="00E55C68" w:rsidP="00E55C68">
      <w:pPr>
        <w:pStyle w:val="H1G"/>
        <w:rPr>
          <w:sz w:val="20"/>
        </w:rPr>
      </w:pPr>
      <w:r w:rsidRPr="00ED05D6">
        <w:tab/>
      </w:r>
      <w:r w:rsidRPr="00ED05D6">
        <w:tab/>
      </w:r>
      <w:r w:rsidRPr="00ED05D6">
        <w:rPr>
          <w:sz w:val="20"/>
        </w:rPr>
        <w:t>Item 3: ECE/TRANS/WP.15/AC.1/2016/23 (Russian Federation) – Documentation – Additional p</w:t>
      </w:r>
      <w:r w:rsidR="00BF46C2">
        <w:rPr>
          <w:sz w:val="20"/>
        </w:rPr>
        <w:t>rovisions for Class 2</w:t>
      </w:r>
    </w:p>
    <w:p w:rsidR="00E55C68" w:rsidRPr="00ED05D6" w:rsidRDefault="00E55C68" w:rsidP="00E55C68">
      <w:pPr>
        <w:pStyle w:val="SingleTxtG"/>
      </w:pPr>
      <w:r>
        <w:t>8</w:t>
      </w:r>
      <w:r w:rsidRPr="00ED05D6">
        <w:t>.</w:t>
      </w:r>
      <w:r w:rsidRPr="00ED05D6">
        <w:tab/>
        <w:t xml:space="preserve">To protect empty tank wagons for the carriage of liquefied gases against implosion during very low ambient temperatures SMGS Annex 2 prescribes a residual pressure to be maintained after discharge. This residual pressure should be indicated in the transport document. After discussion of this subject in the RID Committee of Experts’ standing </w:t>
      </w:r>
      <w:r w:rsidRPr="00ED05D6">
        <w:lastRenderedPageBreak/>
        <w:t xml:space="preserve">working group 23-27 November 2015 it was suggested to present this to the Tanks working group of the Joint meeting for further study. </w:t>
      </w:r>
    </w:p>
    <w:p w:rsidR="00E55C68" w:rsidRPr="00ED05D6" w:rsidRDefault="00E55C68" w:rsidP="00E55C68">
      <w:pPr>
        <w:pStyle w:val="SingleTxtG"/>
      </w:pPr>
      <w:r>
        <w:t>9</w:t>
      </w:r>
      <w:r w:rsidRPr="00ED05D6">
        <w:t>.</w:t>
      </w:r>
      <w:r w:rsidRPr="00ED05D6">
        <w:tab/>
        <w:t xml:space="preserve">Several experts remarked that protection against implosion based on residual pressure of liquefied gases was only useful in combination with the temperature of the remaining gas and tank after discharge in combination with the properties of the particular gas. It was also said that it would be preferable to determine a safe minimum temperature depending on the residual pressure, temperature after discharge and type of gas. Several experts </w:t>
      </w:r>
      <w:r>
        <w:t xml:space="preserve">were </w:t>
      </w:r>
      <w:r w:rsidRPr="00ED05D6">
        <w:t>not  in favour of the proposal as it stood</w:t>
      </w:r>
      <w:r>
        <w:t>. Entering details in the transport document were considered unnecessary. A</w:t>
      </w:r>
      <w:r w:rsidRPr="00ED05D6">
        <w:t xml:space="preserve">lso taking into account that 4.3.3.3.4 of RID/ADR already </w:t>
      </w:r>
      <w:r>
        <w:t xml:space="preserve">includes </w:t>
      </w:r>
      <w:r w:rsidRPr="00ED05D6">
        <w:t xml:space="preserve">provisions </w:t>
      </w:r>
      <w:r>
        <w:t>t</w:t>
      </w:r>
      <w:r w:rsidRPr="00ED05D6">
        <w:t xml:space="preserve">o prevent implosion </w:t>
      </w:r>
      <w:r>
        <w:t xml:space="preserve">in </w:t>
      </w:r>
      <w:r w:rsidRPr="00ED05D6">
        <w:t xml:space="preserve">case low ambient temperatures are expected. </w:t>
      </w:r>
    </w:p>
    <w:p w:rsidR="00E55C68" w:rsidRPr="00ED05D6" w:rsidRDefault="00E55C68" w:rsidP="00E55C68">
      <w:pPr>
        <w:pStyle w:val="SingleTxtG"/>
        <w:spacing w:before="120"/>
        <w:rPr>
          <w:b/>
        </w:rPr>
      </w:pPr>
      <w:r w:rsidRPr="00ED05D6">
        <w:rPr>
          <w:b/>
        </w:rPr>
        <w:t xml:space="preserve">Item 4: ECE/TRANS/WP.15/AC.1/2016/25 (the Netherlands) – General requirement for safety valves on tanks and pressure rating </w:t>
      </w:r>
      <w:r w:rsidR="00BF46C2">
        <w:rPr>
          <w:b/>
        </w:rPr>
        <w:t>of bursting discs + INF 9 AEGPL</w:t>
      </w:r>
    </w:p>
    <w:p w:rsidR="00E55C68" w:rsidRPr="00ED05D6" w:rsidRDefault="00E55C68" w:rsidP="00E55C68">
      <w:pPr>
        <w:pStyle w:val="SingleTxtG"/>
      </w:pPr>
      <w:r w:rsidRPr="00ED05D6">
        <w:t>1</w:t>
      </w:r>
      <w:r>
        <w:t>0</w:t>
      </w:r>
      <w:r w:rsidRPr="00ED05D6">
        <w:t>.</w:t>
      </w:r>
      <w:r w:rsidRPr="00ED05D6">
        <w:tab/>
        <w:t>The Netherlands proposed to include a pressure rating for bursting dis</w:t>
      </w:r>
      <w:r>
        <w:t>cs</w:t>
      </w:r>
      <w:r w:rsidRPr="00ED05D6">
        <w:t xml:space="preserve"> in relation to the start to discharge pressure of the safety valve and </w:t>
      </w:r>
      <w:r>
        <w:t xml:space="preserve">providing </w:t>
      </w:r>
      <w:r w:rsidRPr="00ED05D6">
        <w:t>more detail</w:t>
      </w:r>
      <w:r>
        <w:t>s</w:t>
      </w:r>
      <w:r w:rsidRPr="00ED05D6">
        <w:t xml:space="preserve"> on the requirements for safety valves. AEGPL expressed concern </w:t>
      </w:r>
      <w:r>
        <w:t xml:space="preserve">regarding </w:t>
      </w:r>
      <w:r w:rsidRPr="00ED05D6">
        <w:t xml:space="preserve">effect </w:t>
      </w:r>
      <w:r>
        <w:t>on</w:t>
      </w:r>
      <w:r w:rsidRPr="00ED05D6">
        <w:t xml:space="preserve"> safety valves for gases.</w:t>
      </w:r>
    </w:p>
    <w:p w:rsidR="00E55C68" w:rsidRPr="00ED05D6" w:rsidRDefault="00E55C68" w:rsidP="00E55C68">
      <w:pPr>
        <w:pStyle w:val="SingleTxtG"/>
      </w:pPr>
      <w:r w:rsidRPr="00ED05D6">
        <w:t>1</w:t>
      </w:r>
      <w:r>
        <w:t>1</w:t>
      </w:r>
      <w:r w:rsidR="00BF46C2">
        <w:t>.</w:t>
      </w:r>
      <w:r w:rsidRPr="00ED05D6">
        <w:tab/>
        <w:t xml:space="preserve">Concerning the proposal for safety valves it was questioned if all details were needed </w:t>
      </w:r>
      <w:r>
        <w:t xml:space="preserve">as details were already </w:t>
      </w:r>
      <w:r w:rsidRPr="00ED05D6">
        <w:t xml:space="preserve">given in the definition in 1.2.1. </w:t>
      </w:r>
      <w:r>
        <w:br/>
      </w:r>
      <w:r w:rsidRPr="00ED05D6">
        <w:t xml:space="preserve">It was confirmed that this </w:t>
      </w:r>
      <w:r>
        <w:t>proposal</w:t>
      </w:r>
      <w:r w:rsidRPr="00ED05D6">
        <w:t xml:space="preserve"> did not modify the requirements for safety valves for tanks for the carriage of gases.</w:t>
      </w:r>
    </w:p>
    <w:p w:rsidR="00E55C68" w:rsidRDefault="00E55C68" w:rsidP="00E55C68">
      <w:pPr>
        <w:pStyle w:val="SingleTxtG"/>
      </w:pPr>
      <w:r w:rsidRPr="00ED05D6">
        <w:t>1</w:t>
      </w:r>
      <w:r>
        <w:t>2</w:t>
      </w:r>
      <w:r w:rsidRPr="00ED05D6">
        <w:t>.</w:t>
      </w:r>
      <w:r w:rsidRPr="00ED05D6">
        <w:tab/>
        <w:t xml:space="preserve">Several experts expressed support for including a pressure </w:t>
      </w:r>
      <w:r>
        <w:t>setting</w:t>
      </w:r>
      <w:r w:rsidRPr="00ED05D6">
        <w:t xml:space="preserve"> for bursting dis</w:t>
      </w:r>
      <w:r>
        <w:t>c</w:t>
      </w:r>
      <w:r w:rsidRPr="00ED05D6">
        <w:t xml:space="preserve">s as this would improve harmonisation by removing the role of the competent authority. Although 10% above the start to discharge pressure of the safety valve is commonly used </w:t>
      </w:r>
      <w:r>
        <w:t>a</w:t>
      </w:r>
      <w:r w:rsidRPr="00ED05D6">
        <w:t xml:space="preserve"> performance requirement description was</w:t>
      </w:r>
      <w:r>
        <w:t xml:space="preserve"> also suggested</w:t>
      </w:r>
      <w:r w:rsidRPr="00ED05D6">
        <w:t xml:space="preserve">. </w:t>
      </w:r>
    </w:p>
    <w:p w:rsidR="00E55C68" w:rsidRPr="00ED05D6" w:rsidRDefault="00E55C68" w:rsidP="00E55C68">
      <w:pPr>
        <w:pStyle w:val="SingleTxtG"/>
      </w:pPr>
      <w:r w:rsidRPr="00ED05D6">
        <w:t>1</w:t>
      </w:r>
      <w:r>
        <w:t>3</w:t>
      </w:r>
      <w:r w:rsidR="00BF46C2">
        <w:t>.</w:t>
      </w:r>
      <w:r w:rsidRPr="00ED05D6">
        <w:tab/>
        <w:t xml:space="preserve">As 6.8.2.2.10 addresses hermetically closed tanks it was </w:t>
      </w:r>
      <w:r>
        <w:t>considered</w:t>
      </w:r>
      <w:r w:rsidRPr="00ED05D6">
        <w:t xml:space="preserve"> </w:t>
      </w:r>
      <w:r>
        <w:t>to also apply</w:t>
      </w:r>
      <w:r w:rsidRPr="00ED05D6">
        <w:t xml:space="preserve"> to tanks for the carriage of gases as this was not modified in 6.8.3. In 4.3.1.1 concerning the tank code</w:t>
      </w:r>
      <w:r>
        <w:t>s for</w:t>
      </w:r>
      <w:r w:rsidRPr="00ED05D6">
        <w:t xml:space="preserve"> gas tanks, h</w:t>
      </w:r>
      <w:r>
        <w:t xml:space="preserve">ermetically closed </w:t>
      </w:r>
      <w:r w:rsidRPr="00ED05D6">
        <w:t xml:space="preserve">tanks are possible. However if the link in the table of 4.3.1.1 to the definition of hermetically closed tank is followed it appears that the definition only refers to tanks for substances for Class 3 to 9. Where some experts were of the opinion that hermetically closed tanks for gases </w:t>
      </w:r>
      <w:r>
        <w:t xml:space="preserve">should not have </w:t>
      </w:r>
      <w:r w:rsidRPr="00ED05D6">
        <w:t>safety valves</w:t>
      </w:r>
      <w:r>
        <w:t>,</w:t>
      </w:r>
      <w:r w:rsidRPr="00ED05D6">
        <w:t xml:space="preserve"> others stated that tanks with a safety valve and bursting disc did </w:t>
      </w:r>
      <w:r>
        <w:t>exist</w:t>
      </w:r>
      <w:r w:rsidRPr="00ED05D6">
        <w:t>.</w:t>
      </w:r>
    </w:p>
    <w:p w:rsidR="00E55C68" w:rsidRPr="00ED05D6" w:rsidRDefault="00E55C68" w:rsidP="00E55C68">
      <w:pPr>
        <w:pStyle w:val="SingleTxtG"/>
      </w:pPr>
      <w:r w:rsidRPr="00160E4F">
        <w:t>1</w:t>
      </w:r>
      <w:r>
        <w:t>4</w:t>
      </w:r>
      <w:r w:rsidR="00BF46C2">
        <w:t>.</w:t>
      </w:r>
      <w:r w:rsidRPr="00160E4F">
        <w:tab/>
        <w:t xml:space="preserve">The </w:t>
      </w:r>
      <w:r w:rsidR="00BF46C2">
        <w:t>Working Group</w:t>
      </w:r>
      <w:r w:rsidRPr="00160E4F">
        <w:t xml:space="preserve"> </w:t>
      </w:r>
      <w:r>
        <w:t xml:space="preserve">did not </w:t>
      </w:r>
      <w:r w:rsidRPr="00160E4F">
        <w:t>fe</w:t>
      </w:r>
      <w:r>
        <w:t xml:space="preserve">el </w:t>
      </w:r>
      <w:r w:rsidRPr="00160E4F">
        <w:t xml:space="preserve">in </w:t>
      </w:r>
      <w:r>
        <w:t>a</w:t>
      </w:r>
      <w:r w:rsidRPr="00160E4F">
        <w:t xml:space="preserve"> position to proceed before the inconsistency with the definition of hermetically closed tanks for the carriage of gases was resolved. It was decided to ask EIGA if tanks for the carriage of gases with safety valves and bursting dis</w:t>
      </w:r>
      <w:r>
        <w:t>c</w:t>
      </w:r>
      <w:r w:rsidRPr="00160E4F">
        <w:t>s exist and if so what the set pressures are.</w:t>
      </w:r>
      <w:r w:rsidRPr="00ED05D6">
        <w:t xml:space="preserve"> </w:t>
      </w:r>
    </w:p>
    <w:p w:rsidR="00E55C68" w:rsidRPr="00ED05D6" w:rsidRDefault="00E55C68" w:rsidP="00E55C68">
      <w:pPr>
        <w:pStyle w:val="H1G"/>
        <w:rPr>
          <w:b w:val="0"/>
          <w:sz w:val="20"/>
        </w:rPr>
      </w:pPr>
      <w:r w:rsidRPr="00ED05D6">
        <w:tab/>
      </w:r>
      <w:r w:rsidRPr="00ED05D6">
        <w:tab/>
      </w:r>
      <w:r w:rsidRPr="00ED05D6">
        <w:rPr>
          <w:sz w:val="20"/>
        </w:rPr>
        <w:t>Item 5: EC</w:t>
      </w:r>
      <w:r w:rsidR="00BF46C2">
        <w:rPr>
          <w:sz w:val="20"/>
        </w:rPr>
        <w:t>E/TRANS/WP.15/AC.1/2016/26 (</w:t>
      </w:r>
      <w:r w:rsidRPr="00ED05D6">
        <w:rPr>
          <w:sz w:val="20"/>
        </w:rPr>
        <w:t>Netherlands) – Miscellaneous to</w:t>
      </w:r>
      <w:r w:rsidR="00110B11">
        <w:rPr>
          <w:sz w:val="20"/>
        </w:rPr>
        <w:t>pics on tanks and INF 8 (AEGPL)</w:t>
      </w:r>
    </w:p>
    <w:p w:rsidR="00E55C68" w:rsidRPr="00ED05D6" w:rsidRDefault="00E55C68" w:rsidP="00E55C68">
      <w:pPr>
        <w:spacing w:before="120" w:after="120"/>
        <w:ind w:left="1134" w:right="851"/>
        <w:jc w:val="both"/>
      </w:pPr>
      <w:r w:rsidRPr="00ED05D6">
        <w:t>1</w:t>
      </w:r>
      <w:r>
        <w:t>5</w:t>
      </w:r>
      <w:r w:rsidRPr="00ED05D6">
        <w:t>.</w:t>
      </w:r>
      <w:r w:rsidRPr="00ED05D6">
        <w:tab/>
        <w:t xml:space="preserve">Three topics </w:t>
      </w:r>
      <w:r>
        <w:t xml:space="preserve">concerning </w:t>
      </w:r>
      <w:r w:rsidRPr="00ED05D6">
        <w:t xml:space="preserve">safety were identified during evaluation </w:t>
      </w:r>
      <w:r>
        <w:t>o</w:t>
      </w:r>
      <w:r w:rsidRPr="00ED05D6">
        <w:t xml:space="preserve">f older national guidelines in the Netherlands. </w:t>
      </w:r>
    </w:p>
    <w:p w:rsidR="00E55C68" w:rsidRPr="00BF46C2" w:rsidRDefault="001B496E" w:rsidP="00E55C68">
      <w:pPr>
        <w:spacing w:before="120" w:after="120"/>
        <w:ind w:left="1134" w:right="851"/>
        <w:jc w:val="both"/>
        <w:rPr>
          <w:b/>
          <w:i/>
        </w:rPr>
      </w:pPr>
      <w:r>
        <w:rPr>
          <w:b/>
          <w:i/>
        </w:rPr>
        <w:t xml:space="preserve">Topic </w:t>
      </w:r>
      <w:r w:rsidR="00760A3D">
        <w:rPr>
          <w:b/>
          <w:i/>
        </w:rPr>
        <w:t>1</w:t>
      </w:r>
      <w:r>
        <w:rPr>
          <w:b/>
          <w:i/>
        </w:rPr>
        <w:t>:</w:t>
      </w:r>
      <w:r w:rsidR="00E55C68" w:rsidRPr="00BF46C2">
        <w:rPr>
          <w:b/>
          <w:i/>
        </w:rPr>
        <w:t xml:space="preserve"> Fire safe</w:t>
      </w:r>
      <w:r w:rsidR="00BF46C2">
        <w:rPr>
          <w:b/>
          <w:i/>
        </w:rPr>
        <w:t xml:space="preserve"> design of internal stop valves</w:t>
      </w:r>
    </w:p>
    <w:p w:rsidR="00E55C68" w:rsidRPr="00ED05D6" w:rsidRDefault="00E55C68" w:rsidP="00E55C68">
      <w:pPr>
        <w:spacing w:before="120" w:after="120"/>
        <w:ind w:left="1134" w:right="851"/>
        <w:jc w:val="both"/>
      </w:pPr>
      <w:r w:rsidRPr="00ED05D6">
        <w:t>1</w:t>
      </w:r>
      <w:r>
        <w:t>6</w:t>
      </w:r>
      <w:r w:rsidRPr="00ED05D6">
        <w:t>.</w:t>
      </w:r>
      <w:r w:rsidRPr="00ED05D6">
        <w:tab/>
        <w:t>It is proposed to include a requirement for fire safe design in the regulation</w:t>
      </w:r>
      <w:r>
        <w:t>s</w:t>
      </w:r>
      <w:r w:rsidRPr="00ED05D6">
        <w:t xml:space="preserve">. AEGPL in </w:t>
      </w:r>
      <w:r>
        <w:t>its</w:t>
      </w:r>
      <w:r w:rsidRPr="00ED05D6">
        <w:t xml:space="preserve"> document questioned the additional value of a fire safe design because the valve and seating would be cooled by the liquefied gas. It was also </w:t>
      </w:r>
      <w:r>
        <w:t>expressed</w:t>
      </w:r>
      <w:r w:rsidRPr="00ED05D6">
        <w:t xml:space="preserve"> that such internal stop valves are not available and that no situations are known where failing of a valve in fire conditions led to leakage. It was also remarked that fire scenarios were in principle not part of 6.8, besides a </w:t>
      </w:r>
      <w:r w:rsidRPr="00ED05D6">
        <w:lastRenderedPageBreak/>
        <w:t xml:space="preserve">requirement for tank for liquefied flammable or toxic gases that valves should close automatically in </w:t>
      </w:r>
      <w:r>
        <w:t xml:space="preserve">the event </w:t>
      </w:r>
      <w:r w:rsidRPr="00ED05D6">
        <w:t>of a fire.</w:t>
      </w:r>
    </w:p>
    <w:p w:rsidR="00E55C68" w:rsidRPr="00ED05D6" w:rsidRDefault="00E55C68" w:rsidP="00E55C68">
      <w:pPr>
        <w:spacing w:before="120" w:after="120"/>
        <w:ind w:left="1134" w:right="851"/>
        <w:jc w:val="both"/>
      </w:pPr>
      <w:r w:rsidRPr="00ED05D6">
        <w:t>1</w:t>
      </w:r>
      <w:r>
        <w:t>7</w:t>
      </w:r>
      <w:r w:rsidRPr="00ED05D6">
        <w:t>.</w:t>
      </w:r>
      <w:r w:rsidRPr="00ED05D6">
        <w:tab/>
        <w:t xml:space="preserve">Others said that it was not clear exactly </w:t>
      </w:r>
      <w:r>
        <w:t xml:space="preserve">what </w:t>
      </w:r>
      <w:r w:rsidRPr="00ED05D6">
        <w:t xml:space="preserve">was meant by fire safe design. However the standard EN ISO 10497, which is referenced in EN 12252 concerning equipment for LPG tankers, includes tightness </w:t>
      </w:r>
      <w:r>
        <w:t xml:space="preserve">requirements </w:t>
      </w:r>
      <w:r w:rsidRPr="00ED05D6">
        <w:t>after fire testing</w:t>
      </w:r>
      <w:r>
        <w:t>. However the actuators of the valves are excluded f</w:t>
      </w:r>
      <w:r w:rsidRPr="00ED05D6">
        <w:t>r</w:t>
      </w:r>
      <w:r>
        <w:t>om</w:t>
      </w:r>
      <w:r w:rsidRPr="00ED05D6">
        <w:t xml:space="preserve"> the test. </w:t>
      </w:r>
    </w:p>
    <w:p w:rsidR="00E55C68" w:rsidRPr="00ED05D6" w:rsidRDefault="00E55C68" w:rsidP="00E55C68">
      <w:pPr>
        <w:spacing w:before="120" w:after="120"/>
        <w:ind w:left="1134" w:right="851"/>
        <w:jc w:val="both"/>
      </w:pPr>
      <w:r w:rsidRPr="00ED05D6">
        <w:t>1</w:t>
      </w:r>
      <w:r>
        <w:t>8</w:t>
      </w:r>
      <w:r w:rsidRPr="00ED05D6">
        <w:t>.</w:t>
      </w:r>
      <w:r w:rsidRPr="00ED05D6">
        <w:tab/>
        <w:t xml:space="preserve">EN 12252 </w:t>
      </w:r>
      <w:r>
        <w:t xml:space="preserve">does not clearly define to which valves </w:t>
      </w:r>
      <w:r w:rsidRPr="00ED05D6">
        <w:t>EN ISO 10497</w:t>
      </w:r>
      <w:r>
        <w:t xml:space="preserve"> applies</w:t>
      </w:r>
      <w:r w:rsidRPr="00ED05D6">
        <w:t xml:space="preserve">. AEGPL was requested to check </w:t>
      </w:r>
      <w:r>
        <w:t xml:space="preserve">the intention of the reference </w:t>
      </w:r>
      <w:r w:rsidRPr="00ED05D6">
        <w:t>with CEN TC 286 and report back.</w:t>
      </w:r>
    </w:p>
    <w:p w:rsidR="00E55C68" w:rsidRPr="00BF46C2" w:rsidRDefault="00BF46C2" w:rsidP="00E55C68">
      <w:pPr>
        <w:spacing w:before="120" w:after="120"/>
        <w:ind w:left="1134" w:right="851"/>
        <w:jc w:val="both"/>
        <w:rPr>
          <w:b/>
          <w:i/>
        </w:rPr>
      </w:pPr>
      <w:r>
        <w:rPr>
          <w:b/>
          <w:i/>
        </w:rPr>
        <w:t>Topic 2: Gauge glasses</w:t>
      </w:r>
    </w:p>
    <w:p w:rsidR="00E55C68" w:rsidRPr="00ED05D6" w:rsidRDefault="00E55C68" w:rsidP="00E55C68">
      <w:pPr>
        <w:spacing w:before="120" w:after="120"/>
        <w:ind w:left="1134" w:right="851"/>
        <w:jc w:val="both"/>
      </w:pPr>
      <w:r>
        <w:t>19</w:t>
      </w:r>
      <w:r w:rsidRPr="00ED05D6">
        <w:t>.</w:t>
      </w:r>
      <w:r w:rsidRPr="00ED05D6">
        <w:tab/>
        <w:t>Level gauges of transparent material are prohibited for gas tankers. In 6.10, which modifies 6.8.2, sight glasses on the shell are allowed</w:t>
      </w:r>
      <w:r>
        <w:t xml:space="preserve">. </w:t>
      </w:r>
      <w:r w:rsidRPr="00ED05D6">
        <w:t xml:space="preserve">To clarify the situation and improve the use of terms it is proposed </w:t>
      </w:r>
      <w:r>
        <w:t xml:space="preserve">to </w:t>
      </w:r>
      <w:r w:rsidRPr="00ED05D6">
        <w:t xml:space="preserve">include the wording used for these level gauges used </w:t>
      </w:r>
      <w:r>
        <w:t xml:space="preserve">in 6.7 </w:t>
      </w:r>
      <w:r w:rsidRPr="00ED05D6">
        <w:t xml:space="preserve">in 6.8.2.2. </w:t>
      </w:r>
    </w:p>
    <w:p w:rsidR="00E55C68" w:rsidRPr="00ED05D6" w:rsidRDefault="00E55C68" w:rsidP="00E55C68">
      <w:pPr>
        <w:spacing w:before="120" w:after="120"/>
        <w:ind w:left="1134" w:right="851"/>
        <w:jc w:val="both"/>
      </w:pPr>
      <w:r w:rsidRPr="00ED05D6">
        <w:t>2</w:t>
      </w:r>
      <w:r>
        <w:t>0</w:t>
      </w:r>
      <w:r w:rsidRPr="00ED05D6">
        <w:t>.</w:t>
      </w:r>
      <w:r w:rsidRPr="00ED05D6">
        <w:tab/>
        <w:t xml:space="preserve">One expert </w:t>
      </w:r>
      <w:r>
        <w:t xml:space="preserve">mentioned </w:t>
      </w:r>
      <w:r w:rsidRPr="00ED05D6">
        <w:t>that in the past gravity discharge tanks for heating oil were approved with level gauges. Another expert said that transparent parts in the pipework and manhole covers</w:t>
      </w:r>
      <w:r>
        <w:t xml:space="preserve"> were approved for measuring instruments and in connection with the VOC directive </w:t>
      </w:r>
      <w:r w:rsidRPr="00ED05D6">
        <w:t xml:space="preserve">but were not in direct contact with the substance during carriage. Several alternative texts were considered but the text from 6.7 was favoured. Although there was agreement </w:t>
      </w:r>
      <w:r>
        <w:t xml:space="preserve">in </w:t>
      </w:r>
      <w:r w:rsidRPr="00ED05D6">
        <w:t>principle it was decided to keep the wording in square brackets</w:t>
      </w:r>
      <w:r>
        <w:t xml:space="preserve"> to check the need of </w:t>
      </w:r>
      <w:r w:rsidRPr="00ED05D6">
        <w:t xml:space="preserve">a transitional measure is </w:t>
      </w:r>
      <w:r>
        <w:t>required</w:t>
      </w:r>
      <w:r w:rsidRPr="00ED05D6">
        <w:t>.</w:t>
      </w:r>
    </w:p>
    <w:p w:rsidR="00E55C68" w:rsidRPr="00ED05D6" w:rsidRDefault="00E55C68" w:rsidP="00BF46C2">
      <w:pPr>
        <w:spacing w:before="120" w:after="120"/>
        <w:ind w:left="2268" w:right="1134" w:hanging="1134"/>
        <w:rPr>
          <w:rFonts w:eastAsia="SimSun"/>
          <w:i/>
        </w:rPr>
      </w:pPr>
      <w:r w:rsidRPr="00ED05D6">
        <w:rPr>
          <w:rFonts w:eastAsia="SimSun"/>
          <w:b/>
          <w:sz w:val="22"/>
          <w:szCs w:val="22"/>
        </w:rPr>
        <w:t xml:space="preserve">Proposal 1: </w:t>
      </w:r>
      <w:r w:rsidRPr="001B496E">
        <w:rPr>
          <w:rFonts w:eastAsia="SimSun"/>
        </w:rPr>
        <w:t>Introduce a new paragraph in 6.8.2.2</w:t>
      </w:r>
      <w:r w:rsidR="001B496E">
        <w:rPr>
          <w:rFonts w:eastAsia="SimSun"/>
        </w:rPr>
        <w:t xml:space="preserve"> to read</w:t>
      </w:r>
      <w:r w:rsidRPr="001B496E">
        <w:rPr>
          <w:rFonts w:eastAsia="SimSun"/>
        </w:rPr>
        <w:t>.</w:t>
      </w:r>
      <w:r w:rsidRPr="00ED05D6">
        <w:rPr>
          <w:rFonts w:eastAsia="SimSun"/>
          <w:i/>
        </w:rPr>
        <w:t xml:space="preserve"> </w:t>
      </w:r>
    </w:p>
    <w:p w:rsidR="00E55C68" w:rsidRPr="00ED05D6" w:rsidRDefault="00E55C68" w:rsidP="00E55C68">
      <w:pPr>
        <w:ind w:left="2268" w:right="1134" w:hanging="1134"/>
        <w:rPr>
          <w:rFonts w:eastAsia="SimSun"/>
          <w:i/>
        </w:rPr>
      </w:pPr>
      <w:r w:rsidRPr="00ED05D6">
        <w:rPr>
          <w:rFonts w:eastAsia="SimSun"/>
          <w:i/>
        </w:rPr>
        <w:tab/>
        <w:t>[Glass level-gauges and level-gauges made of other fragile material, which are in direct communication with the contents of the shell, shall not be used.]</w:t>
      </w:r>
    </w:p>
    <w:p w:rsidR="00E55C68" w:rsidRPr="00ED05D6" w:rsidRDefault="00E55C68" w:rsidP="00E55C68">
      <w:pPr>
        <w:spacing w:before="120" w:after="120"/>
        <w:ind w:left="1134"/>
        <w:rPr>
          <w:rFonts w:eastAsia="SimSun"/>
        </w:rPr>
      </w:pPr>
      <w:r w:rsidRPr="00ED05D6">
        <w:rPr>
          <w:rFonts w:eastAsia="SimSun"/>
          <w:b/>
          <w:sz w:val="22"/>
          <w:szCs w:val="22"/>
        </w:rPr>
        <w:t xml:space="preserve">Proposal 2: </w:t>
      </w:r>
      <w:r w:rsidRPr="00ED05D6">
        <w:rPr>
          <w:rFonts w:eastAsia="SimSun"/>
        </w:rPr>
        <w:t xml:space="preserve">Delete the first sentence of 6.8.3.2.6 to read (deleted wording </w:t>
      </w:r>
      <w:r w:rsidRPr="00ED05D6">
        <w:rPr>
          <w:rFonts w:eastAsia="SimSun"/>
          <w:strike/>
        </w:rPr>
        <w:t>stricken</w:t>
      </w:r>
      <w:r w:rsidRPr="00ED05D6">
        <w:rPr>
          <w:rFonts w:eastAsia="SimSun"/>
        </w:rPr>
        <w:t xml:space="preserve"> through):</w:t>
      </w:r>
    </w:p>
    <w:p w:rsidR="00E55C68" w:rsidRPr="00ED05D6" w:rsidRDefault="00E55C68" w:rsidP="00E55C68">
      <w:pPr>
        <w:ind w:left="2127" w:right="1134" w:hanging="993"/>
        <w:jc w:val="both"/>
      </w:pPr>
      <w:r w:rsidRPr="00ED05D6">
        <w:t>[6.8.3.2.6</w:t>
      </w:r>
      <w:r w:rsidRPr="00ED05D6">
        <w:rPr>
          <w:b/>
        </w:rPr>
        <w:tab/>
      </w:r>
      <w:r w:rsidRPr="00ED05D6">
        <w:rPr>
          <w:strike/>
        </w:rPr>
        <w:t>If the tanks are equipped with gauges in direct contact with the substance carried, the gauges shall not be made of a transparent material.</w:t>
      </w:r>
      <w:r w:rsidRPr="00ED05D6">
        <w:t xml:space="preserve"> If there are thermometers, they shall not project directly into the gas or liquid through the shell.] </w:t>
      </w:r>
    </w:p>
    <w:p w:rsidR="00E55C68" w:rsidRPr="00ED05D6" w:rsidRDefault="00E55C68" w:rsidP="00E55C68">
      <w:pPr>
        <w:pStyle w:val="H23G"/>
        <w:rPr>
          <w:rFonts w:eastAsia="SimSun"/>
          <w:b w:val="0"/>
          <w:lang w:eastAsia="zh-CN"/>
        </w:rPr>
      </w:pPr>
      <w:r w:rsidRPr="00ED05D6">
        <w:rPr>
          <w:rFonts w:eastAsia="SimSun"/>
          <w:lang w:eastAsia="zh-CN"/>
        </w:rPr>
        <w:tab/>
      </w:r>
      <w:r w:rsidRPr="00ED05D6">
        <w:rPr>
          <w:rFonts w:eastAsia="SimSun"/>
          <w:lang w:eastAsia="zh-CN"/>
        </w:rPr>
        <w:tab/>
      </w:r>
      <w:r w:rsidRPr="00ED05D6">
        <w:rPr>
          <w:rFonts w:eastAsia="SimSun"/>
          <w:sz w:val="22"/>
          <w:szCs w:val="22"/>
          <w:lang w:eastAsia="zh-CN"/>
        </w:rPr>
        <w:t xml:space="preserve">Proposal 3: </w:t>
      </w:r>
      <w:r w:rsidRPr="00ED05D6">
        <w:rPr>
          <w:rFonts w:eastAsia="SimSun"/>
          <w:b w:val="0"/>
          <w:lang w:eastAsia="zh-CN"/>
        </w:rPr>
        <w:t xml:space="preserve">Amend the first paragraph of 6.10.3.8 (f) to read (new wording in </w:t>
      </w:r>
      <w:r w:rsidRPr="00ED05D6">
        <w:rPr>
          <w:rFonts w:eastAsia="SimSun"/>
          <w:b w:val="0"/>
          <w:i/>
          <w:lang w:eastAsia="zh-CN"/>
        </w:rPr>
        <w:t>italic</w:t>
      </w:r>
      <w:r w:rsidRPr="00ED05D6">
        <w:rPr>
          <w:rFonts w:eastAsia="SimSun"/>
          <w:b w:val="0"/>
          <w:lang w:eastAsia="zh-CN"/>
        </w:rPr>
        <w:t xml:space="preserve"> script, deleted wording </w:t>
      </w:r>
      <w:r w:rsidRPr="00ED05D6">
        <w:rPr>
          <w:rFonts w:eastAsia="SimSun"/>
          <w:b w:val="0"/>
          <w:strike/>
          <w:lang w:eastAsia="zh-CN"/>
        </w:rPr>
        <w:t>stricken</w:t>
      </w:r>
      <w:r w:rsidRPr="00ED05D6">
        <w:rPr>
          <w:rFonts w:eastAsia="SimSun"/>
          <w:b w:val="0"/>
          <w:lang w:eastAsia="zh-CN"/>
        </w:rPr>
        <w:t xml:space="preserve"> through):</w:t>
      </w:r>
    </w:p>
    <w:p w:rsidR="00E55C68" w:rsidRPr="00ED05D6" w:rsidRDefault="00E55C68" w:rsidP="00E55C68">
      <w:pPr>
        <w:spacing w:before="120" w:after="120"/>
        <w:ind w:left="1134" w:right="1134"/>
        <w:jc w:val="both"/>
      </w:pPr>
      <w:r w:rsidRPr="00ED05D6">
        <w:t>[(f)</w:t>
      </w:r>
      <w:r w:rsidRPr="00ED05D6">
        <w:tab/>
        <w:t xml:space="preserve">The tank, or in case of compartmented tanks, every compartment, shall be equipped with a level indicating device. </w:t>
      </w:r>
      <w:r w:rsidRPr="00ED05D6">
        <w:rPr>
          <w:i/>
        </w:rPr>
        <w:t xml:space="preserve">Glass level-gauges and level-gauges of other suitable transparent material </w:t>
      </w:r>
      <w:r w:rsidRPr="00ED05D6">
        <w:t xml:space="preserve"> </w:t>
      </w:r>
      <w:r w:rsidRPr="00ED05D6">
        <w:rPr>
          <w:strike/>
        </w:rPr>
        <w:t>Sight glasses</w:t>
      </w:r>
      <w:r w:rsidRPr="00ED05D6">
        <w:t xml:space="preserve"> may be used as level indicating devices provided:]</w:t>
      </w:r>
    </w:p>
    <w:p w:rsidR="00E55C68" w:rsidRPr="00BF46C2" w:rsidRDefault="00E55C68" w:rsidP="00E55C68">
      <w:pPr>
        <w:spacing w:before="120" w:after="120"/>
        <w:ind w:left="1134" w:right="851"/>
        <w:jc w:val="both"/>
        <w:rPr>
          <w:b/>
          <w:i/>
        </w:rPr>
      </w:pPr>
      <w:r w:rsidRPr="00BF46C2">
        <w:rPr>
          <w:b/>
          <w:i/>
        </w:rPr>
        <w:t xml:space="preserve">Topic 3: </w:t>
      </w:r>
      <w:r w:rsidR="001B496E">
        <w:rPr>
          <w:b/>
          <w:i/>
        </w:rPr>
        <w:t>P</w:t>
      </w:r>
      <w:r w:rsidRPr="00BF46C2">
        <w:rPr>
          <w:b/>
          <w:i/>
        </w:rPr>
        <w:t>revention of water ing</w:t>
      </w:r>
      <w:r w:rsidR="00BF46C2">
        <w:rPr>
          <w:b/>
          <w:i/>
        </w:rPr>
        <w:t>ress in safety valves</w:t>
      </w:r>
    </w:p>
    <w:p w:rsidR="00E55C68" w:rsidRPr="00ED05D6" w:rsidRDefault="00E55C68" w:rsidP="00E55C68">
      <w:pPr>
        <w:spacing w:before="120" w:after="120"/>
        <w:ind w:left="1134" w:right="851"/>
        <w:jc w:val="both"/>
      </w:pPr>
      <w:r w:rsidRPr="00ED05D6">
        <w:t>2</w:t>
      </w:r>
      <w:r>
        <w:t>1</w:t>
      </w:r>
      <w:r w:rsidRPr="00ED05D6">
        <w:t>.</w:t>
      </w:r>
      <w:r w:rsidRPr="00ED05D6">
        <w:tab/>
        <w:t>Safety valves for tanks for the carriage of gases may be of a design that collects water. In case the collected water is frozen the safety valve may not operate properly. There was general agreement in the group for thi</w:t>
      </w:r>
      <w:r>
        <w:t xml:space="preserve">s proposal in a modified form. </w:t>
      </w:r>
      <w:r w:rsidRPr="00ED05D6">
        <w:t>A transitional measure was deemed necessary.</w:t>
      </w:r>
    </w:p>
    <w:p w:rsidR="00E55C68" w:rsidRPr="00ED05D6" w:rsidRDefault="00E55C68" w:rsidP="00E55C68">
      <w:pPr>
        <w:pStyle w:val="H1G"/>
        <w:rPr>
          <w:rFonts w:eastAsia="SimSun"/>
          <w:lang w:eastAsia="zh-CN"/>
        </w:rPr>
      </w:pPr>
      <w:r w:rsidRPr="00ED05D6">
        <w:tab/>
      </w:r>
      <w:r w:rsidRPr="00ED05D6">
        <w:tab/>
      </w:r>
      <w:r w:rsidRPr="00ED05D6">
        <w:rPr>
          <w:sz w:val="22"/>
          <w:szCs w:val="22"/>
        </w:rPr>
        <w:t>Proposal 4:</w:t>
      </w:r>
      <w:r w:rsidRPr="00ED05D6">
        <w:rPr>
          <w:rFonts w:eastAsia="SimSun"/>
          <w:lang w:eastAsia="zh-CN"/>
        </w:rPr>
        <w:tab/>
      </w:r>
      <w:r w:rsidRPr="00ED05D6">
        <w:rPr>
          <w:rFonts w:eastAsia="SimSun"/>
          <w:b w:val="0"/>
          <w:sz w:val="20"/>
          <w:lang w:eastAsia="zh-CN"/>
        </w:rPr>
        <w:t xml:space="preserve">Introduce a new paragraph at the end of 6.8.3.2.9 to read (new wording in </w:t>
      </w:r>
      <w:r w:rsidRPr="00ED05D6">
        <w:rPr>
          <w:rFonts w:eastAsia="SimSun"/>
          <w:b w:val="0"/>
          <w:i/>
          <w:sz w:val="20"/>
          <w:lang w:eastAsia="zh-CN"/>
        </w:rPr>
        <w:t xml:space="preserve">italic </w:t>
      </w:r>
      <w:r w:rsidRPr="00ED05D6">
        <w:rPr>
          <w:rFonts w:eastAsia="SimSun"/>
          <w:b w:val="0"/>
          <w:sz w:val="20"/>
          <w:lang w:eastAsia="zh-CN"/>
        </w:rPr>
        <w:t>script):</w:t>
      </w:r>
    </w:p>
    <w:p w:rsidR="00E55C68" w:rsidRPr="00ED05D6" w:rsidRDefault="00E55C68" w:rsidP="00E55C68">
      <w:pPr>
        <w:spacing w:before="120" w:after="120"/>
        <w:ind w:left="2268" w:right="1134"/>
        <w:jc w:val="both"/>
        <w:rPr>
          <w:rFonts w:eastAsia="SimSun"/>
          <w:i/>
        </w:rPr>
      </w:pPr>
      <w:r w:rsidRPr="00ED05D6">
        <w:rPr>
          <w:rFonts w:eastAsia="SimSun"/>
          <w:i/>
        </w:rPr>
        <w:t xml:space="preserve">Safety valves that may collect water, for example due to rain or spray, which would prevent their correct functioning, for example if the water freezes, </w:t>
      </w:r>
      <w:r w:rsidRPr="00ED05D6">
        <w:rPr>
          <w:rFonts w:eastAsia="SimSun"/>
          <w:i/>
        </w:rPr>
        <w:lastRenderedPageBreak/>
        <w:t>shall be provided with a protective cap. The protective cap shall not affect the performance of the valve.</w:t>
      </w:r>
    </w:p>
    <w:p w:rsidR="00E55C68" w:rsidRPr="00ED05D6" w:rsidRDefault="00E55C68" w:rsidP="00E55C68">
      <w:pPr>
        <w:spacing w:before="120" w:after="120"/>
        <w:ind w:left="1134" w:right="1134"/>
        <w:jc w:val="both"/>
        <w:rPr>
          <w:rFonts w:eastAsia="SimSun"/>
        </w:rPr>
      </w:pPr>
      <w:r w:rsidRPr="00ED05D6">
        <w:rPr>
          <w:rFonts w:eastAsia="SimSun"/>
          <w:b/>
          <w:sz w:val="22"/>
          <w:szCs w:val="22"/>
        </w:rPr>
        <w:t>Proposal 5</w:t>
      </w:r>
      <w:r w:rsidRPr="00ED05D6">
        <w:rPr>
          <w:rFonts w:eastAsia="SimSun"/>
          <w:b/>
          <w:sz w:val="24"/>
          <w:szCs w:val="24"/>
        </w:rPr>
        <w:t xml:space="preserve">: </w:t>
      </w:r>
      <w:r w:rsidRPr="00ED05D6">
        <w:rPr>
          <w:rFonts w:eastAsia="SimSun"/>
        </w:rPr>
        <w:t>Introduce a new transitional measure in 1.6.3 and 1.6.4 to read:</w:t>
      </w:r>
    </w:p>
    <w:p w:rsidR="00E55C68" w:rsidRPr="00ED05D6" w:rsidRDefault="00E55C68" w:rsidP="00E55C68">
      <w:pPr>
        <w:spacing w:before="120" w:after="120"/>
        <w:ind w:left="2268" w:right="1134"/>
        <w:jc w:val="both"/>
        <w:rPr>
          <w:rFonts w:eastAsia="SimSun"/>
          <w:i/>
        </w:rPr>
      </w:pPr>
      <w:r w:rsidRPr="00ED05D6">
        <w:rPr>
          <w:rFonts w:eastAsia="SimSun"/>
          <w:i/>
        </w:rPr>
        <w:t>1.6.3</w:t>
      </w:r>
      <w:r>
        <w:rPr>
          <w:rFonts w:eastAsia="SimSun"/>
          <w:i/>
        </w:rPr>
        <w:t>x</w:t>
      </w:r>
      <w:r w:rsidRPr="00ED05D6">
        <w:rPr>
          <w:rFonts w:eastAsia="SimSun"/>
          <w:i/>
        </w:rPr>
        <w:t>/4</w:t>
      </w:r>
      <w:r>
        <w:rPr>
          <w:rFonts w:eastAsia="SimSun"/>
          <w:i/>
        </w:rPr>
        <w:t>y</w:t>
      </w:r>
      <w:r w:rsidRPr="00ED05D6">
        <w:rPr>
          <w:rFonts w:eastAsia="SimSun"/>
          <w:i/>
        </w:rPr>
        <w:t xml:space="preserve"> </w:t>
      </w:r>
    </w:p>
    <w:p w:rsidR="00E55C68" w:rsidRPr="00ED05D6" w:rsidRDefault="00E55C68" w:rsidP="00E55C68">
      <w:pPr>
        <w:spacing w:before="120" w:after="120"/>
        <w:ind w:left="2268" w:right="1134"/>
        <w:jc w:val="both"/>
        <w:rPr>
          <w:rFonts w:eastAsia="SimSun"/>
          <w:i/>
        </w:rPr>
      </w:pPr>
      <w:r w:rsidRPr="00ED05D6">
        <w:rPr>
          <w:rFonts w:eastAsia="SimSun"/>
          <w:i/>
        </w:rPr>
        <w:t xml:space="preserve">Safety valves meeting the requirements applicable up to 31 December 2018 but which do not meet the requirements of 6.8.3.2.9 regarding the protective cap applicable from 1 January 2019 may continue to be used </w:t>
      </w:r>
      <w:r>
        <w:rPr>
          <w:rFonts w:eastAsia="SimSun"/>
          <w:i/>
        </w:rPr>
        <w:t>[</w:t>
      </w:r>
      <w:r w:rsidRPr="00ED05D6">
        <w:rPr>
          <w:rFonts w:eastAsia="SimSun"/>
          <w:i/>
        </w:rPr>
        <w:t>until the next intermediate or periodic inspection after 1 July 2019</w:t>
      </w:r>
      <w:r>
        <w:rPr>
          <w:rFonts w:eastAsia="SimSun"/>
          <w:i/>
        </w:rPr>
        <w:t>]</w:t>
      </w:r>
      <w:r w:rsidRPr="00ED05D6">
        <w:rPr>
          <w:rFonts w:eastAsia="SimSun"/>
          <w:i/>
        </w:rPr>
        <w:t>.</w:t>
      </w:r>
    </w:p>
    <w:p w:rsidR="00E55C68" w:rsidRPr="00ED05D6" w:rsidRDefault="00E55C68" w:rsidP="00E55C68">
      <w:pPr>
        <w:pStyle w:val="H1G"/>
        <w:rPr>
          <w:b w:val="0"/>
          <w:bCs/>
          <w:sz w:val="20"/>
        </w:rPr>
      </w:pPr>
      <w:r w:rsidRPr="00ED05D6">
        <w:tab/>
      </w:r>
      <w:r w:rsidRPr="00ED05D6">
        <w:tab/>
      </w:r>
      <w:r w:rsidRPr="00ED05D6">
        <w:rPr>
          <w:sz w:val="20"/>
        </w:rPr>
        <w:t>Item 6: EC</w:t>
      </w:r>
      <w:r w:rsidR="00BF46C2">
        <w:rPr>
          <w:sz w:val="20"/>
        </w:rPr>
        <w:t>E/TRANS/WP.15/AC.1/2016/31 (</w:t>
      </w:r>
      <w:r w:rsidRPr="00ED05D6">
        <w:rPr>
          <w:sz w:val="20"/>
        </w:rPr>
        <w:t xml:space="preserve">Netherlands) –  Report of the </w:t>
      </w:r>
      <w:r w:rsidR="00BF46C2">
        <w:rPr>
          <w:sz w:val="20"/>
        </w:rPr>
        <w:t>informal W</w:t>
      </w:r>
      <w:r w:rsidRPr="00ED05D6">
        <w:rPr>
          <w:sz w:val="20"/>
        </w:rPr>
        <w:t xml:space="preserve">orking </w:t>
      </w:r>
      <w:r w:rsidR="00BF46C2">
        <w:rPr>
          <w:sz w:val="20"/>
        </w:rPr>
        <w:t>G</w:t>
      </w:r>
      <w:r w:rsidRPr="00ED05D6">
        <w:rPr>
          <w:sz w:val="20"/>
        </w:rPr>
        <w:t>roup on tanks with a protective lining or coating</w:t>
      </w:r>
    </w:p>
    <w:p w:rsidR="00BF46C2"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2</w:t>
      </w:r>
      <w:r>
        <w:rPr>
          <w:rFonts w:ascii="Times New Roman" w:hAnsi="Times New Roman" w:cs="Times New Roman"/>
          <w:sz w:val="20"/>
          <w:szCs w:val="20"/>
        </w:rPr>
        <w:t>2</w:t>
      </w:r>
      <w:r w:rsidRPr="00ED05D6">
        <w:rPr>
          <w:rFonts w:ascii="Times New Roman" w:hAnsi="Times New Roman" w:cs="Times New Roman"/>
          <w:sz w:val="20"/>
          <w:szCs w:val="20"/>
        </w:rPr>
        <w:t>.</w:t>
      </w:r>
      <w:r w:rsidRPr="00ED05D6">
        <w:rPr>
          <w:rFonts w:ascii="Times New Roman" w:hAnsi="Times New Roman" w:cs="Times New Roman"/>
          <w:sz w:val="20"/>
          <w:szCs w:val="20"/>
        </w:rPr>
        <w:tab/>
        <w:t xml:space="preserve"> The proposals of the </w:t>
      </w:r>
      <w:r w:rsidR="00BF46C2">
        <w:rPr>
          <w:rFonts w:ascii="Times New Roman" w:hAnsi="Times New Roman" w:cs="Times New Roman"/>
          <w:sz w:val="20"/>
          <w:szCs w:val="20"/>
        </w:rPr>
        <w:t xml:space="preserve">informal </w:t>
      </w:r>
      <w:r w:rsidRPr="00ED05D6">
        <w:rPr>
          <w:rFonts w:ascii="Times New Roman" w:hAnsi="Times New Roman" w:cs="Times New Roman"/>
          <w:sz w:val="20"/>
          <w:szCs w:val="20"/>
        </w:rPr>
        <w:t>working group on tanks with a protective lining or coating w</w:t>
      </w:r>
      <w:r>
        <w:rPr>
          <w:rFonts w:ascii="Times New Roman" w:hAnsi="Times New Roman" w:cs="Times New Roman"/>
          <w:sz w:val="20"/>
          <w:szCs w:val="20"/>
        </w:rPr>
        <w:t>ere</w:t>
      </w:r>
      <w:r w:rsidRPr="00ED05D6">
        <w:rPr>
          <w:rFonts w:ascii="Times New Roman" w:hAnsi="Times New Roman" w:cs="Times New Roman"/>
          <w:sz w:val="20"/>
          <w:szCs w:val="20"/>
        </w:rPr>
        <w:t xml:space="preserve"> discussed and several improvements were made to the proposed amendments.</w:t>
      </w:r>
    </w:p>
    <w:p w:rsidR="00E55C68"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2</w:t>
      </w:r>
      <w:r>
        <w:rPr>
          <w:rFonts w:ascii="Times New Roman" w:hAnsi="Times New Roman" w:cs="Times New Roman"/>
          <w:sz w:val="20"/>
          <w:szCs w:val="20"/>
        </w:rPr>
        <w:t>3</w:t>
      </w:r>
      <w:r w:rsidRPr="00ED05D6">
        <w:rPr>
          <w:rFonts w:ascii="Times New Roman" w:hAnsi="Times New Roman" w:cs="Times New Roman"/>
          <w:sz w:val="20"/>
          <w:szCs w:val="20"/>
        </w:rPr>
        <w:t>.</w:t>
      </w:r>
      <w:r w:rsidRPr="00ED05D6">
        <w:rPr>
          <w:rFonts w:ascii="Times New Roman" w:hAnsi="Times New Roman" w:cs="Times New Roman"/>
          <w:sz w:val="20"/>
          <w:szCs w:val="20"/>
        </w:rPr>
        <w:tab/>
      </w:r>
      <w:r>
        <w:rPr>
          <w:rFonts w:ascii="Times New Roman" w:hAnsi="Times New Roman" w:cs="Times New Roman"/>
          <w:sz w:val="20"/>
          <w:szCs w:val="20"/>
        </w:rPr>
        <w:t>Although it was remarked that pH value is not always an indicator of corrosivity and the list of UN numbers is not exhaustive, t</w:t>
      </w:r>
      <w:r w:rsidRPr="00ED05D6">
        <w:rPr>
          <w:rFonts w:ascii="Times New Roman" w:hAnsi="Times New Roman" w:cs="Times New Roman"/>
          <w:sz w:val="20"/>
          <w:szCs w:val="20"/>
        </w:rPr>
        <w:t xml:space="preserve">he principle of regulating the use </w:t>
      </w:r>
      <w:r>
        <w:rPr>
          <w:rFonts w:ascii="Times New Roman" w:hAnsi="Times New Roman" w:cs="Times New Roman"/>
          <w:sz w:val="20"/>
          <w:szCs w:val="20"/>
        </w:rPr>
        <w:t xml:space="preserve">of aluminium alloy lined tanks </w:t>
      </w:r>
      <w:r w:rsidRPr="00ED05D6">
        <w:rPr>
          <w:rFonts w:ascii="Times New Roman" w:hAnsi="Times New Roman" w:cs="Times New Roman"/>
          <w:sz w:val="20"/>
          <w:szCs w:val="20"/>
        </w:rPr>
        <w:t xml:space="preserve">by including a special provision TU in 4.3.5 </w:t>
      </w:r>
      <w:r>
        <w:rPr>
          <w:rFonts w:ascii="Times New Roman" w:hAnsi="Times New Roman" w:cs="Times New Roman"/>
          <w:sz w:val="20"/>
          <w:szCs w:val="20"/>
        </w:rPr>
        <w:t xml:space="preserve">against particular </w:t>
      </w:r>
      <w:r w:rsidRPr="00ED05D6">
        <w:rPr>
          <w:rFonts w:ascii="Times New Roman" w:hAnsi="Times New Roman" w:cs="Times New Roman"/>
          <w:sz w:val="20"/>
          <w:szCs w:val="20"/>
        </w:rPr>
        <w:t xml:space="preserve">UN numbers was </w:t>
      </w:r>
      <w:r>
        <w:rPr>
          <w:rFonts w:ascii="Times New Roman" w:hAnsi="Times New Roman" w:cs="Times New Roman"/>
          <w:sz w:val="20"/>
          <w:szCs w:val="20"/>
        </w:rPr>
        <w:t xml:space="preserve">accepted. This solution would prevent </w:t>
      </w:r>
      <w:r w:rsidRPr="00ED05D6">
        <w:rPr>
          <w:rFonts w:ascii="Times New Roman" w:hAnsi="Times New Roman" w:cs="Times New Roman"/>
          <w:sz w:val="20"/>
          <w:szCs w:val="20"/>
        </w:rPr>
        <w:t>the use in practice of tanks with an aluminium shell and a protective lining</w:t>
      </w:r>
      <w:r>
        <w:rPr>
          <w:rFonts w:ascii="Times New Roman" w:hAnsi="Times New Roman" w:cs="Times New Roman"/>
          <w:sz w:val="20"/>
          <w:szCs w:val="20"/>
        </w:rPr>
        <w:t xml:space="preserve"> for substances with clearly identified as having a significant corrosive effect on aluminium alloy.</w:t>
      </w:r>
    </w:p>
    <w:p w:rsidR="00E55C68" w:rsidRPr="00ED05D6"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 xml:space="preserve">An alternative </w:t>
      </w:r>
      <w:r>
        <w:rPr>
          <w:rFonts w:ascii="Times New Roman" w:hAnsi="Times New Roman" w:cs="Times New Roman"/>
          <w:sz w:val="20"/>
          <w:szCs w:val="20"/>
        </w:rPr>
        <w:t xml:space="preserve">approach based on the application of classification criteria for corrosivity (table of 2.2.8) was discussed. </w:t>
      </w:r>
      <w:r w:rsidRPr="00ED05D6">
        <w:rPr>
          <w:rFonts w:ascii="Times New Roman" w:hAnsi="Times New Roman" w:cs="Times New Roman"/>
          <w:sz w:val="20"/>
          <w:szCs w:val="20"/>
        </w:rPr>
        <w:t xml:space="preserve">It was agreed that this </w:t>
      </w:r>
      <w:r>
        <w:rPr>
          <w:rFonts w:ascii="Times New Roman" w:hAnsi="Times New Roman" w:cs="Times New Roman"/>
          <w:sz w:val="20"/>
          <w:szCs w:val="20"/>
        </w:rPr>
        <w:t>c</w:t>
      </w:r>
      <w:r w:rsidRPr="00ED05D6">
        <w:rPr>
          <w:rFonts w:ascii="Times New Roman" w:hAnsi="Times New Roman" w:cs="Times New Roman"/>
          <w:sz w:val="20"/>
          <w:szCs w:val="20"/>
        </w:rPr>
        <w:t xml:space="preserve">ould be a future project that should not stop the option chosen by the </w:t>
      </w:r>
      <w:r w:rsidR="00BF46C2">
        <w:rPr>
          <w:rFonts w:ascii="Times New Roman" w:hAnsi="Times New Roman" w:cs="Times New Roman"/>
          <w:sz w:val="20"/>
          <w:szCs w:val="20"/>
        </w:rPr>
        <w:t xml:space="preserve">informal </w:t>
      </w:r>
      <w:r w:rsidRPr="00ED05D6">
        <w:rPr>
          <w:rFonts w:ascii="Times New Roman" w:hAnsi="Times New Roman" w:cs="Times New Roman"/>
          <w:sz w:val="20"/>
          <w:szCs w:val="20"/>
        </w:rPr>
        <w:t>working group to be adopted.</w:t>
      </w:r>
    </w:p>
    <w:p w:rsidR="00E55C68" w:rsidRPr="00ED05D6" w:rsidRDefault="00E55C68" w:rsidP="00E55C68">
      <w:pPr>
        <w:pStyle w:val="Default"/>
        <w:spacing w:before="120" w:after="120"/>
        <w:ind w:left="1134" w:right="1134"/>
        <w:jc w:val="both"/>
      </w:pPr>
      <w:r w:rsidRPr="00ED05D6">
        <w:rPr>
          <w:rFonts w:ascii="Times New Roman" w:hAnsi="Times New Roman" w:cs="Times New Roman"/>
          <w:sz w:val="20"/>
          <w:szCs w:val="20"/>
        </w:rPr>
        <w:t>2</w:t>
      </w:r>
      <w:r>
        <w:rPr>
          <w:rFonts w:ascii="Times New Roman" w:hAnsi="Times New Roman" w:cs="Times New Roman"/>
          <w:sz w:val="20"/>
          <w:szCs w:val="20"/>
        </w:rPr>
        <w:t>4</w:t>
      </w:r>
      <w:r w:rsidRPr="00ED05D6">
        <w:rPr>
          <w:rFonts w:ascii="Times New Roman" w:hAnsi="Times New Roman" w:cs="Times New Roman"/>
          <w:sz w:val="20"/>
          <w:szCs w:val="20"/>
        </w:rPr>
        <w:t>.</w:t>
      </w:r>
      <w:r w:rsidRPr="00ED05D6">
        <w:rPr>
          <w:rFonts w:ascii="Times New Roman" w:hAnsi="Times New Roman" w:cs="Times New Roman"/>
          <w:sz w:val="20"/>
          <w:szCs w:val="20"/>
        </w:rPr>
        <w:tab/>
        <w:t xml:space="preserve">Item 6 and 8 of the annex to the report of the </w:t>
      </w:r>
      <w:r w:rsidR="00BF46C2">
        <w:rPr>
          <w:rFonts w:ascii="Times New Roman" w:hAnsi="Times New Roman" w:cs="Times New Roman"/>
          <w:sz w:val="20"/>
          <w:szCs w:val="20"/>
        </w:rPr>
        <w:t xml:space="preserve">informal </w:t>
      </w:r>
      <w:r w:rsidRPr="00ED05D6">
        <w:rPr>
          <w:rFonts w:ascii="Times New Roman" w:hAnsi="Times New Roman" w:cs="Times New Roman"/>
          <w:sz w:val="20"/>
          <w:szCs w:val="20"/>
        </w:rPr>
        <w:t>working group</w:t>
      </w:r>
      <w:r>
        <w:rPr>
          <w:rFonts w:ascii="Times New Roman" w:hAnsi="Times New Roman" w:cs="Times New Roman"/>
          <w:sz w:val="20"/>
          <w:szCs w:val="20"/>
        </w:rPr>
        <w:t xml:space="preserve"> were not adopted as this </w:t>
      </w:r>
      <w:r w:rsidRPr="00ED05D6">
        <w:rPr>
          <w:rFonts w:ascii="Times New Roman" w:hAnsi="Times New Roman" w:cs="Times New Roman"/>
          <w:sz w:val="20"/>
          <w:szCs w:val="20"/>
        </w:rPr>
        <w:t>did not add additional value and would be more appropriate to be included in standard EN 12972</w:t>
      </w:r>
      <w:r>
        <w:rPr>
          <w:rFonts w:ascii="Times New Roman" w:hAnsi="Times New Roman" w:cs="Times New Roman"/>
          <w:sz w:val="20"/>
          <w:szCs w:val="20"/>
        </w:rPr>
        <w:t>.</w:t>
      </w:r>
      <w:r w:rsidRPr="00ED05D6">
        <w:rPr>
          <w:rFonts w:ascii="Times New Roman" w:hAnsi="Times New Roman" w:cs="Times New Roman"/>
          <w:sz w:val="20"/>
          <w:szCs w:val="20"/>
        </w:rPr>
        <w:t xml:space="preserve">  </w:t>
      </w:r>
    </w:p>
    <w:p w:rsidR="00E55C68" w:rsidRPr="00ED05D6" w:rsidRDefault="00E55C68" w:rsidP="00110B11">
      <w:pPr>
        <w:spacing w:before="120" w:after="120"/>
        <w:rPr>
          <w:sz w:val="18"/>
          <w:szCs w:val="18"/>
        </w:rPr>
      </w:pPr>
      <w:r w:rsidRPr="00ED05D6">
        <w:tab/>
      </w:r>
      <w:r w:rsidRPr="00ED05D6">
        <w:tab/>
      </w:r>
      <w:r w:rsidRPr="00ED05D6">
        <w:rPr>
          <w:b/>
          <w:sz w:val="22"/>
          <w:szCs w:val="22"/>
        </w:rPr>
        <w:t>Proposal 6:</w:t>
      </w:r>
      <w:r w:rsidRPr="00ED05D6">
        <w:tab/>
        <w:t xml:space="preserve"> </w:t>
      </w:r>
      <w:r w:rsidRPr="001B496E">
        <w:rPr>
          <w:rStyle w:val="SingleTxtGChar"/>
        </w:rPr>
        <w:t>Introduce a new definition and foot note in 1.2.1 to read:</w:t>
      </w:r>
    </w:p>
    <w:p w:rsidR="00E55C68" w:rsidRPr="00110B11" w:rsidRDefault="00E55C68" w:rsidP="00110B11">
      <w:pPr>
        <w:pStyle w:val="SingleTxtG"/>
      </w:pPr>
      <w:r w:rsidRPr="00110B11">
        <w:rPr>
          <w:i/>
        </w:rPr>
        <w:t>“Protective lining”</w:t>
      </w:r>
      <w:r w:rsidRPr="00110B11">
        <w:t xml:space="preserve"> (for tanks) means a lining or coating protecting the metallic tank material against the</w:t>
      </w:r>
      <w:r w:rsidR="00110B11">
        <w:t xml:space="preserve"> </w:t>
      </w:r>
      <w:r w:rsidRPr="00110B11">
        <w:t>substances to be carried.</w:t>
      </w:r>
    </w:p>
    <w:p w:rsidR="00E55C68" w:rsidRPr="00110B11" w:rsidRDefault="00E55C68" w:rsidP="00110B11">
      <w:pPr>
        <w:ind w:right="1134"/>
        <w:rPr>
          <w:i/>
        </w:rPr>
      </w:pPr>
      <w:r w:rsidRPr="00110B11">
        <w:rPr>
          <w:b/>
          <w:i/>
        </w:rPr>
        <w:tab/>
      </w:r>
      <w:r w:rsidRPr="00110B11">
        <w:rPr>
          <w:b/>
          <w:i/>
        </w:rPr>
        <w:tab/>
        <w:t xml:space="preserve">Note: </w:t>
      </w:r>
      <w:r w:rsidRPr="00110B11">
        <w:rPr>
          <w:i/>
        </w:rPr>
        <w:t xml:space="preserve">This definition does not apply to a lining or coating used only to protect the </w:t>
      </w:r>
      <w:r w:rsidR="00110B11">
        <w:rPr>
          <w:i/>
        </w:rPr>
        <w:tab/>
      </w:r>
      <w:r w:rsidR="00110B11">
        <w:rPr>
          <w:i/>
        </w:rPr>
        <w:tab/>
      </w:r>
      <w:r w:rsidR="00110B11">
        <w:rPr>
          <w:i/>
        </w:rPr>
        <w:tab/>
      </w:r>
      <w:r w:rsidRPr="00110B11">
        <w:rPr>
          <w:i/>
        </w:rPr>
        <w:t>substance to be carried.”</w:t>
      </w:r>
    </w:p>
    <w:p w:rsidR="00E55C68" w:rsidRPr="00ED05D6"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b/>
          <w:sz w:val="22"/>
          <w:szCs w:val="22"/>
        </w:rPr>
        <w:t>Proposal 7:</w:t>
      </w:r>
      <w:r w:rsidRPr="00ED05D6">
        <w:rPr>
          <w:rFonts w:ascii="Times New Roman" w:hAnsi="Times New Roman" w:cs="Times New Roman"/>
          <w:sz w:val="20"/>
          <w:szCs w:val="20"/>
        </w:rPr>
        <w:t xml:space="preserve"> Introduce a new transitional measure 1.6.3.xx and 1.6.4.xx to read:</w:t>
      </w:r>
    </w:p>
    <w:p w:rsidR="00E55C68" w:rsidRPr="00ED05D6" w:rsidRDefault="00E55C68" w:rsidP="00E55C68">
      <w:pPr>
        <w:pStyle w:val="Default"/>
        <w:spacing w:before="120" w:after="120"/>
        <w:ind w:left="1134" w:right="1134"/>
        <w:jc w:val="both"/>
        <w:rPr>
          <w:rFonts w:ascii="Times New Roman" w:hAnsi="Times New Roman" w:cs="Times New Roman"/>
          <w:i/>
          <w:sz w:val="20"/>
          <w:szCs w:val="20"/>
        </w:rPr>
      </w:pPr>
      <w:r w:rsidRPr="00ED05D6">
        <w:rPr>
          <w:rFonts w:ascii="Times New Roman" w:hAnsi="Times New Roman" w:cs="Times New Roman"/>
          <w:i/>
          <w:sz w:val="20"/>
          <w:szCs w:val="20"/>
        </w:rPr>
        <w:t>Tank wagons / Fi</w:t>
      </w:r>
      <w:r>
        <w:rPr>
          <w:rFonts w:ascii="Times New Roman" w:hAnsi="Times New Roman" w:cs="Times New Roman"/>
          <w:i/>
          <w:sz w:val="20"/>
          <w:szCs w:val="20"/>
        </w:rPr>
        <w:t>xed tanks and demountable tanks</w:t>
      </w:r>
      <w:r w:rsidRPr="00ED05D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D05D6">
        <w:rPr>
          <w:rFonts w:ascii="Times New Roman" w:hAnsi="Times New Roman" w:cs="Times New Roman"/>
          <w:i/>
          <w:sz w:val="20"/>
          <w:szCs w:val="20"/>
        </w:rPr>
        <w:t>Tank-containers constructed before 1 July 2019 in accordance with the requirements in force up to 31 December 2018, used for the carriage of substances which do not conform to the requirements of 4.3.5 TUyy applicable from 1 January 2019 may continue to be used for the carriage of these substances until 1 January 2023.</w:t>
      </w:r>
    </w:p>
    <w:p w:rsidR="00E55C68" w:rsidRPr="00ED05D6"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b/>
          <w:sz w:val="22"/>
          <w:szCs w:val="22"/>
        </w:rPr>
        <w:t>Proposal 8:</w:t>
      </w:r>
      <w:r w:rsidRPr="00ED05D6">
        <w:rPr>
          <w:rFonts w:ascii="Times New Roman" w:hAnsi="Times New Roman" w:cs="Times New Roman"/>
          <w:sz w:val="20"/>
          <w:szCs w:val="20"/>
        </w:rPr>
        <w:t xml:space="preserve"> Introduce a new special provision in 4.3.5 of RID/ADR to read:</w:t>
      </w:r>
    </w:p>
    <w:p w:rsidR="00E55C68" w:rsidRPr="00ED05D6" w:rsidRDefault="00E55C68" w:rsidP="00110B11">
      <w:pPr>
        <w:pStyle w:val="SingleTxtG"/>
      </w:pPr>
      <w:r w:rsidRPr="00ED05D6">
        <w:t>“TUyy</w:t>
      </w:r>
      <w:r w:rsidRPr="00ED05D6">
        <w:tab/>
      </w:r>
      <w:r w:rsidR="00110B11">
        <w:t xml:space="preserve"> </w:t>
      </w:r>
      <w:r w:rsidRPr="00ED05D6">
        <w:t>Tanks with a shell constructed of  aluminium alloy, including those with a protective lining, shall only be used if the pH value of the substance is  not less than  5.0 and not more than  8.0”</w:t>
      </w:r>
    </w:p>
    <w:p w:rsidR="00E55C68" w:rsidRPr="00ED05D6"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b/>
          <w:sz w:val="22"/>
          <w:szCs w:val="22"/>
        </w:rPr>
        <w:t>Proposal 9:</w:t>
      </w:r>
      <w:r w:rsidRPr="00ED05D6">
        <w:rPr>
          <w:rFonts w:ascii="Times New Roman" w:hAnsi="Times New Roman" w:cs="Times New Roman"/>
          <w:sz w:val="20"/>
          <w:szCs w:val="20"/>
        </w:rPr>
        <w:t xml:space="preserve"> Introduce a special provision TUyy in column 13 of Table A of 3.2.1 of RID/ADR for: </w:t>
      </w:r>
    </w:p>
    <w:p w:rsidR="00E55C68" w:rsidRPr="00ED05D6" w:rsidRDefault="00E55C68" w:rsidP="00E55C68">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 xml:space="preserve">UN1755 PG II and PG III, UN1778 PG II, UN1779 PG II, UN 1788 PG II and PG III, UN1789 PG II and PG III, UN 1791 PGII and PG III, UN 1803PG II, UN 1805 PG III, UN </w:t>
      </w:r>
      <w:r w:rsidRPr="00ED05D6">
        <w:rPr>
          <w:rFonts w:ascii="Times New Roman" w:hAnsi="Times New Roman" w:cs="Times New Roman"/>
          <w:sz w:val="20"/>
          <w:szCs w:val="20"/>
        </w:rPr>
        <w:lastRenderedPageBreak/>
        <w:t>1814PG II and PG III, UN 1819 PG II and PG III,  UN1824 PG II and PG III, UN 1830 PG II, UN 1832 PG II, UN 1840 PGIII, UN 1906 PG II, UN 2031 PG II, UN 2581 PG III, UN 2582 PG III, UN2586 PG III, UN2693 PG III, UN2796 PG II, UN3264 PG II and PG III</w:t>
      </w:r>
    </w:p>
    <w:p w:rsidR="00E55C68" w:rsidRPr="00ED05D6" w:rsidRDefault="00E55C68" w:rsidP="00E55C68">
      <w:pPr>
        <w:pStyle w:val="Default"/>
        <w:spacing w:before="120" w:after="120"/>
        <w:ind w:left="1134" w:right="1134"/>
        <w:jc w:val="both"/>
        <w:rPr>
          <w:sz w:val="18"/>
          <w:szCs w:val="18"/>
        </w:rPr>
      </w:pPr>
      <w:r w:rsidRPr="00ED05D6">
        <w:rPr>
          <w:rFonts w:ascii="Times New Roman" w:hAnsi="Times New Roman" w:cs="Times New Roman"/>
          <w:b/>
          <w:sz w:val="22"/>
          <w:szCs w:val="22"/>
        </w:rPr>
        <w:t xml:space="preserve">Proposal 10: </w:t>
      </w:r>
      <w:r w:rsidRPr="00ED05D6">
        <w:rPr>
          <w:rFonts w:ascii="Times New Roman" w:hAnsi="Times New Roman" w:cs="Times New Roman"/>
          <w:sz w:val="20"/>
          <w:szCs w:val="20"/>
        </w:rPr>
        <w:t>Amend the first paragraph of 6.8.2.1.9 to read (new wording in italic script)</w:t>
      </w:r>
      <w:r>
        <w:rPr>
          <w:rFonts w:ascii="Times New Roman" w:hAnsi="Times New Roman" w:cs="Times New Roman"/>
          <w:sz w:val="20"/>
          <w:szCs w:val="20"/>
        </w:rPr>
        <w:t xml:space="preserve"> (only relevant for the English version)</w:t>
      </w:r>
      <w:r w:rsidRPr="00ED05D6">
        <w:rPr>
          <w:rFonts w:ascii="Times New Roman" w:hAnsi="Times New Roman" w:cs="Times New Roman"/>
          <w:sz w:val="20"/>
          <w:szCs w:val="20"/>
        </w:rPr>
        <w:t>:</w:t>
      </w:r>
    </w:p>
    <w:p w:rsidR="00E55C68" w:rsidRPr="00ED05D6" w:rsidRDefault="00E55C68" w:rsidP="00110B11">
      <w:pPr>
        <w:pStyle w:val="SingleTxtG"/>
      </w:pPr>
      <w:r w:rsidRPr="00ED05D6">
        <w:t>The materials of shells or of their protective linings, which are in contact</w:t>
      </w:r>
      <w:r w:rsidR="00110B11">
        <w:t xml:space="preserve"> with the contents, shall not </w:t>
      </w:r>
      <w:r w:rsidRPr="00ED05D6">
        <w:t>contain substances liable to react dangerously (see "Dangerous reaction" in</w:t>
      </w:r>
      <w:r w:rsidR="00110B11">
        <w:t xml:space="preserve"> 1.2.1) with the contents, to </w:t>
      </w:r>
      <w:r w:rsidR="00110B11">
        <w:tab/>
      </w:r>
      <w:r w:rsidRPr="00ED05D6">
        <w:t xml:space="preserve">form dangerous compounds, </w:t>
      </w:r>
      <w:r w:rsidRPr="005B7138">
        <w:t>or</w:t>
      </w:r>
      <w:r w:rsidRPr="005B7138">
        <w:rPr>
          <w:strike/>
        </w:rPr>
        <w:t xml:space="preserve"> substantially</w:t>
      </w:r>
      <w:r>
        <w:t xml:space="preserve"> </w:t>
      </w:r>
      <w:r w:rsidRPr="00ED05D6">
        <w:rPr>
          <w:i/>
        </w:rPr>
        <w:t>appreciably</w:t>
      </w:r>
      <w:r w:rsidRPr="00ED05D6">
        <w:t xml:space="preserve"> weaken </w:t>
      </w:r>
      <w:r w:rsidRPr="005B7138">
        <w:t>the</w:t>
      </w:r>
      <w:r w:rsidRPr="00ED05D6">
        <w:t xml:space="preserve"> material</w:t>
      </w:r>
      <w:r w:rsidRPr="00ED05D6">
        <w:rPr>
          <w:i/>
        </w:rPr>
        <w:t>s</w:t>
      </w:r>
      <w:r w:rsidRPr="00ED05D6">
        <w:t>.</w:t>
      </w:r>
    </w:p>
    <w:p w:rsidR="00E55C68" w:rsidRPr="00ED05D6" w:rsidRDefault="00E55C68" w:rsidP="00E55C68">
      <w:pPr>
        <w:pStyle w:val="Default"/>
        <w:spacing w:before="120" w:after="120"/>
        <w:ind w:left="1134" w:right="1134"/>
        <w:jc w:val="both"/>
        <w:rPr>
          <w:rFonts w:ascii="Times New Roman" w:hAnsi="Times New Roman" w:cs="Times New Roman"/>
          <w:b/>
          <w:sz w:val="22"/>
          <w:szCs w:val="22"/>
        </w:rPr>
      </w:pPr>
      <w:r w:rsidRPr="00ED05D6">
        <w:rPr>
          <w:rFonts w:ascii="Times New Roman" w:hAnsi="Times New Roman" w:cs="Times New Roman"/>
          <w:b/>
          <w:sz w:val="22"/>
          <w:szCs w:val="22"/>
        </w:rPr>
        <w:t>Proposal 11:</w:t>
      </w:r>
    </w:p>
    <w:p w:rsidR="00E55C68" w:rsidRPr="00ED05D6" w:rsidRDefault="00E55C68" w:rsidP="00E55C68">
      <w:pPr>
        <w:pStyle w:val="Default"/>
        <w:spacing w:before="120" w:after="120"/>
        <w:ind w:left="1134" w:right="1134"/>
        <w:jc w:val="both"/>
        <w:rPr>
          <w:rFonts w:ascii="Times New Roman" w:hAnsi="Times New Roman" w:cs="Times New Roman"/>
          <w:b/>
          <w:sz w:val="22"/>
          <w:szCs w:val="22"/>
        </w:rPr>
      </w:pPr>
      <w:r w:rsidRPr="00ED05D6">
        <w:rPr>
          <w:rFonts w:ascii="Times New Roman" w:hAnsi="Times New Roman" w:cs="Times New Roman"/>
          <w:sz w:val="20"/>
          <w:szCs w:val="20"/>
        </w:rPr>
        <w:t>Replace the wording “</w:t>
      </w:r>
      <w:r w:rsidRPr="00FD7291">
        <w:rPr>
          <w:rFonts w:ascii="Times New Roman" w:hAnsi="Times New Roman" w:cs="Times New Roman"/>
          <w:sz w:val="20"/>
          <w:szCs w:val="20"/>
        </w:rPr>
        <w:t>an ebonite or thermoplastic coating</w:t>
      </w:r>
      <w:r>
        <w:rPr>
          <w:rFonts w:ascii="Times New Roman" w:hAnsi="Times New Roman" w:cs="Times New Roman"/>
          <w:sz w:val="20"/>
          <w:szCs w:val="20"/>
        </w:rPr>
        <w:t xml:space="preserve">“ </w:t>
      </w:r>
      <w:r w:rsidRPr="00ED05D6">
        <w:rPr>
          <w:rFonts w:ascii="Times New Roman" w:hAnsi="Times New Roman" w:cs="Times New Roman"/>
          <w:sz w:val="20"/>
          <w:szCs w:val="20"/>
        </w:rPr>
        <w:t>by</w:t>
      </w:r>
      <w:r>
        <w:rPr>
          <w:rFonts w:ascii="Times New Roman" w:hAnsi="Times New Roman" w:cs="Times New Roman"/>
          <w:sz w:val="20"/>
          <w:szCs w:val="20"/>
        </w:rPr>
        <w:t xml:space="preserve"> ”</w:t>
      </w:r>
      <w:r w:rsidRPr="00ED05D6">
        <w:rPr>
          <w:rFonts w:ascii="Times New Roman" w:hAnsi="Times New Roman" w:cs="Times New Roman"/>
          <w:sz w:val="20"/>
          <w:szCs w:val="20"/>
        </w:rPr>
        <w:t xml:space="preserve"> </w:t>
      </w:r>
      <w:r w:rsidRPr="00ED05D6">
        <w:rPr>
          <w:rFonts w:ascii="Times New Roman" w:hAnsi="Times New Roman" w:cs="Times New Roman"/>
          <w:i/>
          <w:sz w:val="20"/>
          <w:szCs w:val="20"/>
        </w:rPr>
        <w:t>a protective lining</w:t>
      </w:r>
      <w:r>
        <w:rPr>
          <w:rFonts w:ascii="Times New Roman" w:hAnsi="Times New Roman" w:cs="Times New Roman"/>
          <w:i/>
          <w:sz w:val="20"/>
          <w:szCs w:val="20"/>
        </w:rPr>
        <w:t>”</w:t>
      </w:r>
      <w:r w:rsidRPr="00ED05D6">
        <w:rPr>
          <w:rFonts w:ascii="Times New Roman" w:hAnsi="Times New Roman" w:cs="Times New Roman"/>
          <w:sz w:val="20"/>
          <w:szCs w:val="20"/>
        </w:rPr>
        <w:t xml:space="preserve"> after the second set of indents of 6.8.2.2.2.</w:t>
      </w:r>
    </w:p>
    <w:p w:rsidR="00E55C68" w:rsidRPr="00ED05D6" w:rsidRDefault="00E55C68" w:rsidP="00E55C68">
      <w:pPr>
        <w:pStyle w:val="Default"/>
        <w:spacing w:before="120" w:after="120"/>
        <w:ind w:left="1134" w:right="1134"/>
        <w:jc w:val="both"/>
        <w:rPr>
          <w:sz w:val="18"/>
          <w:szCs w:val="18"/>
        </w:rPr>
      </w:pPr>
      <w:r w:rsidRPr="00ED05D6">
        <w:rPr>
          <w:rFonts w:ascii="Times New Roman" w:hAnsi="Times New Roman" w:cs="Times New Roman"/>
          <w:b/>
          <w:sz w:val="22"/>
          <w:szCs w:val="22"/>
        </w:rPr>
        <w:t>Proposal 12</w:t>
      </w:r>
      <w:r w:rsidRPr="00ED05D6">
        <w:rPr>
          <w:rFonts w:ascii="Times New Roman" w:hAnsi="Times New Roman" w:cs="Times New Roman"/>
          <w:b/>
          <w:sz w:val="20"/>
          <w:szCs w:val="20"/>
        </w:rPr>
        <w:t>:</w:t>
      </w:r>
      <w:r w:rsidRPr="00ED05D6">
        <w:rPr>
          <w:rFonts w:ascii="Times New Roman" w:hAnsi="Times New Roman" w:cs="Times New Roman"/>
          <w:sz w:val="20"/>
          <w:szCs w:val="20"/>
        </w:rPr>
        <w:t xml:space="preserve"> Introduce a new paragraph at the end of 6.8.2.4.2 and 6.8.2.4.3 to read:</w:t>
      </w:r>
    </w:p>
    <w:p w:rsidR="00E55C68" w:rsidRPr="00110B11" w:rsidRDefault="00E55C68" w:rsidP="00110B11">
      <w:pPr>
        <w:pStyle w:val="SingleTxtG"/>
        <w:rPr>
          <w:i/>
        </w:rPr>
      </w:pPr>
      <w:r w:rsidRPr="00110B11">
        <w:rPr>
          <w:i/>
        </w:rPr>
        <w:t>Protective linings shall be visually examined for defects. In case defects appea</w:t>
      </w:r>
      <w:r w:rsidR="00110B11" w:rsidRPr="00110B11">
        <w:rPr>
          <w:i/>
        </w:rPr>
        <w:t xml:space="preserve">r the condition of the lining </w:t>
      </w:r>
      <w:r w:rsidRPr="00110B11">
        <w:rPr>
          <w:i/>
        </w:rPr>
        <w:t>shall be evaluated by appropriate test(s).</w:t>
      </w:r>
    </w:p>
    <w:p w:rsidR="00E55C68" w:rsidRPr="00ED05D6" w:rsidRDefault="00E55C68" w:rsidP="00E55C68">
      <w:pPr>
        <w:pStyle w:val="SingleTxtG"/>
        <w:rPr>
          <w:b/>
        </w:rPr>
      </w:pPr>
      <w:r w:rsidRPr="00ED05D6">
        <w:rPr>
          <w:b/>
          <w:bCs/>
        </w:rPr>
        <w:t xml:space="preserve">Item 7: </w:t>
      </w:r>
      <w:r w:rsidRPr="00ED05D6">
        <w:rPr>
          <w:b/>
        </w:rPr>
        <w:t>ECE/TRANS/WP.15/AC.1/2016/36 (CEN</w:t>
      </w:r>
      <w:r w:rsidRPr="00ED05D6">
        <w:rPr>
          <w:b/>
          <w:bCs/>
        </w:rPr>
        <w:t>) – Request for clarification on the meaning of “in special cas</w:t>
      </w:r>
      <w:r w:rsidR="00BF46C2">
        <w:rPr>
          <w:b/>
          <w:bCs/>
        </w:rPr>
        <w:t>es” in footnote 10 of 6.8.2.4.1</w:t>
      </w:r>
    </w:p>
    <w:p w:rsidR="00E55C68" w:rsidRPr="00ED05D6" w:rsidRDefault="00E55C68" w:rsidP="00E55C68">
      <w:pPr>
        <w:spacing w:before="120" w:after="120"/>
        <w:ind w:left="1134" w:right="1134"/>
        <w:jc w:val="both"/>
      </w:pPr>
      <w:r w:rsidRPr="00ED05D6">
        <w:t>2</w:t>
      </w:r>
      <w:r>
        <w:t>5</w:t>
      </w:r>
      <w:r w:rsidRPr="00ED05D6">
        <w:t>.</w:t>
      </w:r>
      <w:r w:rsidRPr="00ED05D6">
        <w:tab/>
        <w:t xml:space="preserve">The </w:t>
      </w:r>
      <w:r w:rsidR="00BF46C2">
        <w:t>W</w:t>
      </w:r>
      <w:r w:rsidRPr="00ED05D6">
        <w:t>orki</w:t>
      </w:r>
      <w:r>
        <w:t xml:space="preserve">ng </w:t>
      </w:r>
      <w:r w:rsidR="00BF46C2">
        <w:t>G</w:t>
      </w:r>
      <w:r>
        <w:t>roup considered the request</w:t>
      </w:r>
      <w:r w:rsidRPr="00ED05D6">
        <w:t xml:space="preserve"> by CEN/TC 296/WG5, but was not able to determine definitively what is legally meant by “special cases”.</w:t>
      </w:r>
    </w:p>
    <w:p w:rsidR="00E55C68" w:rsidRPr="002F08A1" w:rsidRDefault="00E55C68" w:rsidP="00E55C68">
      <w:pPr>
        <w:spacing w:before="120" w:after="120"/>
        <w:ind w:left="1134" w:right="1134"/>
        <w:jc w:val="both"/>
      </w:pPr>
      <w:r w:rsidRPr="00ED05D6">
        <w:t>2</w:t>
      </w:r>
      <w:r>
        <w:t>6</w:t>
      </w:r>
      <w:r w:rsidRPr="00ED05D6">
        <w:t>.</w:t>
      </w:r>
      <w:r w:rsidRPr="00ED05D6">
        <w:tab/>
      </w:r>
      <w:r w:rsidRPr="002F08A1">
        <w:t xml:space="preserve">Looking back, it appeared that the term “special cases” was introduced in ADR in the 1970s to allow the hydraulic pressure test with water to be replaced with a pressure test using another liquid or gas with the agreement of the competent authority. </w:t>
      </w:r>
      <w:r w:rsidRPr="00ED05D6">
        <w:t>Previously</w:t>
      </w:r>
      <w:r w:rsidRPr="002F08A1">
        <w:t>, for some types of tanks, a tightness test was prescribed instead of the hydraulic pressure test.</w:t>
      </w:r>
    </w:p>
    <w:p w:rsidR="00E55C68" w:rsidRPr="002F08A1" w:rsidRDefault="00E55C68" w:rsidP="00E55C68">
      <w:pPr>
        <w:spacing w:before="120" w:after="120"/>
        <w:ind w:left="1134" w:right="1134"/>
        <w:jc w:val="both"/>
      </w:pPr>
      <w:r>
        <w:t>27</w:t>
      </w:r>
      <w:r w:rsidRPr="00ED05D6">
        <w:t>.</w:t>
      </w:r>
      <w:r w:rsidRPr="00ED05D6">
        <w:tab/>
      </w:r>
      <w:r w:rsidRPr="002F08A1">
        <w:t xml:space="preserve">Recalling the report of the previous session, the </w:t>
      </w:r>
      <w:r w:rsidR="00BF46C2">
        <w:t>W</w:t>
      </w:r>
      <w:r w:rsidRPr="002F08A1">
        <w:t xml:space="preserve">orking </w:t>
      </w:r>
      <w:r w:rsidR="00BF46C2">
        <w:t>G</w:t>
      </w:r>
      <w:r w:rsidRPr="002F08A1">
        <w:t>roup was pleased to note that CEN/TC 296/WG5 ha</w:t>
      </w:r>
      <w:r w:rsidR="001B496E">
        <w:t>d</w:t>
      </w:r>
      <w:r w:rsidRPr="002F08A1">
        <w:t xml:space="preserve"> initiated a new work item to develop a specific standard concerning testing with a gas for use at the discretion of the competent authority. It was suggested that the good experience with gas in the </w:t>
      </w:r>
      <w:r w:rsidR="00BF46C2">
        <w:t>United Kingdom</w:t>
      </w:r>
      <w:r w:rsidRPr="002F08A1">
        <w:t xml:space="preserve"> and the Netherlands could be used as a basis for this work.   </w:t>
      </w:r>
    </w:p>
    <w:p w:rsidR="00E55C68" w:rsidRPr="00ED05D6" w:rsidRDefault="00E55C68" w:rsidP="00E55C68">
      <w:pPr>
        <w:spacing w:before="120" w:after="120"/>
        <w:ind w:left="1134" w:right="1133"/>
        <w:jc w:val="both"/>
        <w:rPr>
          <w:b/>
        </w:rPr>
      </w:pPr>
      <w:r w:rsidRPr="00ED05D6">
        <w:rPr>
          <w:b/>
        </w:rPr>
        <w:t>Item 8: ECE/TRANS/WP.15/AC.1/2016/37 (France) – Transport of tanks for Bromine after the validity of the annual inspection, INF 16 (</w:t>
      </w:r>
      <w:r w:rsidR="00110B11">
        <w:rPr>
          <w:b/>
        </w:rPr>
        <w:t>United Kingdom</w:t>
      </w:r>
      <w:r w:rsidRPr="00ED05D6">
        <w:rPr>
          <w:b/>
        </w:rPr>
        <w:t>) and INF 31 (</w:t>
      </w:r>
      <w:r w:rsidR="00BF46C2">
        <w:rPr>
          <w:b/>
        </w:rPr>
        <w:t>United States of America</w:t>
      </w:r>
      <w:r w:rsidR="00110B11">
        <w:rPr>
          <w:b/>
        </w:rPr>
        <w:t>)</w:t>
      </w:r>
    </w:p>
    <w:p w:rsidR="00E55C68" w:rsidRPr="00ED05D6" w:rsidRDefault="00E55C68" w:rsidP="00E55C68">
      <w:pPr>
        <w:spacing w:before="120" w:after="120"/>
        <w:ind w:left="1134" w:right="1133"/>
        <w:jc w:val="both"/>
      </w:pPr>
      <w:r>
        <w:t>28</w:t>
      </w:r>
      <w:r w:rsidRPr="00ED05D6">
        <w:t>.</w:t>
      </w:r>
      <w:r w:rsidRPr="00ED05D6">
        <w:tab/>
      </w:r>
      <w:r>
        <w:t>T</w:t>
      </w:r>
      <w:r w:rsidRPr="00ED05D6">
        <w:t xml:space="preserve">he </w:t>
      </w:r>
      <w:r w:rsidR="00BF46C2">
        <w:t>W</w:t>
      </w:r>
      <w:r>
        <w:t xml:space="preserve">orking </w:t>
      </w:r>
      <w:r w:rsidR="00BF46C2">
        <w:t>G</w:t>
      </w:r>
      <w:r>
        <w:t xml:space="preserve">roup confirmed that the </w:t>
      </w:r>
      <w:r w:rsidRPr="00ED05D6">
        <w:t xml:space="preserve">possibility to carry a tank after the expiry date of the </w:t>
      </w:r>
      <w:r>
        <w:t xml:space="preserve">inspection </w:t>
      </w:r>
      <w:r w:rsidRPr="00ED05D6">
        <w:t>did not apply to the annual inspection of the lining prescribed in special provision TT2 of 6.8.4.</w:t>
      </w:r>
    </w:p>
    <w:p w:rsidR="00E55C68" w:rsidRPr="00ED05D6" w:rsidRDefault="00E55C68" w:rsidP="00E55C68">
      <w:pPr>
        <w:spacing w:before="120" w:after="120"/>
        <w:ind w:left="1134" w:right="1133"/>
        <w:jc w:val="both"/>
      </w:pPr>
      <w:r>
        <w:t>29</w:t>
      </w:r>
      <w:r w:rsidRPr="00ED05D6">
        <w:t>.</w:t>
      </w:r>
      <w:r w:rsidRPr="00ED05D6">
        <w:tab/>
      </w:r>
      <w:r>
        <w:t>To amend the regulations t</w:t>
      </w:r>
      <w:r w:rsidRPr="00ED05D6">
        <w:t xml:space="preserve">he </w:t>
      </w:r>
      <w:r w:rsidR="00BF46C2">
        <w:t>W</w:t>
      </w:r>
      <w:r w:rsidRPr="00ED05D6">
        <w:t xml:space="preserve">orking </w:t>
      </w:r>
      <w:r w:rsidR="00BF46C2">
        <w:t>G</w:t>
      </w:r>
      <w:r w:rsidRPr="00ED05D6">
        <w:t>roup expressed support for the proposal in INF</w:t>
      </w:r>
      <w:r w:rsidR="00110B11">
        <w:t>.</w:t>
      </w:r>
      <w:r w:rsidRPr="00ED05D6">
        <w:t xml:space="preserve">31 by the </w:t>
      </w:r>
      <w:r w:rsidR="00BF46C2">
        <w:t>United States of America</w:t>
      </w:r>
      <w:r w:rsidR="00110B11">
        <w:t xml:space="preserve">. </w:t>
      </w:r>
      <w:r>
        <w:t xml:space="preserve">Once this issue had been resolved for portable tanks there may be a need to address it for RID/ADR tanks. </w:t>
      </w:r>
    </w:p>
    <w:p w:rsidR="00E55C68" w:rsidRPr="00ED05D6" w:rsidRDefault="00E55C68" w:rsidP="00E55C68">
      <w:pPr>
        <w:spacing w:before="120" w:after="120"/>
        <w:ind w:left="1134" w:right="1133"/>
        <w:jc w:val="both"/>
        <w:rPr>
          <w:b/>
        </w:rPr>
      </w:pPr>
      <w:r w:rsidRPr="00ED05D6">
        <w:rPr>
          <w:b/>
        </w:rPr>
        <w:t>Item 9: INF</w:t>
      </w:r>
      <w:r w:rsidR="00110B11">
        <w:rPr>
          <w:b/>
        </w:rPr>
        <w:t>.</w:t>
      </w:r>
      <w:r w:rsidRPr="00ED05D6">
        <w:rPr>
          <w:b/>
        </w:rPr>
        <w:t>6 (Russian Federation) - Proposal for the amendment to Chapter 4.3, Item 4.3.4.1.3 of the RID/ADR and INF</w:t>
      </w:r>
      <w:r w:rsidR="00110B11">
        <w:rPr>
          <w:b/>
        </w:rPr>
        <w:t>.</w:t>
      </w:r>
      <w:r w:rsidRPr="00ED05D6">
        <w:rPr>
          <w:b/>
        </w:rPr>
        <w:t>19 (</w:t>
      </w:r>
      <w:r w:rsidR="00BF46C2">
        <w:rPr>
          <w:b/>
        </w:rPr>
        <w:t>United Kingdom</w:t>
      </w:r>
      <w:r w:rsidR="00110B11">
        <w:rPr>
          <w:b/>
        </w:rPr>
        <w:t>)</w:t>
      </w:r>
      <w:r w:rsidRPr="00ED05D6">
        <w:rPr>
          <w:b/>
        </w:rPr>
        <w:t xml:space="preserve"> </w:t>
      </w:r>
    </w:p>
    <w:p w:rsidR="00E55C68" w:rsidRPr="00ED05D6" w:rsidRDefault="00E55C68" w:rsidP="00E55C68">
      <w:pPr>
        <w:pStyle w:val="SingleTxtG"/>
        <w:spacing w:before="120"/>
      </w:pPr>
      <w:r w:rsidRPr="00ED05D6">
        <w:t>3</w:t>
      </w:r>
      <w:r>
        <w:t>0</w:t>
      </w:r>
      <w:r w:rsidRPr="00ED05D6">
        <w:t>.</w:t>
      </w:r>
      <w:r w:rsidRPr="00ED05D6">
        <w:tab/>
        <w:t xml:space="preserve">The </w:t>
      </w:r>
      <w:r w:rsidR="00BF46C2">
        <w:t>W</w:t>
      </w:r>
      <w:r w:rsidRPr="00ED05D6">
        <w:t xml:space="preserve">orking </w:t>
      </w:r>
      <w:r w:rsidR="00BF46C2">
        <w:t>G</w:t>
      </w:r>
      <w:r w:rsidRPr="00ED05D6">
        <w:t>roup agreed with the proposal by the Russian Federation to give the information in 4.3.4.1.3 in a tabular form as modified by the proposal in INF</w:t>
      </w:r>
      <w:r w:rsidR="00BF46C2">
        <w:t>.</w:t>
      </w:r>
      <w:r w:rsidRPr="00ED05D6">
        <w:t xml:space="preserve">19 of the </w:t>
      </w:r>
      <w:r w:rsidR="00BF46C2">
        <w:t>United Kingdom</w:t>
      </w:r>
      <w:r w:rsidRPr="00ED05D6">
        <w:t>.</w:t>
      </w:r>
    </w:p>
    <w:p w:rsidR="00E55C68" w:rsidRPr="00ED05D6" w:rsidRDefault="00E55C68" w:rsidP="00E55C68">
      <w:pPr>
        <w:pStyle w:val="SingleTxtG"/>
        <w:spacing w:before="120"/>
      </w:pPr>
      <w:r w:rsidRPr="00ED05D6">
        <w:t>3</w:t>
      </w:r>
      <w:r>
        <w:t>1</w:t>
      </w:r>
      <w:r w:rsidRPr="00ED05D6">
        <w:t>.</w:t>
      </w:r>
      <w:r w:rsidRPr="00ED05D6">
        <w:tab/>
        <w:t xml:space="preserve">The </w:t>
      </w:r>
      <w:r w:rsidR="00BF46C2">
        <w:t>S</w:t>
      </w:r>
      <w:r w:rsidRPr="00ED05D6">
        <w:t xml:space="preserve">ecretariat is requested to complete the tables as appropriate for RID and ADR. </w:t>
      </w:r>
    </w:p>
    <w:p w:rsidR="00E55C68" w:rsidRPr="00ED05D6" w:rsidRDefault="00E55C68" w:rsidP="00E55C68">
      <w:pPr>
        <w:pStyle w:val="H1G"/>
        <w:rPr>
          <w:b w:val="0"/>
          <w:sz w:val="20"/>
        </w:rPr>
      </w:pPr>
      <w:r w:rsidRPr="00ED05D6">
        <w:lastRenderedPageBreak/>
        <w:tab/>
      </w:r>
      <w:r w:rsidRPr="00ED05D6">
        <w:tab/>
      </w:r>
      <w:r w:rsidRPr="00ED05D6">
        <w:rPr>
          <w:sz w:val="20"/>
        </w:rPr>
        <w:t>Item 10: INF</w:t>
      </w:r>
      <w:r w:rsidR="00110B11">
        <w:rPr>
          <w:sz w:val="20"/>
        </w:rPr>
        <w:t>.</w:t>
      </w:r>
      <w:r w:rsidRPr="00ED05D6">
        <w:rPr>
          <w:sz w:val="20"/>
        </w:rPr>
        <w:t>21 (Germany) - Information about dangerous goods us</w:t>
      </w:r>
      <w:r w:rsidR="00110B11">
        <w:rPr>
          <w:sz w:val="20"/>
        </w:rPr>
        <w:t>ed for cooling tanks or MEGCs</w:t>
      </w:r>
    </w:p>
    <w:p w:rsidR="00E55C68" w:rsidRPr="00ED05D6" w:rsidRDefault="00E55C68" w:rsidP="00E55C68">
      <w:pPr>
        <w:pStyle w:val="SingleTxtG"/>
      </w:pPr>
      <w:r w:rsidRPr="00ED05D6">
        <w:t>3</w:t>
      </w:r>
      <w:r>
        <w:t>2</w:t>
      </w:r>
      <w:r w:rsidRPr="00ED05D6">
        <w:t>.</w:t>
      </w:r>
      <w:r w:rsidRPr="00ED05D6">
        <w:tab/>
        <w:t xml:space="preserve">It was confirmed that </w:t>
      </w:r>
      <w:r w:rsidR="00BF46C2">
        <w:t>there are no requirements</w:t>
      </w:r>
      <w:r w:rsidRPr="00ED05D6">
        <w:t xml:space="preserve"> on marking of the cooling substance in RID/ADR. EIGA mentioned that all tanks are voluntary marked to warn </w:t>
      </w:r>
      <w:r>
        <w:t>o</w:t>
      </w:r>
      <w:r w:rsidRPr="00ED05D6">
        <w:t xml:space="preserve">f the permanent release of nitrogen during carriage. Because of stowage regulations for sea transport </w:t>
      </w:r>
      <w:r w:rsidRPr="003F6D49">
        <w:t>(stowage category “D”)</w:t>
      </w:r>
      <w:r w:rsidRPr="00ED05D6">
        <w:t xml:space="preserve"> these tanks can be placed only on deck where ventilation is no problem. Portable tanks will on the rail and road only be carried </w:t>
      </w:r>
      <w:r>
        <w:t>o</w:t>
      </w:r>
      <w:r w:rsidRPr="00ED05D6">
        <w:t xml:space="preserve">n container vehicles so that no ventilation problems are to be expected. No expertise was available in the </w:t>
      </w:r>
      <w:r w:rsidR="00BF46C2">
        <w:t>G</w:t>
      </w:r>
      <w:r w:rsidRPr="00ED05D6">
        <w:t>roup to answer if the stowage requirement for sea transport also applied for carriage on inland waterways.</w:t>
      </w:r>
    </w:p>
    <w:p w:rsidR="00E55C68" w:rsidRPr="00ED05D6" w:rsidRDefault="00BF46C2" w:rsidP="00E55C68">
      <w:pPr>
        <w:pStyle w:val="SingleTxtG"/>
      </w:pPr>
      <w:r>
        <w:rPr>
          <w:b/>
        </w:rPr>
        <w:t>Item 11: INF.</w:t>
      </w:r>
      <w:r w:rsidR="00E55C68" w:rsidRPr="00ED05D6">
        <w:rPr>
          <w:b/>
        </w:rPr>
        <w:t>23 (Germany) – Interpretation of the</w:t>
      </w:r>
      <w:r w:rsidR="00E55C68">
        <w:rPr>
          <w:b/>
        </w:rPr>
        <w:t xml:space="preserve"> diameter in 6.8.2.1</w:t>
      </w:r>
      <w:r w:rsidR="00E55C68" w:rsidRPr="00ED05D6">
        <w:rPr>
          <w:b/>
        </w:rPr>
        <w:t>8 and 6.8.2.1.19 of RID/ADR</w:t>
      </w:r>
    </w:p>
    <w:p w:rsidR="00E55C68" w:rsidRPr="00ED05D6" w:rsidRDefault="00E55C68" w:rsidP="00E55C68">
      <w:pPr>
        <w:pStyle w:val="SingleTxtG"/>
      </w:pPr>
      <w:r w:rsidRPr="00ED05D6">
        <w:t>3</w:t>
      </w:r>
      <w:r>
        <w:t>3</w:t>
      </w:r>
      <w:r w:rsidRPr="00ED05D6">
        <w:t>.</w:t>
      </w:r>
      <w:r w:rsidRPr="00ED05D6">
        <w:tab/>
        <w:t xml:space="preserve">Concerning the question by Germany </w:t>
      </w:r>
      <w:r w:rsidR="00BF46C2">
        <w:t>whether</w:t>
      </w:r>
      <w:r w:rsidRPr="00ED05D6">
        <w:t xml:space="preserve"> the diameter intended in 6.8.2.1.18 and 6.8.2.1.19 was the internal or external diameter, the </w:t>
      </w:r>
      <w:r w:rsidR="00BF46C2">
        <w:t>G</w:t>
      </w:r>
      <w:r w:rsidRPr="00ED05D6">
        <w:t xml:space="preserve">roup was of the opinion that the internal diameter was meant in line </w:t>
      </w:r>
      <w:r>
        <w:t xml:space="preserve">with </w:t>
      </w:r>
      <w:r w:rsidRPr="00ED05D6">
        <w:t xml:space="preserve">6.8.2.1.17. </w:t>
      </w:r>
    </w:p>
    <w:p w:rsidR="00E55C68" w:rsidRPr="00ED05D6" w:rsidRDefault="00BF46C2" w:rsidP="00E55C68">
      <w:pPr>
        <w:pStyle w:val="SingleTxtG"/>
        <w:rPr>
          <w:b/>
        </w:rPr>
      </w:pPr>
      <w:r>
        <w:rPr>
          <w:b/>
        </w:rPr>
        <w:t>Item 12: INF.</w:t>
      </w:r>
      <w:r w:rsidR="00E55C68" w:rsidRPr="00ED05D6">
        <w:rPr>
          <w:b/>
        </w:rPr>
        <w:t xml:space="preserve">28 (Portugal) – Particulars prescribed on tank plates. </w:t>
      </w:r>
    </w:p>
    <w:p w:rsidR="00E55C68" w:rsidRPr="00ED05D6" w:rsidRDefault="00E55C68" w:rsidP="00E55C68">
      <w:pPr>
        <w:pStyle w:val="SingleTxtG"/>
      </w:pPr>
      <w:r w:rsidRPr="00ED05D6">
        <w:t>3</w:t>
      </w:r>
      <w:r>
        <w:t>4</w:t>
      </w:r>
      <w:r w:rsidRPr="00ED05D6">
        <w:t>.</w:t>
      </w:r>
      <w:r w:rsidRPr="00ED05D6">
        <w:tab/>
        <w:t xml:space="preserve">The reading of the regulation by Portugal was confirmed by the </w:t>
      </w:r>
      <w:r w:rsidR="00BF46C2">
        <w:t>G</w:t>
      </w:r>
      <w:r w:rsidRPr="00ED05D6">
        <w:t xml:space="preserve">roup. It was questioned </w:t>
      </w:r>
      <w:r w:rsidR="00BF46C2">
        <w:t>whether</w:t>
      </w:r>
      <w:r w:rsidRPr="00ED05D6">
        <w:t xml:space="preserve"> the intention of the marking was correctly regulated for this application and </w:t>
      </w:r>
      <w:r w:rsidR="00BF46C2">
        <w:t>whether</w:t>
      </w:r>
      <w:r w:rsidRPr="00ED05D6">
        <w:t xml:space="preserve"> information on the actual load </w:t>
      </w:r>
      <w:r>
        <w:t xml:space="preserve">would </w:t>
      </w:r>
      <w:r w:rsidRPr="00ED05D6">
        <w:t xml:space="preserve">be found in the transport document and </w:t>
      </w:r>
      <w:r>
        <w:t xml:space="preserve">the </w:t>
      </w:r>
      <w:r w:rsidRPr="00ED05D6">
        <w:t xml:space="preserve">orange plate. It was also noted that </w:t>
      </w:r>
      <w:r>
        <w:t xml:space="preserve">a reference to EN 15877:2012 was recently </w:t>
      </w:r>
      <w:r w:rsidRPr="00ED05D6">
        <w:t xml:space="preserve">included </w:t>
      </w:r>
      <w:r>
        <w:t xml:space="preserve">in RID and </w:t>
      </w:r>
      <w:r w:rsidRPr="00ED05D6">
        <w:t xml:space="preserve">that due to late availability of the document the contents could not be checked.   </w:t>
      </w:r>
    </w:p>
    <w:p w:rsidR="00E02062" w:rsidRPr="00106A43" w:rsidRDefault="00E02062" w:rsidP="00E02062">
      <w:pPr>
        <w:spacing w:before="240"/>
        <w:jc w:val="center"/>
        <w:rPr>
          <w:u w:val="single"/>
        </w:rPr>
      </w:pPr>
      <w:r>
        <w:rPr>
          <w:u w:val="single"/>
        </w:rPr>
        <w:tab/>
      </w:r>
      <w:r>
        <w:rPr>
          <w:u w:val="single"/>
        </w:rPr>
        <w:tab/>
      </w:r>
      <w:r>
        <w:rPr>
          <w:u w:val="single"/>
        </w:rPr>
        <w:tab/>
      </w:r>
    </w:p>
    <w:p w:rsidR="00E02062" w:rsidRDefault="00E02062" w:rsidP="00E02062">
      <w:pPr>
        <w:pStyle w:val="SingleTxtG"/>
        <w:rPr>
          <w:lang w:val="en-US"/>
        </w:rPr>
      </w:pPr>
    </w:p>
    <w:p w:rsidR="00383046" w:rsidRPr="00E02062" w:rsidRDefault="00383046" w:rsidP="00E02062">
      <w:pPr>
        <w:pStyle w:val="H56G"/>
        <w:jc w:val="both"/>
        <w:rPr>
          <w:u w:val="single"/>
          <w:lang w:val="en-US"/>
        </w:rPr>
      </w:pPr>
    </w:p>
    <w:sectPr w:rsidR="00383046" w:rsidRPr="00E02062" w:rsidSect="00F91736">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FD" w:rsidRDefault="007A23FD"/>
  </w:endnote>
  <w:endnote w:type="continuationSeparator" w:id="0">
    <w:p w:rsidR="007A23FD" w:rsidRDefault="007A23FD"/>
  </w:endnote>
  <w:endnote w:type="continuationNotice" w:id="1">
    <w:p w:rsidR="007A23FD" w:rsidRDefault="007A2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11" w:rsidRPr="00C115E1" w:rsidRDefault="00110B11">
    <w:pPr>
      <w:pStyle w:val="Footer"/>
      <w:rPr>
        <w:b/>
        <w:sz w:val="18"/>
        <w:szCs w:val="18"/>
      </w:rPr>
    </w:pPr>
    <w:r w:rsidRPr="00C115E1">
      <w:rPr>
        <w:b/>
        <w:sz w:val="18"/>
        <w:szCs w:val="18"/>
      </w:rPr>
      <w:fldChar w:fldCharType="begin"/>
    </w:r>
    <w:r w:rsidRPr="00C115E1">
      <w:rPr>
        <w:b/>
        <w:sz w:val="18"/>
        <w:szCs w:val="18"/>
      </w:rPr>
      <w:instrText xml:space="preserve"> PAGE   \* MERGEFORMAT </w:instrText>
    </w:r>
    <w:r w:rsidRPr="00C115E1">
      <w:rPr>
        <w:b/>
        <w:sz w:val="18"/>
        <w:szCs w:val="18"/>
      </w:rPr>
      <w:fldChar w:fldCharType="separate"/>
    </w:r>
    <w:r w:rsidR="00BF36A9">
      <w:rPr>
        <w:b/>
        <w:noProof/>
        <w:sz w:val="18"/>
        <w:szCs w:val="18"/>
      </w:rPr>
      <w:t>2</w:t>
    </w:r>
    <w:r w:rsidRPr="00C115E1">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11" w:rsidRPr="00C115E1" w:rsidRDefault="00110B11" w:rsidP="00C115E1">
    <w:pPr>
      <w:pStyle w:val="Footer"/>
      <w:jc w:val="right"/>
      <w:rPr>
        <w:b/>
        <w:sz w:val="18"/>
        <w:szCs w:val="18"/>
      </w:rPr>
    </w:pPr>
    <w:r w:rsidRPr="00C115E1">
      <w:rPr>
        <w:b/>
        <w:sz w:val="18"/>
        <w:szCs w:val="18"/>
      </w:rPr>
      <w:fldChar w:fldCharType="begin"/>
    </w:r>
    <w:r w:rsidRPr="00C115E1">
      <w:rPr>
        <w:b/>
        <w:sz w:val="18"/>
        <w:szCs w:val="18"/>
      </w:rPr>
      <w:instrText xml:space="preserve"> PAGE   \* MERGEFORMAT </w:instrText>
    </w:r>
    <w:r w:rsidRPr="00C115E1">
      <w:rPr>
        <w:b/>
        <w:sz w:val="18"/>
        <w:szCs w:val="18"/>
      </w:rPr>
      <w:fldChar w:fldCharType="separate"/>
    </w:r>
    <w:r w:rsidR="00BF36A9">
      <w:rPr>
        <w:b/>
        <w:noProof/>
        <w:sz w:val="18"/>
        <w:szCs w:val="18"/>
      </w:rPr>
      <w:t>7</w:t>
    </w:r>
    <w:r w:rsidRPr="00C115E1">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FD" w:rsidRPr="000B175B" w:rsidRDefault="007A23FD" w:rsidP="000B175B">
      <w:pPr>
        <w:tabs>
          <w:tab w:val="right" w:pos="2155"/>
        </w:tabs>
        <w:spacing w:after="80"/>
        <w:ind w:left="680"/>
        <w:rPr>
          <w:u w:val="single"/>
        </w:rPr>
      </w:pPr>
      <w:r>
        <w:rPr>
          <w:u w:val="single"/>
        </w:rPr>
        <w:tab/>
      </w:r>
    </w:p>
  </w:footnote>
  <w:footnote w:type="continuationSeparator" w:id="0">
    <w:p w:rsidR="007A23FD" w:rsidRPr="00FC68B7" w:rsidRDefault="007A23FD" w:rsidP="00FC68B7">
      <w:pPr>
        <w:tabs>
          <w:tab w:val="left" w:pos="2155"/>
        </w:tabs>
        <w:spacing w:after="80"/>
        <w:ind w:left="680"/>
        <w:rPr>
          <w:u w:val="single"/>
        </w:rPr>
      </w:pPr>
      <w:r>
        <w:rPr>
          <w:u w:val="single"/>
        </w:rPr>
        <w:tab/>
      </w:r>
    </w:p>
  </w:footnote>
  <w:footnote w:type="continuationNotice" w:id="1">
    <w:p w:rsidR="007A23FD" w:rsidRDefault="007A23FD"/>
  </w:footnote>
  <w:footnote w:id="2">
    <w:p w:rsidR="00110B11" w:rsidRDefault="00110B11" w:rsidP="00E55C68">
      <w:pPr>
        <w:pStyle w:val="FootnoteText"/>
        <w:ind w:hanging="283"/>
      </w:pPr>
      <w:r w:rsidRPr="00102C44">
        <w:rPr>
          <w:rStyle w:val="FootnoteReference"/>
          <w:sz w:val="20"/>
        </w:rPr>
        <w:footnoteRef/>
      </w:r>
      <w:r>
        <w:tab/>
      </w:r>
      <w:r>
        <w:tab/>
        <w:t>Circulated by the Intergovernmental Organisation for International Carriage by Rail (OTIF) under the symbol OTIF/RID/RC/2016-B. Unless otherwise indicated, the other documents referred to in this report under the symbol ECE/TRANS/WP.15/AC.1/ followed by the year and a serial number were circulated by OTIF under the symbol OTIF/RID/RC/ followed by the year and the same serial number.</w:t>
      </w:r>
    </w:p>
    <w:p w:rsidR="00110B11" w:rsidRPr="00E55C68" w:rsidRDefault="00110B11" w:rsidP="00E55C68">
      <w:pPr>
        <w:pStyle w:val="FootnoteText"/>
        <w:ind w:hanging="283"/>
        <w:rPr>
          <w:lang w:val="fr-CH"/>
        </w:rPr>
      </w:pPr>
      <w:r w:rsidRPr="00102C44">
        <w:rPr>
          <w:sz w:val="20"/>
        </w:rPr>
        <w:t>**</w:t>
      </w:r>
      <w:r>
        <w:tab/>
        <w:t>Circulated by the Intergovernmental Organisation for International Carriage by Rail (OTIF) under the symbol OTIF/RID/RC/2016-B/Add.1.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11" w:rsidRPr="00C34EE0" w:rsidRDefault="00110B11" w:rsidP="00C115E1">
    <w:pPr>
      <w:pStyle w:val="Header"/>
    </w:pPr>
    <w:r>
      <w:t>ECE/TRANS/WP.15/AC.1/144/Add.1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11" w:rsidRPr="00C34EE0" w:rsidRDefault="00110B11" w:rsidP="00C115E1">
    <w:pPr>
      <w:pStyle w:val="Header"/>
      <w:jc w:val="right"/>
    </w:pPr>
    <w:r>
      <w:t>ECE/TRANS/WP.15/AC.1/144/Add.1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de-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3A"/>
    <w:rsid w:val="00000169"/>
    <w:rsid w:val="0000040B"/>
    <w:rsid w:val="0000392D"/>
    <w:rsid w:val="00003DF1"/>
    <w:rsid w:val="00004A3F"/>
    <w:rsid w:val="000060DC"/>
    <w:rsid w:val="000145EF"/>
    <w:rsid w:val="00015D98"/>
    <w:rsid w:val="00017DD9"/>
    <w:rsid w:val="00025892"/>
    <w:rsid w:val="00031528"/>
    <w:rsid w:val="00031D0B"/>
    <w:rsid w:val="00032082"/>
    <w:rsid w:val="00033207"/>
    <w:rsid w:val="000335E0"/>
    <w:rsid w:val="00037E7D"/>
    <w:rsid w:val="00040B67"/>
    <w:rsid w:val="00046B1F"/>
    <w:rsid w:val="0004788F"/>
    <w:rsid w:val="00050F6B"/>
    <w:rsid w:val="00050FD1"/>
    <w:rsid w:val="000514E1"/>
    <w:rsid w:val="00052E33"/>
    <w:rsid w:val="00057E97"/>
    <w:rsid w:val="0006190A"/>
    <w:rsid w:val="00063631"/>
    <w:rsid w:val="0006542A"/>
    <w:rsid w:val="00065EA7"/>
    <w:rsid w:val="00066D85"/>
    <w:rsid w:val="00067BA0"/>
    <w:rsid w:val="00072C8C"/>
    <w:rsid w:val="000733B5"/>
    <w:rsid w:val="00077281"/>
    <w:rsid w:val="0008071E"/>
    <w:rsid w:val="00081815"/>
    <w:rsid w:val="000831C3"/>
    <w:rsid w:val="00084E26"/>
    <w:rsid w:val="0008607E"/>
    <w:rsid w:val="000906D8"/>
    <w:rsid w:val="000931C0"/>
    <w:rsid w:val="00093D15"/>
    <w:rsid w:val="000A0D1A"/>
    <w:rsid w:val="000A1232"/>
    <w:rsid w:val="000A35FB"/>
    <w:rsid w:val="000A5081"/>
    <w:rsid w:val="000A6228"/>
    <w:rsid w:val="000A6BD2"/>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F007A"/>
    <w:rsid w:val="000F0B5A"/>
    <w:rsid w:val="000F274B"/>
    <w:rsid w:val="000F573C"/>
    <w:rsid w:val="0010043A"/>
    <w:rsid w:val="00102C44"/>
    <w:rsid w:val="001051E8"/>
    <w:rsid w:val="0010596B"/>
    <w:rsid w:val="00105A2A"/>
    <w:rsid w:val="001103AA"/>
    <w:rsid w:val="00110B11"/>
    <w:rsid w:val="001133C8"/>
    <w:rsid w:val="00113550"/>
    <w:rsid w:val="00116601"/>
    <w:rsid w:val="0011666B"/>
    <w:rsid w:val="001174BE"/>
    <w:rsid w:val="0012068C"/>
    <w:rsid w:val="00121952"/>
    <w:rsid w:val="0012297E"/>
    <w:rsid w:val="00126A4F"/>
    <w:rsid w:val="00132273"/>
    <w:rsid w:val="00132CFF"/>
    <w:rsid w:val="001343B1"/>
    <w:rsid w:val="00136960"/>
    <w:rsid w:val="0014183A"/>
    <w:rsid w:val="00145652"/>
    <w:rsid w:val="001465B0"/>
    <w:rsid w:val="00146BB2"/>
    <w:rsid w:val="00146DBB"/>
    <w:rsid w:val="00146DBC"/>
    <w:rsid w:val="00152726"/>
    <w:rsid w:val="00152CBA"/>
    <w:rsid w:val="001533C5"/>
    <w:rsid w:val="00153A81"/>
    <w:rsid w:val="00155294"/>
    <w:rsid w:val="00164462"/>
    <w:rsid w:val="001651F3"/>
    <w:rsid w:val="00165F3A"/>
    <w:rsid w:val="001707B7"/>
    <w:rsid w:val="00171481"/>
    <w:rsid w:val="001754EB"/>
    <w:rsid w:val="001831DF"/>
    <w:rsid w:val="00183776"/>
    <w:rsid w:val="0018638B"/>
    <w:rsid w:val="001942CC"/>
    <w:rsid w:val="001948F6"/>
    <w:rsid w:val="00197E29"/>
    <w:rsid w:val="001A0458"/>
    <w:rsid w:val="001A1FCE"/>
    <w:rsid w:val="001A3E62"/>
    <w:rsid w:val="001A7AAA"/>
    <w:rsid w:val="001B063A"/>
    <w:rsid w:val="001B15ED"/>
    <w:rsid w:val="001B3F17"/>
    <w:rsid w:val="001B496E"/>
    <w:rsid w:val="001B4B04"/>
    <w:rsid w:val="001B5475"/>
    <w:rsid w:val="001B7DD3"/>
    <w:rsid w:val="001C0E86"/>
    <w:rsid w:val="001C1B54"/>
    <w:rsid w:val="001C30DE"/>
    <w:rsid w:val="001C4A14"/>
    <w:rsid w:val="001C4B8C"/>
    <w:rsid w:val="001C5C40"/>
    <w:rsid w:val="001C6159"/>
    <w:rsid w:val="001C6663"/>
    <w:rsid w:val="001C6DDA"/>
    <w:rsid w:val="001C6E34"/>
    <w:rsid w:val="001C72A0"/>
    <w:rsid w:val="001C7895"/>
    <w:rsid w:val="001C7EA6"/>
    <w:rsid w:val="001D0C8C"/>
    <w:rsid w:val="001D1419"/>
    <w:rsid w:val="001D26DF"/>
    <w:rsid w:val="001D3A03"/>
    <w:rsid w:val="001D7E34"/>
    <w:rsid w:val="001E3E31"/>
    <w:rsid w:val="001E4C9B"/>
    <w:rsid w:val="001E5FC4"/>
    <w:rsid w:val="001E7B67"/>
    <w:rsid w:val="001E7D66"/>
    <w:rsid w:val="001F2B5D"/>
    <w:rsid w:val="001F7E66"/>
    <w:rsid w:val="00200A8E"/>
    <w:rsid w:val="00201BF3"/>
    <w:rsid w:val="00202DA8"/>
    <w:rsid w:val="00204086"/>
    <w:rsid w:val="00205E83"/>
    <w:rsid w:val="00211D75"/>
    <w:rsid w:val="00211E0B"/>
    <w:rsid w:val="00213D05"/>
    <w:rsid w:val="0021409E"/>
    <w:rsid w:val="00214F95"/>
    <w:rsid w:val="002234EA"/>
    <w:rsid w:val="00225A14"/>
    <w:rsid w:val="00231839"/>
    <w:rsid w:val="00231C60"/>
    <w:rsid w:val="00232AF1"/>
    <w:rsid w:val="00234850"/>
    <w:rsid w:val="00236B71"/>
    <w:rsid w:val="0023731E"/>
    <w:rsid w:val="00237950"/>
    <w:rsid w:val="0024641D"/>
    <w:rsid w:val="0024694D"/>
    <w:rsid w:val="00252BF2"/>
    <w:rsid w:val="00255BA1"/>
    <w:rsid w:val="002564A7"/>
    <w:rsid w:val="00257DFE"/>
    <w:rsid w:val="00260589"/>
    <w:rsid w:val="00265697"/>
    <w:rsid w:val="00267F5F"/>
    <w:rsid w:val="00273148"/>
    <w:rsid w:val="00275B07"/>
    <w:rsid w:val="00276362"/>
    <w:rsid w:val="00282ADB"/>
    <w:rsid w:val="0028312B"/>
    <w:rsid w:val="00284661"/>
    <w:rsid w:val="00286B4D"/>
    <w:rsid w:val="0029388C"/>
    <w:rsid w:val="00293DBE"/>
    <w:rsid w:val="00293F36"/>
    <w:rsid w:val="00297A22"/>
    <w:rsid w:val="002B2F07"/>
    <w:rsid w:val="002B4251"/>
    <w:rsid w:val="002B49DE"/>
    <w:rsid w:val="002B4FCF"/>
    <w:rsid w:val="002B6EB2"/>
    <w:rsid w:val="002C1AD3"/>
    <w:rsid w:val="002C670F"/>
    <w:rsid w:val="002D4643"/>
    <w:rsid w:val="002E33A2"/>
    <w:rsid w:val="002E46C0"/>
    <w:rsid w:val="002E5D30"/>
    <w:rsid w:val="002E5E51"/>
    <w:rsid w:val="002F175C"/>
    <w:rsid w:val="002F3F07"/>
    <w:rsid w:val="002F4FF9"/>
    <w:rsid w:val="002F6455"/>
    <w:rsid w:val="00300E65"/>
    <w:rsid w:val="003019B8"/>
    <w:rsid w:val="00302CDB"/>
    <w:rsid w:val="00302E18"/>
    <w:rsid w:val="003031FD"/>
    <w:rsid w:val="0030498D"/>
    <w:rsid w:val="003060F0"/>
    <w:rsid w:val="00311695"/>
    <w:rsid w:val="0031657F"/>
    <w:rsid w:val="003229D8"/>
    <w:rsid w:val="00323199"/>
    <w:rsid w:val="00323A22"/>
    <w:rsid w:val="00327CB5"/>
    <w:rsid w:val="003333E3"/>
    <w:rsid w:val="003341F1"/>
    <w:rsid w:val="003358A8"/>
    <w:rsid w:val="00336B57"/>
    <w:rsid w:val="003431D7"/>
    <w:rsid w:val="003435D5"/>
    <w:rsid w:val="00343C35"/>
    <w:rsid w:val="003456AF"/>
    <w:rsid w:val="003463BE"/>
    <w:rsid w:val="003505A4"/>
    <w:rsid w:val="00352709"/>
    <w:rsid w:val="00353E30"/>
    <w:rsid w:val="00353FB1"/>
    <w:rsid w:val="00361231"/>
    <w:rsid w:val="0036260D"/>
    <w:rsid w:val="00362ACF"/>
    <w:rsid w:val="00362DC3"/>
    <w:rsid w:val="00365426"/>
    <w:rsid w:val="00367985"/>
    <w:rsid w:val="0037007C"/>
    <w:rsid w:val="00371178"/>
    <w:rsid w:val="00372B53"/>
    <w:rsid w:val="00372D68"/>
    <w:rsid w:val="0038084E"/>
    <w:rsid w:val="003812A1"/>
    <w:rsid w:val="00382A89"/>
    <w:rsid w:val="00383046"/>
    <w:rsid w:val="003833E4"/>
    <w:rsid w:val="003856C4"/>
    <w:rsid w:val="00391772"/>
    <w:rsid w:val="00395244"/>
    <w:rsid w:val="00397AB2"/>
    <w:rsid w:val="003A1EF9"/>
    <w:rsid w:val="003A208D"/>
    <w:rsid w:val="003A2438"/>
    <w:rsid w:val="003A5622"/>
    <w:rsid w:val="003A5A1B"/>
    <w:rsid w:val="003A61F7"/>
    <w:rsid w:val="003A6810"/>
    <w:rsid w:val="003A709B"/>
    <w:rsid w:val="003B1F7C"/>
    <w:rsid w:val="003B3463"/>
    <w:rsid w:val="003C2CC4"/>
    <w:rsid w:val="003C2D56"/>
    <w:rsid w:val="003C37FF"/>
    <w:rsid w:val="003D20D1"/>
    <w:rsid w:val="003D2A93"/>
    <w:rsid w:val="003D4B23"/>
    <w:rsid w:val="003D607D"/>
    <w:rsid w:val="003D6718"/>
    <w:rsid w:val="003E470D"/>
    <w:rsid w:val="003E65F0"/>
    <w:rsid w:val="003E6F29"/>
    <w:rsid w:val="003F1492"/>
    <w:rsid w:val="003F2964"/>
    <w:rsid w:val="003F46A5"/>
    <w:rsid w:val="003F49D8"/>
    <w:rsid w:val="003F6EC1"/>
    <w:rsid w:val="00400DE3"/>
    <w:rsid w:val="00404943"/>
    <w:rsid w:val="0040764D"/>
    <w:rsid w:val="00410C89"/>
    <w:rsid w:val="004156A3"/>
    <w:rsid w:val="00417C74"/>
    <w:rsid w:val="00421B49"/>
    <w:rsid w:val="00422915"/>
    <w:rsid w:val="00422C12"/>
    <w:rsid w:val="00422E03"/>
    <w:rsid w:val="00423B2E"/>
    <w:rsid w:val="004265FA"/>
    <w:rsid w:val="00426B9B"/>
    <w:rsid w:val="00426F8C"/>
    <w:rsid w:val="004274CD"/>
    <w:rsid w:val="00430AAC"/>
    <w:rsid w:val="0043198D"/>
    <w:rsid w:val="004325CB"/>
    <w:rsid w:val="00433A3D"/>
    <w:rsid w:val="0043416B"/>
    <w:rsid w:val="004357E8"/>
    <w:rsid w:val="004363DD"/>
    <w:rsid w:val="00436658"/>
    <w:rsid w:val="00436F16"/>
    <w:rsid w:val="00441EE6"/>
    <w:rsid w:val="0044258E"/>
    <w:rsid w:val="00442788"/>
    <w:rsid w:val="00442A83"/>
    <w:rsid w:val="004432D2"/>
    <w:rsid w:val="0044449A"/>
    <w:rsid w:val="004444AB"/>
    <w:rsid w:val="00445A15"/>
    <w:rsid w:val="00453F31"/>
    <w:rsid w:val="0045495B"/>
    <w:rsid w:val="00456B77"/>
    <w:rsid w:val="004576F1"/>
    <w:rsid w:val="004733EF"/>
    <w:rsid w:val="00473416"/>
    <w:rsid w:val="00474AF9"/>
    <w:rsid w:val="0047534E"/>
    <w:rsid w:val="004760BD"/>
    <w:rsid w:val="00477B0D"/>
    <w:rsid w:val="00477D7B"/>
    <w:rsid w:val="004822A4"/>
    <w:rsid w:val="0048397A"/>
    <w:rsid w:val="00483FFD"/>
    <w:rsid w:val="00484858"/>
    <w:rsid w:val="00486BF7"/>
    <w:rsid w:val="00487CDE"/>
    <w:rsid w:val="0049065C"/>
    <w:rsid w:val="0049193A"/>
    <w:rsid w:val="00494B6F"/>
    <w:rsid w:val="004A36AB"/>
    <w:rsid w:val="004A56F9"/>
    <w:rsid w:val="004A7771"/>
    <w:rsid w:val="004B358D"/>
    <w:rsid w:val="004B36D0"/>
    <w:rsid w:val="004B78F8"/>
    <w:rsid w:val="004C2461"/>
    <w:rsid w:val="004C2780"/>
    <w:rsid w:val="004C38FC"/>
    <w:rsid w:val="004C4858"/>
    <w:rsid w:val="004C4D9D"/>
    <w:rsid w:val="004C666C"/>
    <w:rsid w:val="004C7462"/>
    <w:rsid w:val="004D03BD"/>
    <w:rsid w:val="004D4606"/>
    <w:rsid w:val="004D5AE4"/>
    <w:rsid w:val="004D6D47"/>
    <w:rsid w:val="004E2E1A"/>
    <w:rsid w:val="004E59C6"/>
    <w:rsid w:val="004E62FD"/>
    <w:rsid w:val="004E77B2"/>
    <w:rsid w:val="004F4446"/>
    <w:rsid w:val="004F5C04"/>
    <w:rsid w:val="005009FC"/>
    <w:rsid w:val="00504B2D"/>
    <w:rsid w:val="0050537F"/>
    <w:rsid w:val="00512F3E"/>
    <w:rsid w:val="00513AA2"/>
    <w:rsid w:val="00513FFD"/>
    <w:rsid w:val="0052136D"/>
    <w:rsid w:val="005247F1"/>
    <w:rsid w:val="005270D8"/>
    <w:rsid w:val="0052775E"/>
    <w:rsid w:val="00527D78"/>
    <w:rsid w:val="00530009"/>
    <w:rsid w:val="00532188"/>
    <w:rsid w:val="0053511C"/>
    <w:rsid w:val="00535495"/>
    <w:rsid w:val="00537AF9"/>
    <w:rsid w:val="005420F2"/>
    <w:rsid w:val="00542C3C"/>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3054"/>
    <w:rsid w:val="005858ED"/>
    <w:rsid w:val="00585A8E"/>
    <w:rsid w:val="00587574"/>
    <w:rsid w:val="00590B53"/>
    <w:rsid w:val="00592947"/>
    <w:rsid w:val="00593FED"/>
    <w:rsid w:val="00594022"/>
    <w:rsid w:val="00595497"/>
    <w:rsid w:val="00596C5B"/>
    <w:rsid w:val="005B33AD"/>
    <w:rsid w:val="005B33B7"/>
    <w:rsid w:val="005B3DB3"/>
    <w:rsid w:val="005B4E13"/>
    <w:rsid w:val="005B7ABC"/>
    <w:rsid w:val="005C105A"/>
    <w:rsid w:val="005C29C2"/>
    <w:rsid w:val="005C5226"/>
    <w:rsid w:val="005D0F9D"/>
    <w:rsid w:val="005D28DC"/>
    <w:rsid w:val="005D3823"/>
    <w:rsid w:val="005D426D"/>
    <w:rsid w:val="005E1941"/>
    <w:rsid w:val="005E5759"/>
    <w:rsid w:val="005E68AA"/>
    <w:rsid w:val="005F7B75"/>
    <w:rsid w:val="006001EE"/>
    <w:rsid w:val="0060240C"/>
    <w:rsid w:val="00605042"/>
    <w:rsid w:val="0060714B"/>
    <w:rsid w:val="006105A3"/>
    <w:rsid w:val="00610634"/>
    <w:rsid w:val="00611B0F"/>
    <w:rsid w:val="00611FC4"/>
    <w:rsid w:val="00611FCD"/>
    <w:rsid w:val="006176FB"/>
    <w:rsid w:val="00617E91"/>
    <w:rsid w:val="0062244A"/>
    <w:rsid w:val="00622CAB"/>
    <w:rsid w:val="00624A6F"/>
    <w:rsid w:val="00624C84"/>
    <w:rsid w:val="006258F5"/>
    <w:rsid w:val="00632429"/>
    <w:rsid w:val="0063275B"/>
    <w:rsid w:val="00633738"/>
    <w:rsid w:val="006357B7"/>
    <w:rsid w:val="00640B26"/>
    <w:rsid w:val="006444B6"/>
    <w:rsid w:val="00652D0A"/>
    <w:rsid w:val="0066208B"/>
    <w:rsid w:val="00662BB6"/>
    <w:rsid w:val="006649DD"/>
    <w:rsid w:val="0066735C"/>
    <w:rsid w:val="00667AC9"/>
    <w:rsid w:val="00671568"/>
    <w:rsid w:val="00671767"/>
    <w:rsid w:val="00674184"/>
    <w:rsid w:val="00675C1F"/>
    <w:rsid w:val="00677B55"/>
    <w:rsid w:val="006801FC"/>
    <w:rsid w:val="006816AC"/>
    <w:rsid w:val="00683839"/>
    <w:rsid w:val="00684C21"/>
    <w:rsid w:val="00685273"/>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70161B"/>
    <w:rsid w:val="0070167D"/>
    <w:rsid w:val="00701DB3"/>
    <w:rsid w:val="007021B3"/>
    <w:rsid w:val="00703577"/>
    <w:rsid w:val="007051D8"/>
    <w:rsid w:val="00705894"/>
    <w:rsid w:val="00705CEC"/>
    <w:rsid w:val="00711527"/>
    <w:rsid w:val="00712CDA"/>
    <w:rsid w:val="00712E41"/>
    <w:rsid w:val="007138DB"/>
    <w:rsid w:val="00714191"/>
    <w:rsid w:val="00715391"/>
    <w:rsid w:val="00715F79"/>
    <w:rsid w:val="00716106"/>
    <w:rsid w:val="00717AEC"/>
    <w:rsid w:val="0072336C"/>
    <w:rsid w:val="00724AD3"/>
    <w:rsid w:val="0072515C"/>
    <w:rsid w:val="0072632A"/>
    <w:rsid w:val="007279DE"/>
    <w:rsid w:val="007307CE"/>
    <w:rsid w:val="007327D5"/>
    <w:rsid w:val="007330A5"/>
    <w:rsid w:val="00736E7E"/>
    <w:rsid w:val="007374F0"/>
    <w:rsid w:val="007436AB"/>
    <w:rsid w:val="00744C35"/>
    <w:rsid w:val="007466E5"/>
    <w:rsid w:val="007506E7"/>
    <w:rsid w:val="00751129"/>
    <w:rsid w:val="0075564D"/>
    <w:rsid w:val="00755847"/>
    <w:rsid w:val="00760A3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7CEA"/>
    <w:rsid w:val="007A23FD"/>
    <w:rsid w:val="007A6E87"/>
    <w:rsid w:val="007A7D2B"/>
    <w:rsid w:val="007A7E95"/>
    <w:rsid w:val="007B168D"/>
    <w:rsid w:val="007B2392"/>
    <w:rsid w:val="007B4FC6"/>
    <w:rsid w:val="007B6AEB"/>
    <w:rsid w:val="007B6BA5"/>
    <w:rsid w:val="007B714D"/>
    <w:rsid w:val="007C017C"/>
    <w:rsid w:val="007C0774"/>
    <w:rsid w:val="007C3390"/>
    <w:rsid w:val="007C4F4B"/>
    <w:rsid w:val="007C6F84"/>
    <w:rsid w:val="007C7861"/>
    <w:rsid w:val="007D0E04"/>
    <w:rsid w:val="007D1070"/>
    <w:rsid w:val="007D1C06"/>
    <w:rsid w:val="007D629E"/>
    <w:rsid w:val="007D63DF"/>
    <w:rsid w:val="007E01E9"/>
    <w:rsid w:val="007E4A9C"/>
    <w:rsid w:val="007E5FAA"/>
    <w:rsid w:val="007E63F3"/>
    <w:rsid w:val="007E7601"/>
    <w:rsid w:val="007F0B48"/>
    <w:rsid w:val="007F4D7F"/>
    <w:rsid w:val="007F5C32"/>
    <w:rsid w:val="007F6611"/>
    <w:rsid w:val="00800004"/>
    <w:rsid w:val="00800DAD"/>
    <w:rsid w:val="00804002"/>
    <w:rsid w:val="008052FE"/>
    <w:rsid w:val="00806B6E"/>
    <w:rsid w:val="00807085"/>
    <w:rsid w:val="008101FD"/>
    <w:rsid w:val="00810700"/>
    <w:rsid w:val="00811920"/>
    <w:rsid w:val="00814460"/>
    <w:rsid w:val="00815AD0"/>
    <w:rsid w:val="00815C1E"/>
    <w:rsid w:val="008163C8"/>
    <w:rsid w:val="00822786"/>
    <w:rsid w:val="008242D7"/>
    <w:rsid w:val="008257B1"/>
    <w:rsid w:val="00830CAE"/>
    <w:rsid w:val="00831797"/>
    <w:rsid w:val="00832B23"/>
    <w:rsid w:val="008355AF"/>
    <w:rsid w:val="00836914"/>
    <w:rsid w:val="00840CA0"/>
    <w:rsid w:val="00840E84"/>
    <w:rsid w:val="0084224F"/>
    <w:rsid w:val="00843767"/>
    <w:rsid w:val="008464E0"/>
    <w:rsid w:val="00846594"/>
    <w:rsid w:val="008470ED"/>
    <w:rsid w:val="008471AE"/>
    <w:rsid w:val="00851FAB"/>
    <w:rsid w:val="00854E27"/>
    <w:rsid w:val="00856455"/>
    <w:rsid w:val="008566DF"/>
    <w:rsid w:val="00856878"/>
    <w:rsid w:val="00857655"/>
    <w:rsid w:val="008577EE"/>
    <w:rsid w:val="00865832"/>
    <w:rsid w:val="00866321"/>
    <w:rsid w:val="0086758C"/>
    <w:rsid w:val="008679D9"/>
    <w:rsid w:val="00873139"/>
    <w:rsid w:val="00873E92"/>
    <w:rsid w:val="0087713A"/>
    <w:rsid w:val="00883445"/>
    <w:rsid w:val="00883C38"/>
    <w:rsid w:val="0088448B"/>
    <w:rsid w:val="00885463"/>
    <w:rsid w:val="00886020"/>
    <w:rsid w:val="008878DE"/>
    <w:rsid w:val="00892EB4"/>
    <w:rsid w:val="008933C6"/>
    <w:rsid w:val="008933FD"/>
    <w:rsid w:val="008979B1"/>
    <w:rsid w:val="008A2A4B"/>
    <w:rsid w:val="008A3663"/>
    <w:rsid w:val="008A469B"/>
    <w:rsid w:val="008A6B25"/>
    <w:rsid w:val="008A6C4F"/>
    <w:rsid w:val="008B2335"/>
    <w:rsid w:val="008B23C8"/>
    <w:rsid w:val="008B25D2"/>
    <w:rsid w:val="008B7466"/>
    <w:rsid w:val="008C2520"/>
    <w:rsid w:val="008C2625"/>
    <w:rsid w:val="008C26F9"/>
    <w:rsid w:val="008C3D32"/>
    <w:rsid w:val="008D01F8"/>
    <w:rsid w:val="008D201D"/>
    <w:rsid w:val="008D367F"/>
    <w:rsid w:val="008D36A9"/>
    <w:rsid w:val="008D48F9"/>
    <w:rsid w:val="008D74D5"/>
    <w:rsid w:val="008E0678"/>
    <w:rsid w:val="008E37BA"/>
    <w:rsid w:val="008F1C0D"/>
    <w:rsid w:val="008F2214"/>
    <w:rsid w:val="008F4018"/>
    <w:rsid w:val="008F5B2B"/>
    <w:rsid w:val="008F6595"/>
    <w:rsid w:val="008F6AE7"/>
    <w:rsid w:val="0090195C"/>
    <w:rsid w:val="00901E72"/>
    <w:rsid w:val="00902D7B"/>
    <w:rsid w:val="009034E0"/>
    <w:rsid w:val="00905E26"/>
    <w:rsid w:val="00907866"/>
    <w:rsid w:val="00910D42"/>
    <w:rsid w:val="00913B9C"/>
    <w:rsid w:val="00914E7F"/>
    <w:rsid w:val="00921145"/>
    <w:rsid w:val="009223CA"/>
    <w:rsid w:val="00922634"/>
    <w:rsid w:val="00923FF8"/>
    <w:rsid w:val="00927BCC"/>
    <w:rsid w:val="00930A78"/>
    <w:rsid w:val="00935E6C"/>
    <w:rsid w:val="0094064C"/>
    <w:rsid w:val="00940F93"/>
    <w:rsid w:val="00946DF9"/>
    <w:rsid w:val="00947812"/>
    <w:rsid w:val="00947FDC"/>
    <w:rsid w:val="00951D5B"/>
    <w:rsid w:val="00953C69"/>
    <w:rsid w:val="009575B6"/>
    <w:rsid w:val="00961B0E"/>
    <w:rsid w:val="0096398A"/>
    <w:rsid w:val="009673BC"/>
    <w:rsid w:val="0097313D"/>
    <w:rsid w:val="009760F3"/>
    <w:rsid w:val="009774FA"/>
    <w:rsid w:val="0097765C"/>
    <w:rsid w:val="0098136F"/>
    <w:rsid w:val="00983D96"/>
    <w:rsid w:val="0098709D"/>
    <w:rsid w:val="009879AE"/>
    <w:rsid w:val="009919FB"/>
    <w:rsid w:val="009929ED"/>
    <w:rsid w:val="00992D7B"/>
    <w:rsid w:val="009A0AF8"/>
    <w:rsid w:val="009A0E8D"/>
    <w:rsid w:val="009A73C7"/>
    <w:rsid w:val="009B19B9"/>
    <w:rsid w:val="009B26E7"/>
    <w:rsid w:val="009C0B4A"/>
    <w:rsid w:val="009C3AA6"/>
    <w:rsid w:val="009C6954"/>
    <w:rsid w:val="009C737B"/>
    <w:rsid w:val="009D028F"/>
    <w:rsid w:val="009D1184"/>
    <w:rsid w:val="009D3A6E"/>
    <w:rsid w:val="009D7607"/>
    <w:rsid w:val="009E1D23"/>
    <w:rsid w:val="009E44B7"/>
    <w:rsid w:val="009F0DB7"/>
    <w:rsid w:val="009F73F2"/>
    <w:rsid w:val="009F77FD"/>
    <w:rsid w:val="00A00A3F"/>
    <w:rsid w:val="00A01489"/>
    <w:rsid w:val="00A0578E"/>
    <w:rsid w:val="00A05F6A"/>
    <w:rsid w:val="00A06B93"/>
    <w:rsid w:val="00A100E9"/>
    <w:rsid w:val="00A16230"/>
    <w:rsid w:val="00A2275D"/>
    <w:rsid w:val="00A23EBF"/>
    <w:rsid w:val="00A3026E"/>
    <w:rsid w:val="00A307A7"/>
    <w:rsid w:val="00A30D49"/>
    <w:rsid w:val="00A338F1"/>
    <w:rsid w:val="00A35B47"/>
    <w:rsid w:val="00A37B72"/>
    <w:rsid w:val="00A37D48"/>
    <w:rsid w:val="00A40F81"/>
    <w:rsid w:val="00A42F4B"/>
    <w:rsid w:val="00A47A48"/>
    <w:rsid w:val="00A47DEA"/>
    <w:rsid w:val="00A55CF9"/>
    <w:rsid w:val="00A56987"/>
    <w:rsid w:val="00A61C5D"/>
    <w:rsid w:val="00A634B4"/>
    <w:rsid w:val="00A638D7"/>
    <w:rsid w:val="00A653D1"/>
    <w:rsid w:val="00A67A76"/>
    <w:rsid w:val="00A70C6D"/>
    <w:rsid w:val="00A72F22"/>
    <w:rsid w:val="00A7360F"/>
    <w:rsid w:val="00A748A6"/>
    <w:rsid w:val="00A75809"/>
    <w:rsid w:val="00A769F4"/>
    <w:rsid w:val="00A76CA9"/>
    <w:rsid w:val="00A776B4"/>
    <w:rsid w:val="00A77861"/>
    <w:rsid w:val="00A8117F"/>
    <w:rsid w:val="00A827EF"/>
    <w:rsid w:val="00A84634"/>
    <w:rsid w:val="00A85414"/>
    <w:rsid w:val="00A90B58"/>
    <w:rsid w:val="00A94361"/>
    <w:rsid w:val="00AA09F5"/>
    <w:rsid w:val="00AA1878"/>
    <w:rsid w:val="00AA2847"/>
    <w:rsid w:val="00AA293C"/>
    <w:rsid w:val="00AB4E8E"/>
    <w:rsid w:val="00AB791C"/>
    <w:rsid w:val="00AC7E41"/>
    <w:rsid w:val="00AD69A4"/>
    <w:rsid w:val="00AD753A"/>
    <w:rsid w:val="00AD7BD1"/>
    <w:rsid w:val="00AE5C15"/>
    <w:rsid w:val="00AF1FF0"/>
    <w:rsid w:val="00AF5071"/>
    <w:rsid w:val="00B00D9D"/>
    <w:rsid w:val="00B01716"/>
    <w:rsid w:val="00B02D17"/>
    <w:rsid w:val="00B03318"/>
    <w:rsid w:val="00B0511F"/>
    <w:rsid w:val="00B06BB7"/>
    <w:rsid w:val="00B2085C"/>
    <w:rsid w:val="00B21995"/>
    <w:rsid w:val="00B2220F"/>
    <w:rsid w:val="00B227C5"/>
    <w:rsid w:val="00B30179"/>
    <w:rsid w:val="00B30607"/>
    <w:rsid w:val="00B33B5C"/>
    <w:rsid w:val="00B36C89"/>
    <w:rsid w:val="00B421C1"/>
    <w:rsid w:val="00B439CC"/>
    <w:rsid w:val="00B44A50"/>
    <w:rsid w:val="00B45B0B"/>
    <w:rsid w:val="00B45DC8"/>
    <w:rsid w:val="00B46B6E"/>
    <w:rsid w:val="00B5473B"/>
    <w:rsid w:val="00B55C71"/>
    <w:rsid w:val="00B56E4A"/>
    <w:rsid w:val="00B56E9C"/>
    <w:rsid w:val="00B62D0E"/>
    <w:rsid w:val="00B64B1F"/>
    <w:rsid w:val="00B6553F"/>
    <w:rsid w:val="00B65B5D"/>
    <w:rsid w:val="00B74E78"/>
    <w:rsid w:val="00B767A8"/>
    <w:rsid w:val="00B77D05"/>
    <w:rsid w:val="00B81206"/>
    <w:rsid w:val="00B81D6E"/>
    <w:rsid w:val="00B81E12"/>
    <w:rsid w:val="00B8309A"/>
    <w:rsid w:val="00B84CD6"/>
    <w:rsid w:val="00B914CE"/>
    <w:rsid w:val="00B946FA"/>
    <w:rsid w:val="00B94783"/>
    <w:rsid w:val="00B950F1"/>
    <w:rsid w:val="00B96F3A"/>
    <w:rsid w:val="00BA0698"/>
    <w:rsid w:val="00BA2FD0"/>
    <w:rsid w:val="00BA5EE1"/>
    <w:rsid w:val="00BB0C8E"/>
    <w:rsid w:val="00BB1A7C"/>
    <w:rsid w:val="00BB4516"/>
    <w:rsid w:val="00BB5FDA"/>
    <w:rsid w:val="00BB6A80"/>
    <w:rsid w:val="00BB7886"/>
    <w:rsid w:val="00BC3CE0"/>
    <w:rsid w:val="00BC3FA0"/>
    <w:rsid w:val="00BC5B09"/>
    <w:rsid w:val="00BC74E9"/>
    <w:rsid w:val="00BD100F"/>
    <w:rsid w:val="00BD3F9F"/>
    <w:rsid w:val="00BD543B"/>
    <w:rsid w:val="00BE14FF"/>
    <w:rsid w:val="00BE5F00"/>
    <w:rsid w:val="00BE6003"/>
    <w:rsid w:val="00BE6A1F"/>
    <w:rsid w:val="00BE7585"/>
    <w:rsid w:val="00BE7BE8"/>
    <w:rsid w:val="00BF32BE"/>
    <w:rsid w:val="00BF36A9"/>
    <w:rsid w:val="00BF42EA"/>
    <w:rsid w:val="00BF46C2"/>
    <w:rsid w:val="00BF62A8"/>
    <w:rsid w:val="00BF68A8"/>
    <w:rsid w:val="00C013CC"/>
    <w:rsid w:val="00C01BE0"/>
    <w:rsid w:val="00C033FD"/>
    <w:rsid w:val="00C05748"/>
    <w:rsid w:val="00C115E1"/>
    <w:rsid w:val="00C11A03"/>
    <w:rsid w:val="00C13475"/>
    <w:rsid w:val="00C1382B"/>
    <w:rsid w:val="00C14DBD"/>
    <w:rsid w:val="00C16466"/>
    <w:rsid w:val="00C1778D"/>
    <w:rsid w:val="00C2017D"/>
    <w:rsid w:val="00C223E1"/>
    <w:rsid w:val="00C22C0C"/>
    <w:rsid w:val="00C22EAE"/>
    <w:rsid w:val="00C24968"/>
    <w:rsid w:val="00C269BE"/>
    <w:rsid w:val="00C3029C"/>
    <w:rsid w:val="00C32C10"/>
    <w:rsid w:val="00C34EE0"/>
    <w:rsid w:val="00C35A18"/>
    <w:rsid w:val="00C36AFB"/>
    <w:rsid w:val="00C40255"/>
    <w:rsid w:val="00C42FB4"/>
    <w:rsid w:val="00C45224"/>
    <w:rsid w:val="00C4527F"/>
    <w:rsid w:val="00C463DD"/>
    <w:rsid w:val="00C4724C"/>
    <w:rsid w:val="00C516FD"/>
    <w:rsid w:val="00C629A0"/>
    <w:rsid w:val="00C64629"/>
    <w:rsid w:val="00C66857"/>
    <w:rsid w:val="00C7158E"/>
    <w:rsid w:val="00C724BB"/>
    <w:rsid w:val="00C726AB"/>
    <w:rsid w:val="00C745C3"/>
    <w:rsid w:val="00C7751A"/>
    <w:rsid w:val="00C83F4A"/>
    <w:rsid w:val="00C85BE7"/>
    <w:rsid w:val="00C87D82"/>
    <w:rsid w:val="00C914D6"/>
    <w:rsid w:val="00C951F1"/>
    <w:rsid w:val="00CA21ED"/>
    <w:rsid w:val="00CA5218"/>
    <w:rsid w:val="00CB2CB5"/>
    <w:rsid w:val="00CB3E03"/>
    <w:rsid w:val="00CB43CD"/>
    <w:rsid w:val="00CB6282"/>
    <w:rsid w:val="00CC43C6"/>
    <w:rsid w:val="00CC4F3B"/>
    <w:rsid w:val="00CC7F95"/>
    <w:rsid w:val="00CD2AF3"/>
    <w:rsid w:val="00CD33F2"/>
    <w:rsid w:val="00CD4A7D"/>
    <w:rsid w:val="00CE23CE"/>
    <w:rsid w:val="00CE4504"/>
    <w:rsid w:val="00CE4A8F"/>
    <w:rsid w:val="00CE612A"/>
    <w:rsid w:val="00CE7B3D"/>
    <w:rsid w:val="00CF18A2"/>
    <w:rsid w:val="00CF531B"/>
    <w:rsid w:val="00CF6044"/>
    <w:rsid w:val="00D054B1"/>
    <w:rsid w:val="00D06BF0"/>
    <w:rsid w:val="00D14FA5"/>
    <w:rsid w:val="00D2031B"/>
    <w:rsid w:val="00D245A5"/>
    <w:rsid w:val="00D25E86"/>
    <w:rsid w:val="00D25FE2"/>
    <w:rsid w:val="00D346E1"/>
    <w:rsid w:val="00D37C97"/>
    <w:rsid w:val="00D43252"/>
    <w:rsid w:val="00D44C2B"/>
    <w:rsid w:val="00D45856"/>
    <w:rsid w:val="00D46C1A"/>
    <w:rsid w:val="00D47EEA"/>
    <w:rsid w:val="00D51CDE"/>
    <w:rsid w:val="00D55FB5"/>
    <w:rsid w:val="00D576BC"/>
    <w:rsid w:val="00D62FF6"/>
    <w:rsid w:val="00D7065C"/>
    <w:rsid w:val="00D70CAE"/>
    <w:rsid w:val="00D71D60"/>
    <w:rsid w:val="00D73715"/>
    <w:rsid w:val="00D773DF"/>
    <w:rsid w:val="00D77D82"/>
    <w:rsid w:val="00D8313E"/>
    <w:rsid w:val="00D837A0"/>
    <w:rsid w:val="00D90168"/>
    <w:rsid w:val="00D93B9F"/>
    <w:rsid w:val="00D95303"/>
    <w:rsid w:val="00D978C6"/>
    <w:rsid w:val="00DA0508"/>
    <w:rsid w:val="00DA0557"/>
    <w:rsid w:val="00DA2CCF"/>
    <w:rsid w:val="00DA3682"/>
    <w:rsid w:val="00DA3845"/>
    <w:rsid w:val="00DA3C1C"/>
    <w:rsid w:val="00DA70EA"/>
    <w:rsid w:val="00DA73DE"/>
    <w:rsid w:val="00DB0603"/>
    <w:rsid w:val="00DB0B87"/>
    <w:rsid w:val="00DB2345"/>
    <w:rsid w:val="00DB46A9"/>
    <w:rsid w:val="00DC5F2F"/>
    <w:rsid w:val="00DC7A4B"/>
    <w:rsid w:val="00DC7E80"/>
    <w:rsid w:val="00DD1336"/>
    <w:rsid w:val="00DD28C6"/>
    <w:rsid w:val="00DD2F73"/>
    <w:rsid w:val="00DD4FB0"/>
    <w:rsid w:val="00DD6963"/>
    <w:rsid w:val="00DD6D29"/>
    <w:rsid w:val="00DE295F"/>
    <w:rsid w:val="00DE2B7E"/>
    <w:rsid w:val="00DE529E"/>
    <w:rsid w:val="00DE5A00"/>
    <w:rsid w:val="00DE6779"/>
    <w:rsid w:val="00DE7D38"/>
    <w:rsid w:val="00DF05F6"/>
    <w:rsid w:val="00DF1C18"/>
    <w:rsid w:val="00DF5D1E"/>
    <w:rsid w:val="00E004ED"/>
    <w:rsid w:val="00E02062"/>
    <w:rsid w:val="00E02837"/>
    <w:rsid w:val="00E046DF"/>
    <w:rsid w:val="00E1137D"/>
    <w:rsid w:val="00E11EF5"/>
    <w:rsid w:val="00E12930"/>
    <w:rsid w:val="00E12BAB"/>
    <w:rsid w:val="00E12D7E"/>
    <w:rsid w:val="00E13EF8"/>
    <w:rsid w:val="00E1532C"/>
    <w:rsid w:val="00E1771E"/>
    <w:rsid w:val="00E2002E"/>
    <w:rsid w:val="00E205A9"/>
    <w:rsid w:val="00E20B55"/>
    <w:rsid w:val="00E23423"/>
    <w:rsid w:val="00E259B2"/>
    <w:rsid w:val="00E266B5"/>
    <w:rsid w:val="00E27346"/>
    <w:rsid w:val="00E33345"/>
    <w:rsid w:val="00E352D0"/>
    <w:rsid w:val="00E36AC9"/>
    <w:rsid w:val="00E40CD6"/>
    <w:rsid w:val="00E42B08"/>
    <w:rsid w:val="00E4597A"/>
    <w:rsid w:val="00E523BF"/>
    <w:rsid w:val="00E53C9C"/>
    <w:rsid w:val="00E55C68"/>
    <w:rsid w:val="00E55D51"/>
    <w:rsid w:val="00E62A4C"/>
    <w:rsid w:val="00E62C25"/>
    <w:rsid w:val="00E6381F"/>
    <w:rsid w:val="00E63B75"/>
    <w:rsid w:val="00E64665"/>
    <w:rsid w:val="00E65539"/>
    <w:rsid w:val="00E718CE"/>
    <w:rsid w:val="00E71BC8"/>
    <w:rsid w:val="00E7260F"/>
    <w:rsid w:val="00E73059"/>
    <w:rsid w:val="00E73B48"/>
    <w:rsid w:val="00E73F5D"/>
    <w:rsid w:val="00E771F8"/>
    <w:rsid w:val="00E775D1"/>
    <w:rsid w:val="00E77E4E"/>
    <w:rsid w:val="00E80B61"/>
    <w:rsid w:val="00E82F5F"/>
    <w:rsid w:val="00E91366"/>
    <w:rsid w:val="00E915A7"/>
    <w:rsid w:val="00E92F5D"/>
    <w:rsid w:val="00E94C44"/>
    <w:rsid w:val="00E96630"/>
    <w:rsid w:val="00E96661"/>
    <w:rsid w:val="00EA00C1"/>
    <w:rsid w:val="00EA3A2B"/>
    <w:rsid w:val="00EA5802"/>
    <w:rsid w:val="00EA7683"/>
    <w:rsid w:val="00EA789D"/>
    <w:rsid w:val="00EA796C"/>
    <w:rsid w:val="00EB3AA1"/>
    <w:rsid w:val="00EB7DDE"/>
    <w:rsid w:val="00EC1C01"/>
    <w:rsid w:val="00EC28CA"/>
    <w:rsid w:val="00EC30B8"/>
    <w:rsid w:val="00EC41EE"/>
    <w:rsid w:val="00EC5D0F"/>
    <w:rsid w:val="00EC63DC"/>
    <w:rsid w:val="00EC6527"/>
    <w:rsid w:val="00ED04F9"/>
    <w:rsid w:val="00ED1464"/>
    <w:rsid w:val="00ED325A"/>
    <w:rsid w:val="00ED40D5"/>
    <w:rsid w:val="00ED5381"/>
    <w:rsid w:val="00ED7A2A"/>
    <w:rsid w:val="00EE04CF"/>
    <w:rsid w:val="00EE085F"/>
    <w:rsid w:val="00EE0F98"/>
    <w:rsid w:val="00EF1D7A"/>
    <w:rsid w:val="00EF1D7F"/>
    <w:rsid w:val="00EF297C"/>
    <w:rsid w:val="00EF2BBE"/>
    <w:rsid w:val="00EF6476"/>
    <w:rsid w:val="00F02137"/>
    <w:rsid w:val="00F073F2"/>
    <w:rsid w:val="00F07F0B"/>
    <w:rsid w:val="00F14E66"/>
    <w:rsid w:val="00F16B64"/>
    <w:rsid w:val="00F16F24"/>
    <w:rsid w:val="00F23596"/>
    <w:rsid w:val="00F2387E"/>
    <w:rsid w:val="00F24B8B"/>
    <w:rsid w:val="00F26312"/>
    <w:rsid w:val="00F26E6D"/>
    <w:rsid w:val="00F27310"/>
    <w:rsid w:val="00F31053"/>
    <w:rsid w:val="00F31E5F"/>
    <w:rsid w:val="00F3597B"/>
    <w:rsid w:val="00F35AE9"/>
    <w:rsid w:val="00F44E85"/>
    <w:rsid w:val="00F536D4"/>
    <w:rsid w:val="00F56707"/>
    <w:rsid w:val="00F56B9B"/>
    <w:rsid w:val="00F6100A"/>
    <w:rsid w:val="00F6201B"/>
    <w:rsid w:val="00F66048"/>
    <w:rsid w:val="00F67911"/>
    <w:rsid w:val="00F735FB"/>
    <w:rsid w:val="00F763F7"/>
    <w:rsid w:val="00F80B30"/>
    <w:rsid w:val="00F811E0"/>
    <w:rsid w:val="00F82A52"/>
    <w:rsid w:val="00F836EC"/>
    <w:rsid w:val="00F8566F"/>
    <w:rsid w:val="00F90BA3"/>
    <w:rsid w:val="00F91736"/>
    <w:rsid w:val="00F92E41"/>
    <w:rsid w:val="00F93781"/>
    <w:rsid w:val="00F93EBA"/>
    <w:rsid w:val="00F96492"/>
    <w:rsid w:val="00FA0395"/>
    <w:rsid w:val="00FA0F24"/>
    <w:rsid w:val="00FA23EA"/>
    <w:rsid w:val="00FA33C3"/>
    <w:rsid w:val="00FA408B"/>
    <w:rsid w:val="00FA5616"/>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paragraph" w:customStyle="1" w:styleId="SingleTxt">
    <w:name w:val="__Single Txt"/>
    <w:basedOn w:val="Normal"/>
    <w:rsid w:val="00E020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E02062"/>
    <w:pPr>
      <w:autoSpaceDE w:val="0"/>
      <w:autoSpaceDN w:val="0"/>
      <w:adjustRightInd w:val="0"/>
    </w:pPr>
    <w:rPr>
      <w:rFonts w:ascii="Arial" w:eastAsia="MS Mincho" w:hAnsi="Arial" w:cs="Arial"/>
      <w:color w:val="000000"/>
      <w:sz w:val="24"/>
      <w:szCs w:val="24"/>
    </w:rPr>
  </w:style>
  <w:style w:type="character" w:customStyle="1" w:styleId="FooterChar">
    <w:name w:val="Footer Char"/>
    <w:link w:val="Footer"/>
    <w:uiPriority w:val="99"/>
    <w:rsid w:val="00C115E1"/>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paragraph" w:customStyle="1" w:styleId="SingleTxt">
    <w:name w:val="__Single Txt"/>
    <w:basedOn w:val="Normal"/>
    <w:rsid w:val="00E020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E02062"/>
    <w:pPr>
      <w:autoSpaceDE w:val="0"/>
      <w:autoSpaceDN w:val="0"/>
      <w:adjustRightInd w:val="0"/>
    </w:pPr>
    <w:rPr>
      <w:rFonts w:ascii="Arial" w:eastAsia="MS Mincho" w:hAnsi="Arial" w:cs="Arial"/>
      <w:color w:val="000000"/>
      <w:sz w:val="24"/>
      <w:szCs w:val="24"/>
    </w:rPr>
  </w:style>
  <w:style w:type="character" w:customStyle="1" w:styleId="FooterChar">
    <w:name w:val="Footer Char"/>
    <w:link w:val="Footer"/>
    <w:uiPriority w:val="99"/>
    <w:rsid w:val="00C115E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32FA-69B5-4379-8A58-FFB52B5E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1</TotalTime>
  <Pages>7</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0924779</vt:lpstr>
    </vt:vector>
  </TitlesOfParts>
  <Company>CSD</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barrio-champeau</cp:lastModifiedBy>
  <cp:revision>2</cp:revision>
  <cp:lastPrinted>2016-11-23T13:07:00Z</cp:lastPrinted>
  <dcterms:created xsi:type="dcterms:W3CDTF">2016-11-23T13:53:00Z</dcterms:created>
  <dcterms:modified xsi:type="dcterms:W3CDTF">2016-11-23T13:53:00Z</dcterms:modified>
</cp:coreProperties>
</file>