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100338" w:rsidTr="009209F1">
        <w:trPr>
          <w:trHeight w:hRule="exact" w:val="851"/>
        </w:trPr>
        <w:tc>
          <w:tcPr>
            <w:tcW w:w="1276"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5" w:type="dxa"/>
            <w:gridSpan w:val="2"/>
            <w:tcBorders>
              <w:bottom w:val="single" w:sz="4" w:space="0" w:color="auto"/>
            </w:tcBorders>
            <w:vAlign w:val="bottom"/>
          </w:tcPr>
          <w:p w:rsidR="003D1DF3" w:rsidRPr="006C5949" w:rsidRDefault="009209F1" w:rsidP="009209F1">
            <w:pPr>
              <w:jc w:val="right"/>
              <w:rPr>
                <w:lang w:val="en-GB"/>
              </w:rPr>
            </w:pPr>
            <w:r w:rsidRPr="006C5949">
              <w:rPr>
                <w:sz w:val="40"/>
                <w:lang w:val="en-GB"/>
              </w:rPr>
              <w:t>ECE</w:t>
            </w:r>
            <w:r w:rsidRPr="006C5949">
              <w:rPr>
                <w:lang w:val="en-GB"/>
              </w:rPr>
              <w:t>/TRANS/WP.15/AC.1/142/Add.2</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367E6A" w:rsidP="00F01516">
            <w:pPr>
              <w:spacing w:before="120"/>
              <w:jc w:val="center"/>
              <w:rPr>
                <w:lang w:val="fr-FR"/>
              </w:rPr>
            </w:pPr>
            <w:r>
              <w:rPr>
                <w:noProof/>
                <w:lang w:val="en-GB" w:eastAsia="en-GB"/>
              </w:rPr>
              <w:drawing>
                <wp:inline distT="0" distB="0" distL="0" distR="0" wp14:anchorId="6CE87F42" wp14:editId="2E6708D4">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9209F1" w:rsidP="009209F1">
            <w:pPr>
              <w:spacing w:before="240" w:line="240" w:lineRule="exact"/>
              <w:rPr>
                <w:lang w:val="fr-FR"/>
              </w:rPr>
            </w:pPr>
            <w:proofErr w:type="spellStart"/>
            <w:r>
              <w:rPr>
                <w:lang w:val="fr-FR"/>
              </w:rPr>
              <w:t>Distr</w:t>
            </w:r>
            <w:proofErr w:type="spellEnd"/>
            <w:r>
              <w:rPr>
                <w:lang w:val="fr-FR"/>
              </w:rPr>
              <w:t>. générale</w:t>
            </w:r>
          </w:p>
          <w:p w:rsidR="009209F1" w:rsidRDefault="009209F1" w:rsidP="009209F1">
            <w:pPr>
              <w:spacing w:line="240" w:lineRule="exact"/>
              <w:rPr>
                <w:lang w:val="fr-FR"/>
              </w:rPr>
            </w:pPr>
            <w:r>
              <w:rPr>
                <w:lang w:val="fr-FR"/>
              </w:rPr>
              <w:t>1</w:t>
            </w:r>
            <w:r w:rsidR="00100338">
              <w:rPr>
                <w:lang w:val="fr-FR"/>
              </w:rPr>
              <w:t>3</w:t>
            </w:r>
            <w:r>
              <w:rPr>
                <w:lang w:val="fr-FR"/>
              </w:rPr>
              <w:t xml:space="preserve"> avril 2016</w:t>
            </w:r>
          </w:p>
          <w:p w:rsidR="009209F1" w:rsidRDefault="00463287" w:rsidP="009209F1">
            <w:pPr>
              <w:spacing w:line="240" w:lineRule="exact"/>
              <w:rPr>
                <w:lang w:val="fr-FR"/>
              </w:rPr>
            </w:pPr>
            <w:r>
              <w:rPr>
                <w:lang w:val="fr-FR"/>
              </w:rPr>
              <w:t>Français</w:t>
            </w:r>
          </w:p>
          <w:p w:rsidR="009209F1" w:rsidRPr="00367E6A" w:rsidRDefault="009209F1" w:rsidP="009209F1">
            <w:pPr>
              <w:spacing w:line="240" w:lineRule="exact"/>
              <w:rPr>
                <w:lang w:val="fr-FR"/>
              </w:rPr>
            </w:pPr>
            <w:r>
              <w:rPr>
                <w:lang w:val="fr-FR"/>
              </w:rPr>
              <w:t xml:space="preserve">Original: français </w:t>
            </w:r>
            <w:r w:rsidR="00463287">
              <w:rPr>
                <w:lang w:val="fr-FR"/>
              </w:rPr>
              <w:t>et anglais</w:t>
            </w:r>
          </w:p>
        </w:tc>
      </w:tr>
    </w:tbl>
    <w:p w:rsidR="009209F1" w:rsidRDefault="009209F1" w:rsidP="009209F1">
      <w:pPr>
        <w:spacing w:before="120"/>
        <w:rPr>
          <w:b/>
          <w:sz w:val="28"/>
          <w:szCs w:val="28"/>
          <w:lang w:val="fr-FR"/>
        </w:rPr>
      </w:pPr>
      <w:r>
        <w:rPr>
          <w:b/>
          <w:sz w:val="28"/>
          <w:szCs w:val="28"/>
          <w:lang w:val="fr-FR"/>
        </w:rPr>
        <w:t>Commission économique pour l’Europe</w:t>
      </w:r>
    </w:p>
    <w:p w:rsidR="009209F1" w:rsidRDefault="009209F1" w:rsidP="009209F1">
      <w:pPr>
        <w:spacing w:before="120"/>
        <w:rPr>
          <w:sz w:val="28"/>
          <w:szCs w:val="28"/>
          <w:lang w:val="fr-FR"/>
        </w:rPr>
      </w:pPr>
      <w:r>
        <w:rPr>
          <w:sz w:val="28"/>
          <w:szCs w:val="28"/>
          <w:lang w:val="fr-FR"/>
        </w:rPr>
        <w:t>Comité des transports intérieurs</w:t>
      </w:r>
    </w:p>
    <w:p w:rsidR="009209F1" w:rsidRDefault="009209F1" w:rsidP="009209F1">
      <w:pPr>
        <w:spacing w:before="120"/>
        <w:rPr>
          <w:b/>
          <w:sz w:val="24"/>
          <w:szCs w:val="24"/>
          <w:lang w:val="fr-FR"/>
        </w:rPr>
      </w:pPr>
      <w:r>
        <w:rPr>
          <w:b/>
          <w:sz w:val="24"/>
          <w:szCs w:val="24"/>
          <w:lang w:val="fr-FR"/>
        </w:rPr>
        <w:t>Groupe de travail des transports de marchandises dangereuses</w:t>
      </w:r>
    </w:p>
    <w:p w:rsidR="009209F1" w:rsidRDefault="009209F1" w:rsidP="009209F1">
      <w:pPr>
        <w:spacing w:before="120"/>
        <w:rPr>
          <w:b/>
          <w:lang w:val="fr-FR"/>
        </w:rPr>
      </w:pPr>
      <w:r>
        <w:rPr>
          <w:b/>
          <w:lang w:val="fr-FR"/>
        </w:rPr>
        <w:t>Réunion commune de la Commission d’experts</w:t>
      </w:r>
      <w:r>
        <w:rPr>
          <w:b/>
          <w:lang w:val="fr-FR"/>
        </w:rPr>
        <w:br/>
        <w:t>du RID et du Groupe de travail des transports</w:t>
      </w:r>
      <w:r>
        <w:rPr>
          <w:b/>
          <w:lang w:val="fr-FR"/>
        </w:rPr>
        <w:br/>
        <w:t>de marchandises dangereuses</w:t>
      </w:r>
    </w:p>
    <w:p w:rsidR="009209F1" w:rsidRDefault="009209F1" w:rsidP="009209F1">
      <w:pPr>
        <w:pStyle w:val="HChG"/>
        <w:spacing w:after="120"/>
        <w:rPr>
          <w:b w:val="0"/>
        </w:rPr>
      </w:pPr>
      <w:r>
        <w:rPr>
          <w:bCs/>
        </w:rPr>
        <w:tab/>
      </w:r>
      <w:r>
        <w:rPr>
          <w:bCs/>
        </w:rPr>
        <w:tab/>
        <w:t>Rapport de la Réunion commune de la Commission d'experts du RID et du Groupe de travail des transports de marchandises dangereuses sur sa session de printemps 2016</w:t>
      </w:r>
      <w:r>
        <w:rPr>
          <w:rStyle w:val="FootnoteReference"/>
          <w:bCs/>
        </w:rPr>
        <w:footnoteReference w:id="2"/>
      </w:r>
    </w:p>
    <w:p w:rsidR="009209F1" w:rsidRDefault="009209F1" w:rsidP="009209F1">
      <w:pPr>
        <w:pStyle w:val="H56G"/>
      </w:pPr>
      <w:r>
        <w:tab/>
      </w:r>
      <w:r>
        <w:tab/>
      </w:r>
      <w:proofErr w:type="gramStart"/>
      <w:r>
        <w:t>tenue</w:t>
      </w:r>
      <w:proofErr w:type="gramEnd"/>
      <w:r>
        <w:t xml:space="preserve"> à Berne du 14 au 18 mars 2016</w:t>
      </w:r>
    </w:p>
    <w:p w:rsidR="009209F1" w:rsidRDefault="009209F1" w:rsidP="009209F1">
      <w:pPr>
        <w:pStyle w:val="H23"/>
        <w:tabs>
          <w:tab w:val="left" w:pos="1134"/>
          <w:tab w:val="left" w:pos="1742"/>
          <w:tab w:val="left" w:pos="2218"/>
          <w:tab w:val="left" w:pos="2693"/>
          <w:tab w:val="left" w:pos="3182"/>
          <w:tab w:val="left" w:pos="3658"/>
          <w:tab w:val="left" w:pos="4133"/>
          <w:tab w:val="left" w:pos="4622"/>
          <w:tab w:val="left" w:pos="5098"/>
          <w:tab w:val="left" w:pos="5573"/>
          <w:tab w:val="left" w:pos="6048"/>
        </w:tabs>
        <w:ind w:left="1134" w:right="1260" w:hanging="1134"/>
        <w:rPr>
          <w:lang w:val="fr-CH"/>
        </w:rPr>
      </w:pPr>
      <w:r>
        <w:rPr>
          <w:lang w:val="fr-CH"/>
        </w:rPr>
        <w:tab/>
      </w:r>
      <w:r w:rsidRPr="009209F1">
        <w:t>Additif</w:t>
      </w:r>
      <w:r>
        <w:rPr>
          <w:rStyle w:val="FootnoteReference"/>
          <w:b w:val="0"/>
        </w:rPr>
        <w:footnoteReference w:id="3"/>
      </w:r>
    </w:p>
    <w:p w:rsidR="007848F8" w:rsidRDefault="007848F8" w:rsidP="007848F8">
      <w:pPr>
        <w:spacing w:before="240" w:line="120" w:lineRule="atLeast"/>
        <w:outlineLvl w:val="0"/>
        <w:rPr>
          <w:sz w:val="28"/>
        </w:rPr>
      </w:pPr>
      <w:r>
        <w:rPr>
          <w:sz w:val="28"/>
        </w:rPr>
        <w:tab/>
        <w:t>Table des matières</w:t>
      </w:r>
    </w:p>
    <w:p w:rsidR="007848F8" w:rsidRPr="007848F8" w:rsidRDefault="007848F8" w:rsidP="007848F8">
      <w:pPr>
        <w:tabs>
          <w:tab w:val="right" w:pos="8929"/>
          <w:tab w:val="right" w:pos="9638"/>
        </w:tabs>
        <w:spacing w:after="120"/>
        <w:ind w:left="284"/>
      </w:pPr>
      <w:r>
        <w:rPr>
          <w:i/>
          <w:sz w:val="18"/>
        </w:rPr>
        <w:tab/>
      </w:r>
      <w:r w:rsidRPr="007848F8">
        <w:rPr>
          <w:i/>
          <w:sz w:val="18"/>
        </w:rPr>
        <w:t>Paragraph</w:t>
      </w:r>
      <w:r w:rsidR="0023412A">
        <w:rPr>
          <w:i/>
          <w:sz w:val="18"/>
        </w:rPr>
        <w:t>e</w:t>
      </w:r>
      <w:r w:rsidRPr="007848F8">
        <w:rPr>
          <w:i/>
          <w:sz w:val="18"/>
        </w:rPr>
        <w:t>s</w:t>
      </w:r>
      <w:r w:rsidRPr="007848F8">
        <w:rPr>
          <w:i/>
          <w:sz w:val="18"/>
        </w:rPr>
        <w:tab/>
        <w:t>Page</w:t>
      </w:r>
    </w:p>
    <w:p w:rsidR="007848F8" w:rsidRPr="00A25C54" w:rsidRDefault="007848F8" w:rsidP="007848F8">
      <w:pPr>
        <w:tabs>
          <w:tab w:val="right" w:pos="850"/>
          <w:tab w:val="left" w:pos="1134"/>
          <w:tab w:val="left" w:pos="1559"/>
          <w:tab w:val="left" w:pos="1984"/>
          <w:tab w:val="left" w:leader="dot" w:pos="7654"/>
          <w:tab w:val="right" w:pos="8929"/>
          <w:tab w:val="right" w:pos="9638"/>
        </w:tabs>
        <w:spacing w:after="120"/>
      </w:pPr>
      <w:r>
        <w:tab/>
      </w:r>
      <w:r>
        <w:tab/>
      </w:r>
      <w:r w:rsidRPr="00A25C54">
        <w:t>Annex</w:t>
      </w:r>
      <w:r>
        <w:t>e</w:t>
      </w:r>
      <w:r w:rsidRPr="00A25C54">
        <w:t xml:space="preserve"> II</w:t>
      </w:r>
      <w:r w:rsidRPr="00A25C54">
        <w:tab/>
      </w:r>
      <w:r w:rsidRPr="00A25C54">
        <w:tab/>
      </w:r>
      <w:r w:rsidRPr="00A25C54">
        <w:tab/>
      </w:r>
      <w:r w:rsidRPr="00A25C54">
        <w:tab/>
        <w:t>2</w:t>
      </w:r>
    </w:p>
    <w:p w:rsidR="007848F8" w:rsidRPr="00A25C54" w:rsidRDefault="007848F8" w:rsidP="007848F8">
      <w:pPr>
        <w:tabs>
          <w:tab w:val="right" w:pos="850"/>
          <w:tab w:val="left" w:pos="1134"/>
          <w:tab w:val="left" w:pos="1559"/>
          <w:tab w:val="left" w:pos="1984"/>
          <w:tab w:val="left" w:leader="dot" w:pos="7654"/>
          <w:tab w:val="right" w:pos="8929"/>
          <w:tab w:val="right" w:pos="9638"/>
        </w:tabs>
        <w:spacing w:after="120"/>
      </w:pPr>
      <w:r w:rsidRPr="00A25C54">
        <w:tab/>
      </w:r>
      <w:r w:rsidRPr="00A25C54">
        <w:tab/>
        <w:t>Annex</w:t>
      </w:r>
      <w:r>
        <w:t>e</w:t>
      </w:r>
      <w:r w:rsidRPr="00A25C54">
        <w:t xml:space="preserve"> III</w:t>
      </w:r>
      <w:r w:rsidRPr="00A25C54">
        <w:tab/>
      </w:r>
      <w:r w:rsidRPr="00A25C54">
        <w:tab/>
      </w:r>
      <w:r w:rsidRPr="00A25C54">
        <w:tab/>
        <w:t>8</w:t>
      </w:r>
    </w:p>
    <w:p w:rsidR="007848F8" w:rsidRPr="00A25C54" w:rsidRDefault="007848F8" w:rsidP="007848F8">
      <w:pPr>
        <w:tabs>
          <w:tab w:val="right" w:pos="850"/>
          <w:tab w:val="left" w:pos="1134"/>
          <w:tab w:val="left" w:pos="1559"/>
          <w:tab w:val="left" w:pos="1984"/>
          <w:tab w:val="left" w:leader="dot" w:pos="7654"/>
          <w:tab w:val="right" w:pos="8929"/>
          <w:tab w:val="right" w:pos="9638"/>
        </w:tabs>
        <w:spacing w:after="120"/>
      </w:pPr>
      <w:r w:rsidRPr="00A25C54">
        <w:tab/>
      </w:r>
      <w:r w:rsidRPr="00A25C54">
        <w:tab/>
        <w:t>Annex</w:t>
      </w:r>
      <w:r>
        <w:t>e</w:t>
      </w:r>
      <w:r w:rsidRPr="00A25C54">
        <w:t xml:space="preserve"> IV</w:t>
      </w:r>
      <w:r w:rsidRPr="00A25C54">
        <w:tab/>
      </w:r>
      <w:r w:rsidRPr="00A25C54">
        <w:tab/>
      </w:r>
      <w:r w:rsidRPr="00A25C54">
        <w:tab/>
        <w:t>2</w:t>
      </w:r>
      <w:r>
        <w:t>8</w:t>
      </w:r>
    </w:p>
    <w:p w:rsidR="009209F1" w:rsidRDefault="009209F1">
      <w:pPr>
        <w:suppressAutoHyphens w:val="0"/>
        <w:spacing w:line="240" w:lineRule="auto"/>
        <w:rPr>
          <w:color w:val="FF0000"/>
          <w:lang w:val="fr-FR"/>
        </w:rPr>
      </w:pPr>
      <w:r>
        <w:rPr>
          <w:color w:val="FF0000"/>
          <w:lang w:val="fr-FR"/>
        </w:rPr>
        <w:br w:type="page"/>
      </w:r>
    </w:p>
    <w:p w:rsidR="009209F1" w:rsidRDefault="009209F1" w:rsidP="009209F1">
      <w:pPr>
        <w:pStyle w:val="HChG"/>
        <w:rPr>
          <w:lang w:val="fr-FR"/>
        </w:rPr>
      </w:pPr>
      <w:r>
        <w:rPr>
          <w:lang w:val="fr-FR"/>
        </w:rPr>
        <w:lastRenderedPageBreak/>
        <w:t>Annexe II</w:t>
      </w:r>
    </w:p>
    <w:p w:rsidR="009209F1" w:rsidRDefault="009209F1" w:rsidP="009209F1">
      <w:pPr>
        <w:pStyle w:val="HChG"/>
        <w:rPr>
          <w:lang w:val="fr-FR"/>
        </w:rPr>
      </w:pPr>
      <w:r>
        <w:rPr>
          <w:lang w:val="fr-FR"/>
        </w:rPr>
        <w:tab/>
      </w:r>
      <w:r>
        <w:rPr>
          <w:lang w:val="fr-FR"/>
        </w:rPr>
        <w:tab/>
        <w:t>Corrections aux projets d’amendements dans les documents ECE/TRANS/WP.15/231 et OTIF/RID/CE/GTP/2015/12</w:t>
      </w:r>
    </w:p>
    <w:p w:rsidR="009209F1" w:rsidRDefault="009209F1" w:rsidP="009209F1">
      <w:pPr>
        <w:pStyle w:val="H1G"/>
        <w:rPr>
          <w:sz w:val="20"/>
          <w:lang w:val="fr-FR"/>
        </w:rPr>
      </w:pPr>
      <w:r>
        <w:rPr>
          <w:sz w:val="20"/>
          <w:lang w:val="fr-FR"/>
        </w:rPr>
        <w:tab/>
      </w:r>
      <w:r>
        <w:rPr>
          <w:sz w:val="20"/>
          <w:lang w:val="fr-FR"/>
        </w:rPr>
        <w:tab/>
        <w:t>(ADR:) Amendement à la Partie 1, Chapitre 1.1, première phrase du troisième paragraphe du 1.1.3.3 a)</w:t>
      </w:r>
    </w:p>
    <w:p w:rsidR="009209F1" w:rsidRDefault="009209F1" w:rsidP="009209F1">
      <w:pPr>
        <w:pStyle w:val="SingleTxtG"/>
        <w:rPr>
          <w:lang w:val="fr-FR"/>
        </w:rPr>
      </w:pPr>
      <w:r>
        <w:rPr>
          <w:i/>
          <w:lang w:val="fr-FR"/>
        </w:rPr>
        <w:t>Supprimer</w:t>
      </w:r>
    </w:p>
    <w:p w:rsidR="009209F1" w:rsidRDefault="009209F1" w:rsidP="009209F1">
      <w:pPr>
        <w:pStyle w:val="SingleTxtG"/>
        <w:ind w:left="0"/>
        <w:rPr>
          <w:i/>
          <w:lang w:val="fr-FR"/>
        </w:rPr>
      </w:pPr>
      <w:r>
        <w:rPr>
          <w:i/>
          <w:iCs/>
          <w:lang w:val="fr-FR"/>
        </w:rPr>
        <w:t>(Documents de référence: ECE/TRANS/WP.15/AC.1/2016/16, document informel INF.52 et document informel INF.60)</w:t>
      </w:r>
    </w:p>
    <w:p w:rsidR="009209F1" w:rsidRDefault="009209F1" w:rsidP="009209F1">
      <w:pPr>
        <w:keepNext/>
        <w:keepLines/>
        <w:tabs>
          <w:tab w:val="right" w:pos="851"/>
        </w:tabs>
        <w:spacing w:before="360" w:after="240" w:line="270" w:lineRule="exact"/>
        <w:ind w:left="1134" w:right="1134" w:hanging="1134"/>
        <w:rPr>
          <w:b/>
          <w:lang w:val="fr-FR"/>
        </w:rPr>
      </w:pPr>
      <w:r>
        <w:rPr>
          <w:b/>
          <w:lang w:val="fr-FR"/>
        </w:rPr>
        <w:tab/>
      </w:r>
      <w:r>
        <w:rPr>
          <w:b/>
          <w:lang w:val="fr-FR"/>
        </w:rPr>
        <w:tab/>
        <w:t>Amendements à la Partie 1, Chapitre 1.6, 1.6.1.20, 1.6.1.28, 1.6.1.30, 1.6.1.31, 1.6.1.32</w:t>
      </w:r>
    </w:p>
    <w:p w:rsidR="009209F1" w:rsidRDefault="009209F1" w:rsidP="009209F1">
      <w:pPr>
        <w:spacing w:after="120"/>
        <w:ind w:left="1134" w:right="1134"/>
        <w:jc w:val="both"/>
        <w:rPr>
          <w:lang w:val="fr-FR"/>
        </w:rPr>
      </w:pPr>
      <w:r>
        <w:rPr>
          <w:i/>
          <w:lang w:val="fr-FR"/>
        </w:rPr>
        <w:t xml:space="preserve">Supprimer </w:t>
      </w:r>
      <w:r>
        <w:rPr>
          <w:lang w:val="fr-FR"/>
        </w:rPr>
        <w:t>1.6.10.30</w:t>
      </w:r>
    </w:p>
    <w:p w:rsidR="009209F1" w:rsidRDefault="009209F1" w:rsidP="009209F1">
      <w:pPr>
        <w:pStyle w:val="H1G"/>
        <w:rPr>
          <w:sz w:val="20"/>
          <w:lang w:val="fr-FR"/>
        </w:rPr>
      </w:pPr>
      <w:r>
        <w:rPr>
          <w:sz w:val="20"/>
          <w:lang w:val="fr-FR"/>
        </w:rPr>
        <w:tab/>
      </w:r>
      <w:r>
        <w:rPr>
          <w:sz w:val="20"/>
          <w:lang w:val="fr-FR"/>
        </w:rPr>
        <w:tab/>
        <w:t>Amendements à la Partie 1, Chapitre 1.6, nouvelles mesures transitoires 1.6.1.37 à 1.6.1.41</w:t>
      </w:r>
    </w:p>
    <w:p w:rsidR="009209F1" w:rsidRDefault="009209F1" w:rsidP="009209F1">
      <w:pPr>
        <w:pStyle w:val="SingleTxtG"/>
        <w:rPr>
          <w:lang w:val="fr-FR"/>
        </w:rPr>
      </w:pPr>
      <w:r>
        <w:rPr>
          <w:i/>
          <w:lang w:val="fr-FR"/>
        </w:rPr>
        <w:t xml:space="preserve">Renuméroter </w:t>
      </w:r>
      <w:r>
        <w:rPr>
          <w:lang w:val="fr-FR"/>
        </w:rPr>
        <w:t>en tant que mesures transitoires 1.6.1.38 à 1.6.1.42.</w:t>
      </w:r>
    </w:p>
    <w:p w:rsidR="009209F1" w:rsidRDefault="009209F1" w:rsidP="009209F1">
      <w:pPr>
        <w:pStyle w:val="H1G"/>
        <w:rPr>
          <w:sz w:val="20"/>
          <w:lang w:val="fr-FR"/>
        </w:rPr>
      </w:pPr>
      <w:r>
        <w:rPr>
          <w:sz w:val="20"/>
          <w:lang w:val="fr-FR"/>
        </w:rPr>
        <w:tab/>
      </w:r>
      <w:r>
        <w:rPr>
          <w:sz w:val="20"/>
          <w:lang w:val="fr-FR"/>
        </w:rPr>
        <w:tab/>
        <w:t>(ADR:) Amendement à la Partie 1, Chapitre 1.8, 1.8.3.12.4 a)</w:t>
      </w:r>
    </w:p>
    <w:p w:rsidR="009209F1" w:rsidRDefault="009209F1" w:rsidP="009209F1">
      <w:pPr>
        <w:pStyle w:val="SingleTxtG"/>
        <w:rPr>
          <w:lang w:val="fr-FR"/>
        </w:rPr>
      </w:pPr>
      <w:r>
        <w:rPr>
          <w:lang w:val="fr-FR"/>
        </w:rPr>
        <w:t>Sans objet en français.</w:t>
      </w:r>
    </w:p>
    <w:p w:rsidR="009209F1" w:rsidRDefault="009209F1" w:rsidP="009209F1">
      <w:pPr>
        <w:pStyle w:val="H1G"/>
        <w:rPr>
          <w:sz w:val="20"/>
          <w:lang w:val="fr-FR"/>
        </w:rPr>
      </w:pPr>
      <w:r>
        <w:rPr>
          <w:sz w:val="20"/>
          <w:lang w:val="fr-FR"/>
        </w:rPr>
        <w:tab/>
      </w:r>
      <w:r>
        <w:rPr>
          <w:sz w:val="20"/>
          <w:lang w:val="fr-FR"/>
        </w:rPr>
        <w:tab/>
        <w:t>Amendement à la Partie 2, Chapitre 2.2, 2.2.9.1.14, premier amendement</w:t>
      </w:r>
    </w:p>
    <w:p w:rsidR="009209F1" w:rsidRDefault="009209F1" w:rsidP="009209F1">
      <w:pPr>
        <w:pStyle w:val="SingleTxtG"/>
        <w:rPr>
          <w:lang w:val="fr-FR"/>
        </w:rPr>
      </w:pPr>
      <w:r>
        <w:rPr>
          <w:i/>
          <w:lang w:val="fr-FR"/>
        </w:rPr>
        <w:t xml:space="preserve">Au lieu de </w:t>
      </w:r>
      <w:r>
        <w:rPr>
          <w:rFonts w:eastAsia="Calibri"/>
          <w:lang w:val="fr-FR"/>
        </w:rPr>
        <w:t>«</w:t>
      </w:r>
      <w:r>
        <w:rPr>
          <w:lang w:val="fr-FR"/>
        </w:rPr>
        <w:t>Moteurs et machines à combustion interne</w:t>
      </w:r>
      <w:r>
        <w:rPr>
          <w:rFonts w:eastAsia="Calibri"/>
          <w:lang w:val="fr-FR"/>
        </w:rPr>
        <w:t xml:space="preserve">» </w:t>
      </w:r>
      <w:r>
        <w:rPr>
          <w:rFonts w:eastAsia="Calibri"/>
          <w:i/>
          <w:lang w:val="fr-FR"/>
        </w:rPr>
        <w:t xml:space="preserve">lire </w:t>
      </w:r>
      <w:r>
        <w:rPr>
          <w:lang w:val="fr-FR"/>
        </w:rPr>
        <w:t>«Véhicules, moteurs et machines à combustion interne»</w:t>
      </w:r>
    </w:p>
    <w:p w:rsidR="009209F1" w:rsidRDefault="009209F1" w:rsidP="009209F1">
      <w:pPr>
        <w:pStyle w:val="SingleTxtG"/>
        <w:ind w:left="0"/>
        <w:rPr>
          <w:i/>
          <w:lang w:val="fr-FR"/>
        </w:rPr>
      </w:pPr>
      <w:r>
        <w:rPr>
          <w:i/>
          <w:lang w:val="fr-FR"/>
        </w:rPr>
        <w:t>(Document de référence: document informel INF.5)</w:t>
      </w:r>
    </w:p>
    <w:p w:rsidR="009209F1" w:rsidRDefault="009209F1" w:rsidP="009209F1">
      <w:pPr>
        <w:pStyle w:val="H1G"/>
        <w:rPr>
          <w:sz w:val="20"/>
          <w:lang w:val="fr-FR"/>
        </w:rPr>
      </w:pPr>
      <w:r>
        <w:rPr>
          <w:sz w:val="20"/>
          <w:lang w:val="fr-FR"/>
        </w:rPr>
        <w:tab/>
      </w:r>
      <w:r>
        <w:rPr>
          <w:sz w:val="20"/>
          <w:lang w:val="fr-FR"/>
        </w:rPr>
        <w:tab/>
        <w:t>Amendement à la Partie 3, Chapitre 3.2, Tableau A, nouvelles rubriques 0015, 0016 et 0303, colonne (18)</w:t>
      </w:r>
    </w:p>
    <w:p w:rsidR="009209F1" w:rsidRDefault="009209F1" w:rsidP="009209F1">
      <w:pPr>
        <w:pStyle w:val="SingleTxtG"/>
        <w:rPr>
          <w:lang w:val="fr-FR"/>
        </w:rPr>
      </w:pPr>
      <w:r>
        <w:rPr>
          <w:i/>
          <w:lang w:val="fr-FR"/>
        </w:rPr>
        <w:t>Insérer</w:t>
      </w:r>
      <w:r>
        <w:rPr>
          <w:lang w:val="fr-FR"/>
        </w:rPr>
        <w:t xml:space="preserve"> CW28/CV28</w:t>
      </w:r>
    </w:p>
    <w:p w:rsidR="009209F1" w:rsidRDefault="009209F1" w:rsidP="009209F1">
      <w:pPr>
        <w:pStyle w:val="SingleTxtG"/>
        <w:ind w:left="0"/>
        <w:rPr>
          <w:i/>
          <w:lang w:val="fr-FR"/>
        </w:rPr>
      </w:pPr>
      <w:r>
        <w:rPr>
          <w:i/>
          <w:lang w:val="fr-FR"/>
        </w:rPr>
        <w:t>(Document de référence: document informel INF.5)</w:t>
      </w:r>
    </w:p>
    <w:p w:rsidR="009209F1" w:rsidRDefault="009209F1" w:rsidP="009209F1">
      <w:pPr>
        <w:pStyle w:val="H1G"/>
        <w:rPr>
          <w:sz w:val="20"/>
          <w:lang w:val="fr-FR"/>
        </w:rPr>
      </w:pPr>
      <w:r>
        <w:rPr>
          <w:sz w:val="20"/>
          <w:lang w:val="fr-FR"/>
        </w:rPr>
        <w:tab/>
      </w:r>
      <w:r>
        <w:rPr>
          <w:sz w:val="20"/>
          <w:lang w:val="fr-FR"/>
        </w:rPr>
        <w:tab/>
        <w:t>Amendement à la Partie 3, Chapitre 3.3, disposition spéciale 363,</w:t>
      </w:r>
      <w:r>
        <w:rPr>
          <w:lang w:val="fr-FR"/>
        </w:rPr>
        <w:t xml:space="preserve"> </w:t>
      </w:r>
      <w:r>
        <w:rPr>
          <w:sz w:val="20"/>
          <w:lang w:val="fr-FR"/>
        </w:rPr>
        <w:t>dans le Nota après l’alinéa a)</w:t>
      </w:r>
    </w:p>
    <w:p w:rsidR="009209F1" w:rsidRDefault="009209F1" w:rsidP="009209F1">
      <w:pPr>
        <w:pStyle w:val="SingleTxtG"/>
        <w:rPr>
          <w:lang w:val="fr-FR"/>
        </w:rPr>
      </w:pPr>
      <w:r>
        <w:rPr>
          <w:i/>
          <w:lang w:val="fr-FR"/>
        </w:rPr>
        <w:t>Au lieu de</w:t>
      </w:r>
      <w:r>
        <w:rPr>
          <w:b/>
          <w:lang w:val="fr-FR"/>
        </w:rPr>
        <w:t xml:space="preserve"> </w:t>
      </w:r>
      <w:r>
        <w:rPr>
          <w:lang w:val="fr-FR"/>
        </w:rPr>
        <w:t xml:space="preserve">1.1.3.3 </w:t>
      </w:r>
      <w:r>
        <w:rPr>
          <w:i/>
          <w:lang w:val="fr-FR"/>
        </w:rPr>
        <w:t>lire</w:t>
      </w:r>
      <w:r>
        <w:rPr>
          <w:lang w:val="fr-FR"/>
        </w:rPr>
        <w:t xml:space="preserve"> 1.1.3.2 a), d) et e), 1.1.3.3 et 1.1.3.7</w:t>
      </w:r>
    </w:p>
    <w:p w:rsidR="009209F1" w:rsidRDefault="009209F1" w:rsidP="009209F1">
      <w:pPr>
        <w:pStyle w:val="SingleTxtG"/>
        <w:ind w:left="0"/>
        <w:rPr>
          <w:i/>
          <w:lang w:val="fr-FR"/>
        </w:rPr>
      </w:pPr>
      <w:r>
        <w:rPr>
          <w:i/>
          <w:lang w:val="fr-FR"/>
        </w:rPr>
        <w:t>(Document de référence ECE/TRANS/WP.15/AC.1/2016/16)</w:t>
      </w:r>
    </w:p>
    <w:p w:rsidR="009209F1" w:rsidRDefault="009209F1" w:rsidP="009209F1">
      <w:pPr>
        <w:pStyle w:val="H1G"/>
        <w:rPr>
          <w:sz w:val="20"/>
          <w:lang w:val="fr-FR"/>
        </w:rPr>
      </w:pPr>
      <w:r>
        <w:rPr>
          <w:sz w:val="20"/>
          <w:lang w:val="fr-FR"/>
        </w:rPr>
        <w:lastRenderedPageBreak/>
        <w:tab/>
      </w:r>
      <w:r>
        <w:rPr>
          <w:sz w:val="20"/>
          <w:lang w:val="fr-FR"/>
        </w:rPr>
        <w:tab/>
        <w:t>(RID:) Amendement à la Partie 3, Chapitre 3.3, disposition spéciale 369</w:t>
      </w:r>
    </w:p>
    <w:p w:rsidR="009209F1" w:rsidRDefault="009209F1" w:rsidP="009209F1">
      <w:pPr>
        <w:pStyle w:val="SingleTxtG"/>
        <w:rPr>
          <w:lang w:val="fr-FR"/>
        </w:rPr>
      </w:pPr>
      <w:r>
        <w:rPr>
          <w:i/>
          <w:lang w:val="fr-FR"/>
        </w:rPr>
        <w:t>Au lieu de</w:t>
      </w:r>
      <w:r>
        <w:rPr>
          <w:b/>
          <w:lang w:val="fr-FR"/>
        </w:rPr>
        <w:t xml:space="preserve"> </w:t>
      </w:r>
      <w:r>
        <w:rPr>
          <w:snapToGrid w:val="0"/>
          <w:szCs w:val="24"/>
          <w:lang w:val="fr-FR"/>
        </w:rPr>
        <w:t>[de matière radioactive]</w:t>
      </w:r>
      <w:r>
        <w:rPr>
          <w:lang w:val="fr-FR"/>
        </w:rPr>
        <w:t xml:space="preserve"> </w:t>
      </w:r>
      <w:r>
        <w:rPr>
          <w:i/>
          <w:lang w:val="fr-FR"/>
        </w:rPr>
        <w:t>lire</w:t>
      </w:r>
      <w:r>
        <w:rPr>
          <w:lang w:val="fr-FR"/>
        </w:rPr>
        <w:t xml:space="preserve"> de radioactivité</w:t>
      </w:r>
    </w:p>
    <w:p w:rsidR="009209F1" w:rsidRDefault="009209F1" w:rsidP="009209F1">
      <w:pPr>
        <w:pStyle w:val="SingleTxtG"/>
        <w:ind w:left="0"/>
        <w:rPr>
          <w:i/>
          <w:lang w:val="fr-FR"/>
        </w:rPr>
      </w:pPr>
      <w:r>
        <w:rPr>
          <w:i/>
          <w:lang w:val="fr-FR"/>
        </w:rPr>
        <w:t>(Document de référence: document informel INF.24)</w:t>
      </w:r>
    </w:p>
    <w:p w:rsidR="009209F1" w:rsidRDefault="009209F1" w:rsidP="009209F1">
      <w:pPr>
        <w:pStyle w:val="H1G"/>
        <w:rPr>
          <w:sz w:val="20"/>
          <w:lang w:val="fr-FR"/>
        </w:rPr>
      </w:pPr>
      <w:r>
        <w:rPr>
          <w:sz w:val="20"/>
          <w:lang w:val="fr-FR"/>
        </w:rPr>
        <w:tab/>
      </w:r>
      <w:r>
        <w:rPr>
          <w:sz w:val="20"/>
          <w:lang w:val="fr-FR"/>
        </w:rPr>
        <w:tab/>
        <w:t>Amendement à la Partie 3, Chapitre 3.3, nouvelle disposition spéciale 378, dans le Nota sous l’alinéa e)</w:t>
      </w:r>
    </w:p>
    <w:p w:rsidR="009209F1" w:rsidRDefault="009209F1" w:rsidP="009209F1">
      <w:pPr>
        <w:pStyle w:val="SingleTxtG"/>
        <w:rPr>
          <w:lang w:val="fr-FR"/>
        </w:rPr>
      </w:pPr>
      <w:r>
        <w:rPr>
          <w:i/>
          <w:lang w:val="fr-FR"/>
        </w:rPr>
        <w:t xml:space="preserve">Au lieu </w:t>
      </w:r>
      <w:proofErr w:type="gramStart"/>
      <w:r>
        <w:rPr>
          <w:i/>
          <w:lang w:val="fr-FR"/>
        </w:rPr>
        <w:t>de</w:t>
      </w:r>
      <w:r>
        <w:rPr>
          <w:b/>
          <w:lang w:val="fr-FR"/>
        </w:rPr>
        <w:t xml:space="preserve"> </w:t>
      </w:r>
      <w:r>
        <w:rPr>
          <w:lang w:val="fr-FR"/>
        </w:rPr>
        <w:t>ISO</w:t>
      </w:r>
      <w:proofErr w:type="gramEnd"/>
      <w:r>
        <w:rPr>
          <w:lang w:val="fr-FR"/>
        </w:rPr>
        <w:t xml:space="preserve"> 9001:2008 </w:t>
      </w:r>
      <w:r>
        <w:rPr>
          <w:i/>
          <w:lang w:val="fr-FR"/>
        </w:rPr>
        <w:t>lire</w:t>
      </w:r>
      <w:r>
        <w:rPr>
          <w:lang w:val="fr-FR"/>
        </w:rPr>
        <w:t xml:space="preserve"> ISO 9001</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H1G"/>
        <w:rPr>
          <w:sz w:val="20"/>
          <w:lang w:val="fr-FR"/>
        </w:rPr>
      </w:pPr>
      <w:r>
        <w:rPr>
          <w:sz w:val="20"/>
          <w:lang w:val="fr-FR"/>
        </w:rPr>
        <w:tab/>
      </w:r>
      <w:r>
        <w:rPr>
          <w:sz w:val="20"/>
          <w:lang w:val="fr-FR"/>
        </w:rPr>
        <w:tab/>
        <w:t>(RID:)</w:t>
      </w:r>
      <w:r>
        <w:rPr>
          <w:sz w:val="20"/>
          <w:lang w:val="fr-FR"/>
        </w:rPr>
        <w:tab/>
        <w:t xml:space="preserve"> Amendement à la Partie 3, Chapitre 3.3, disposition spéciale 636</w:t>
      </w:r>
    </w:p>
    <w:p w:rsidR="009209F1" w:rsidRDefault="009209F1" w:rsidP="009209F1">
      <w:pPr>
        <w:pStyle w:val="SingleTxtG"/>
        <w:rPr>
          <w:lang w:val="fr-FR"/>
        </w:rPr>
      </w:pPr>
      <w:r>
        <w:rPr>
          <w:i/>
          <w:lang w:val="fr-FR"/>
        </w:rPr>
        <w:t>Supprimer</w:t>
      </w:r>
      <w:r>
        <w:rPr>
          <w:b/>
          <w:lang w:val="fr-FR"/>
        </w:rPr>
        <w:t xml:space="preserve"> </w:t>
      </w:r>
      <w:r>
        <w:rPr>
          <w:lang w:val="fr-FR"/>
        </w:rPr>
        <w:t>les crochets.</w:t>
      </w:r>
    </w:p>
    <w:p w:rsidR="009209F1" w:rsidRDefault="009209F1" w:rsidP="009209F1">
      <w:pPr>
        <w:pStyle w:val="SingleTxtG"/>
        <w:ind w:left="0"/>
        <w:rPr>
          <w:i/>
          <w:lang w:val="fr-FR"/>
        </w:rPr>
      </w:pPr>
      <w:r>
        <w:rPr>
          <w:i/>
          <w:lang w:val="fr-FR"/>
        </w:rPr>
        <w:t>(Document de référence ECE/TRANS/WP.15/AC.1/2016/16)</w:t>
      </w:r>
    </w:p>
    <w:p w:rsidR="009209F1" w:rsidRDefault="009209F1" w:rsidP="009209F1">
      <w:pPr>
        <w:pStyle w:val="H1G"/>
        <w:rPr>
          <w:sz w:val="20"/>
          <w:lang w:val="fr-FR"/>
        </w:rPr>
      </w:pPr>
      <w:r>
        <w:rPr>
          <w:sz w:val="20"/>
          <w:lang w:val="fr-FR"/>
        </w:rPr>
        <w:tab/>
      </w:r>
      <w:r>
        <w:rPr>
          <w:sz w:val="20"/>
          <w:lang w:val="fr-FR"/>
        </w:rPr>
        <w:tab/>
        <w:t>Amendement à la Partie 3, Chapitre 3.3, nouvelle disposition spéciale 666, alinéa a)</w:t>
      </w:r>
    </w:p>
    <w:p w:rsidR="009209F1" w:rsidRDefault="009209F1" w:rsidP="009209F1">
      <w:pPr>
        <w:pStyle w:val="SingleTxtG"/>
        <w:rPr>
          <w:lang w:val="fr-FR"/>
        </w:rPr>
      </w:pPr>
      <w:r>
        <w:rPr>
          <w:i/>
          <w:lang w:val="fr-FR"/>
        </w:rPr>
        <w:t>Au lieu de</w:t>
      </w:r>
      <w:r>
        <w:rPr>
          <w:b/>
          <w:lang w:val="fr-FR"/>
        </w:rPr>
        <w:t xml:space="preserve"> </w:t>
      </w:r>
      <w:r>
        <w:rPr>
          <w:lang w:val="fr-FR"/>
        </w:rPr>
        <w:t xml:space="preserve">sauf s’il est indispensable à l’équipement pour demeurer opérationnel </w:t>
      </w:r>
      <w:r>
        <w:rPr>
          <w:i/>
          <w:lang w:val="fr-FR"/>
        </w:rPr>
        <w:t>lire</w:t>
      </w:r>
      <w:r>
        <w:rPr>
          <w:lang w:val="fr-FR"/>
        </w:rPr>
        <w:t xml:space="preserve"> sauf s’il est indispensable que l’équipement demeure opérationnel</w:t>
      </w:r>
    </w:p>
    <w:p w:rsidR="009209F1" w:rsidRDefault="009209F1" w:rsidP="009209F1">
      <w:pPr>
        <w:pStyle w:val="SingleTxtG"/>
        <w:ind w:left="0"/>
        <w:rPr>
          <w:i/>
          <w:lang w:val="fr-FR"/>
        </w:rPr>
      </w:pPr>
      <w:r>
        <w:rPr>
          <w:i/>
          <w:lang w:val="fr-FR"/>
        </w:rPr>
        <w:t>(Document de référence ECE/TRANS/WP.15/AC.1/2016/16)</w:t>
      </w:r>
    </w:p>
    <w:p w:rsidR="009209F1" w:rsidRDefault="009209F1" w:rsidP="009209F1">
      <w:pPr>
        <w:pStyle w:val="H1G"/>
        <w:rPr>
          <w:sz w:val="20"/>
          <w:lang w:val="fr-FR"/>
        </w:rPr>
      </w:pPr>
      <w:r>
        <w:rPr>
          <w:sz w:val="20"/>
          <w:lang w:val="fr-FR"/>
        </w:rPr>
        <w:tab/>
      </w:r>
      <w:r>
        <w:rPr>
          <w:sz w:val="20"/>
          <w:lang w:val="fr-FR"/>
        </w:rPr>
        <w:tab/>
        <w:t>Amendement à la Partie 3, Chapitre 3.3, nouvelle disposition spéciale 666, alinéa b), à la fin</w:t>
      </w:r>
    </w:p>
    <w:p w:rsidR="009209F1" w:rsidRDefault="009209F1" w:rsidP="009209F1">
      <w:pPr>
        <w:pStyle w:val="SingleTxtG"/>
        <w:rPr>
          <w:lang w:val="fr-FR"/>
        </w:rPr>
      </w:pPr>
      <w:r>
        <w:rPr>
          <w:i/>
          <w:lang w:val="fr-FR"/>
        </w:rPr>
        <w:t>Ajouter</w:t>
      </w:r>
      <w:r>
        <w:rPr>
          <w:lang w:val="fr-FR"/>
        </w:rPr>
        <w:t xml:space="preserve"> sauf s’il est indispensable que l’équipement demeure opérationnel</w:t>
      </w:r>
    </w:p>
    <w:p w:rsidR="009209F1" w:rsidRDefault="009209F1" w:rsidP="009209F1">
      <w:pPr>
        <w:pStyle w:val="SingleTxtG"/>
        <w:ind w:left="0"/>
        <w:rPr>
          <w:i/>
          <w:lang w:val="fr-FR"/>
        </w:rPr>
      </w:pPr>
      <w:r>
        <w:rPr>
          <w:i/>
          <w:lang w:val="fr-FR"/>
        </w:rPr>
        <w:t>(Document de référence ECE/TRANS/WP.15/AC.1/2016/16)</w:t>
      </w:r>
    </w:p>
    <w:p w:rsidR="009209F1" w:rsidRDefault="009209F1" w:rsidP="009209F1">
      <w:pPr>
        <w:pStyle w:val="H1G"/>
        <w:rPr>
          <w:sz w:val="20"/>
          <w:lang w:val="fr-FR"/>
        </w:rPr>
      </w:pPr>
      <w:r>
        <w:rPr>
          <w:sz w:val="20"/>
          <w:lang w:val="fr-FR"/>
        </w:rPr>
        <w:tab/>
      </w:r>
      <w:r>
        <w:rPr>
          <w:sz w:val="20"/>
          <w:lang w:val="fr-FR"/>
        </w:rPr>
        <w:tab/>
        <w:t>Amendement à la Partie 4, Chapitre 4.1, 4.1.1.19.1</w:t>
      </w:r>
    </w:p>
    <w:p w:rsidR="009209F1" w:rsidRDefault="009209F1" w:rsidP="009209F1">
      <w:pPr>
        <w:pStyle w:val="SingleTxtG"/>
        <w:rPr>
          <w:i/>
          <w:iCs/>
          <w:lang w:val="fr-FR"/>
        </w:rPr>
      </w:pPr>
      <w:r>
        <w:rPr>
          <w:i/>
          <w:iCs/>
          <w:lang w:val="fr-FR"/>
        </w:rPr>
        <w:t>Substituer</w:t>
      </w:r>
      <w:r>
        <w:rPr>
          <w:iCs/>
          <w:lang w:val="fr-FR"/>
        </w:rPr>
        <w:t xml:space="preserve"> au texte existant:</w:t>
      </w:r>
    </w:p>
    <w:p w:rsidR="009209F1" w:rsidRDefault="009209F1" w:rsidP="009209F1">
      <w:pPr>
        <w:pStyle w:val="SingleTxtG"/>
        <w:rPr>
          <w:szCs w:val="24"/>
          <w:lang w:val="fr-FR"/>
        </w:rPr>
      </w:pPr>
      <w:r>
        <w:rPr>
          <w:snapToGrid w:val="0"/>
          <w:szCs w:val="24"/>
          <w:lang w:val="fr-FR"/>
        </w:rPr>
        <w:t>4.1.1.19.1</w:t>
      </w:r>
      <w:r>
        <w:rPr>
          <w:snapToGrid w:val="0"/>
          <w:szCs w:val="24"/>
          <w:lang w:val="fr-FR"/>
        </w:rPr>
        <w:tab/>
      </w:r>
      <w:r>
        <w:rPr>
          <w:lang w:val="fr-FR"/>
        </w:rPr>
        <w:t>Modifier</w:t>
      </w:r>
      <w:r>
        <w:rPr>
          <w:snapToGrid w:val="0"/>
          <w:szCs w:val="24"/>
          <w:lang w:val="fr-FR"/>
        </w:rPr>
        <w:t xml:space="preserve"> la dernière phrase comme suit: </w:t>
      </w:r>
      <w:r>
        <w:rPr>
          <w:szCs w:val="24"/>
          <w:lang w:val="fr-FR"/>
        </w:rPr>
        <w:t>«Cette faculté n’exclut pas l’utilisation d’emballages, de GRV du type 11A ou de grands emballages de plus grandes dimensions, d’un type et d’un niveau d’épreuve appropriés, conformément aux conditions énoncées au 4.1.1.19.2 et au 4.1.1.19.3.».</w:t>
      </w:r>
    </w:p>
    <w:p w:rsidR="009209F1" w:rsidRDefault="009209F1" w:rsidP="009209F1">
      <w:pPr>
        <w:pStyle w:val="SingleTxtG"/>
        <w:ind w:left="0"/>
        <w:rPr>
          <w:i/>
          <w:lang w:val="fr-FR"/>
        </w:rPr>
      </w:pPr>
      <w:r>
        <w:rPr>
          <w:i/>
          <w:lang w:val="fr-FR"/>
        </w:rPr>
        <w:t>(Document de référence: document informel INF.14, tel que modifié)</w:t>
      </w:r>
    </w:p>
    <w:p w:rsidR="009209F1" w:rsidRDefault="009209F1" w:rsidP="009209F1">
      <w:pPr>
        <w:pStyle w:val="H1G"/>
        <w:rPr>
          <w:sz w:val="20"/>
          <w:lang w:val="fr-FR"/>
        </w:rPr>
      </w:pPr>
      <w:r>
        <w:rPr>
          <w:sz w:val="20"/>
          <w:lang w:val="fr-FR"/>
        </w:rPr>
        <w:tab/>
      </w:r>
      <w:r>
        <w:rPr>
          <w:sz w:val="20"/>
          <w:lang w:val="fr-FR"/>
        </w:rPr>
        <w:tab/>
        <w:t>Amendement à la Partie 4, Chapitre 4.1, 4.1.4.1, P200 5), e), premier paragraphe</w:t>
      </w:r>
    </w:p>
    <w:p w:rsidR="009209F1" w:rsidRDefault="009209F1" w:rsidP="009209F1">
      <w:pPr>
        <w:pStyle w:val="SingleTxtG"/>
        <w:rPr>
          <w:lang w:val="fr-FR"/>
        </w:rPr>
      </w:pPr>
      <w:r>
        <w:rPr>
          <w:i/>
          <w:lang w:val="fr-FR"/>
        </w:rPr>
        <w:t>Au lieu de</w:t>
      </w:r>
      <w:r>
        <w:rPr>
          <w:lang w:val="fr-FR"/>
        </w:rPr>
        <w:t xml:space="preserve"> </w:t>
      </w:r>
      <w:r>
        <w:rPr>
          <w:snapToGrid w:val="0"/>
          <w:szCs w:val="24"/>
          <w:lang w:val="fr-FR"/>
        </w:rPr>
        <w:t>la phase liquide</w:t>
      </w:r>
      <w:r>
        <w:rPr>
          <w:i/>
          <w:lang w:val="fr-FR"/>
        </w:rPr>
        <w:t xml:space="preserve"> lire</w:t>
      </w:r>
      <w:r>
        <w:rPr>
          <w:lang w:val="fr-FR"/>
        </w:rPr>
        <w:t xml:space="preserve"> le gaz liquéfié</w:t>
      </w:r>
    </w:p>
    <w:p w:rsidR="009209F1" w:rsidRDefault="009209F1" w:rsidP="009209F1">
      <w:pPr>
        <w:pStyle w:val="SingleTxtG"/>
        <w:ind w:left="0"/>
        <w:rPr>
          <w:i/>
          <w:lang w:val="fr-FR"/>
        </w:rPr>
      </w:pPr>
      <w:r>
        <w:rPr>
          <w:i/>
          <w:lang w:val="fr-FR"/>
        </w:rPr>
        <w:t>(Document de référence: ECE/TRANS/WP.15/AC.1/2016/4)</w:t>
      </w:r>
    </w:p>
    <w:p w:rsidR="009209F1" w:rsidRDefault="009209F1" w:rsidP="009209F1">
      <w:pPr>
        <w:pStyle w:val="H1G"/>
        <w:rPr>
          <w:sz w:val="20"/>
          <w:lang w:val="fr-FR"/>
        </w:rPr>
      </w:pPr>
      <w:r>
        <w:rPr>
          <w:sz w:val="20"/>
          <w:lang w:val="fr-FR"/>
        </w:rPr>
        <w:lastRenderedPageBreak/>
        <w:tab/>
      </w:r>
      <w:r>
        <w:rPr>
          <w:sz w:val="20"/>
          <w:lang w:val="fr-FR"/>
        </w:rPr>
        <w:tab/>
        <w:t>Amendement à la Partie 4, Chapitre 4.1, 4.1.4.1, P200 5) e), alinéas i), iv) et v)</w:t>
      </w:r>
    </w:p>
    <w:p w:rsidR="009209F1" w:rsidRDefault="009209F1" w:rsidP="009209F1">
      <w:pPr>
        <w:pStyle w:val="SingleTxtG"/>
        <w:rPr>
          <w:lang w:val="fr-FR"/>
        </w:rPr>
      </w:pPr>
      <w:r>
        <w:rPr>
          <w:i/>
          <w:lang w:val="fr-FR"/>
        </w:rPr>
        <w:t>Au lieu de</w:t>
      </w:r>
      <w:r>
        <w:rPr>
          <w:lang w:val="fr-FR"/>
        </w:rPr>
        <w:t xml:space="preserve"> </w:t>
      </w:r>
      <w:r>
        <w:rPr>
          <w:snapToGrid w:val="0"/>
          <w:szCs w:val="24"/>
          <w:lang w:val="fr-FR"/>
        </w:rPr>
        <w:t>du composant liquide</w:t>
      </w:r>
      <w:r>
        <w:rPr>
          <w:i/>
          <w:lang w:val="fr-FR"/>
        </w:rPr>
        <w:t xml:space="preserve"> lire</w:t>
      </w:r>
      <w:r>
        <w:rPr>
          <w:lang w:val="fr-FR"/>
        </w:rPr>
        <w:t xml:space="preserve"> </w:t>
      </w:r>
      <w:r>
        <w:rPr>
          <w:snapToGrid w:val="0"/>
          <w:szCs w:val="24"/>
          <w:lang w:val="fr-FR"/>
        </w:rPr>
        <w:t>du gaz liquéfié</w:t>
      </w:r>
    </w:p>
    <w:p w:rsidR="009209F1" w:rsidRDefault="009209F1" w:rsidP="009209F1">
      <w:pPr>
        <w:pStyle w:val="SingleTxtG"/>
        <w:ind w:left="0"/>
        <w:rPr>
          <w:i/>
          <w:lang w:val="fr-FR"/>
        </w:rPr>
      </w:pPr>
      <w:r>
        <w:rPr>
          <w:i/>
          <w:lang w:val="fr-FR"/>
        </w:rPr>
        <w:t>(Document de référence: ECE/TRANS/WP.15/AC.1/2016/4)</w:t>
      </w:r>
    </w:p>
    <w:p w:rsidR="009209F1" w:rsidRDefault="009209F1" w:rsidP="009209F1">
      <w:pPr>
        <w:pStyle w:val="H1G"/>
        <w:rPr>
          <w:sz w:val="20"/>
          <w:lang w:val="fr-FR"/>
        </w:rPr>
      </w:pPr>
      <w:r>
        <w:rPr>
          <w:sz w:val="20"/>
          <w:lang w:val="fr-FR"/>
        </w:rPr>
        <w:tab/>
      </w:r>
      <w:r>
        <w:rPr>
          <w:sz w:val="20"/>
          <w:lang w:val="fr-FR"/>
        </w:rPr>
        <w:tab/>
        <w:t>Amendement à la Partie 4, Chapitre 4.1, 4.1.4.1, P200 5), e), dernier paragraphe</w:t>
      </w:r>
    </w:p>
    <w:p w:rsidR="009209F1" w:rsidRDefault="009209F1" w:rsidP="009209F1">
      <w:pPr>
        <w:pStyle w:val="SingleTxtG"/>
        <w:rPr>
          <w:lang w:val="fr-FR"/>
        </w:rPr>
      </w:pPr>
      <w:r>
        <w:rPr>
          <w:i/>
          <w:lang w:val="fr-FR"/>
        </w:rPr>
        <w:t>Au lieu de</w:t>
      </w:r>
      <w:r>
        <w:rPr>
          <w:lang w:val="fr-FR"/>
        </w:rPr>
        <w:t xml:space="preserve"> </w:t>
      </w:r>
      <w:r>
        <w:rPr>
          <w:snapToGrid w:val="0"/>
          <w:szCs w:val="24"/>
          <w:lang w:val="fr-FR"/>
        </w:rPr>
        <w:t>le composant liquide</w:t>
      </w:r>
      <w:r>
        <w:rPr>
          <w:i/>
          <w:lang w:val="fr-FR"/>
        </w:rPr>
        <w:t xml:space="preserve"> lire</w:t>
      </w:r>
      <w:r>
        <w:rPr>
          <w:lang w:val="fr-FR"/>
        </w:rPr>
        <w:t xml:space="preserve"> </w:t>
      </w:r>
      <w:r>
        <w:rPr>
          <w:snapToGrid w:val="0"/>
          <w:szCs w:val="24"/>
          <w:lang w:val="fr-FR"/>
        </w:rPr>
        <w:t>la phase liquide</w:t>
      </w:r>
    </w:p>
    <w:p w:rsidR="009209F1" w:rsidRDefault="009209F1" w:rsidP="009209F1">
      <w:pPr>
        <w:pStyle w:val="SingleTxtG"/>
        <w:ind w:left="0"/>
        <w:rPr>
          <w:i/>
          <w:lang w:val="fr-FR"/>
        </w:rPr>
      </w:pPr>
      <w:r>
        <w:rPr>
          <w:i/>
          <w:lang w:val="fr-FR"/>
        </w:rPr>
        <w:t>(Document de référence: ECE/TRANS/WP.15/AC.1/2016/4)</w:t>
      </w:r>
    </w:p>
    <w:p w:rsidR="009209F1" w:rsidRDefault="009209F1" w:rsidP="009209F1">
      <w:pPr>
        <w:pStyle w:val="H1G"/>
        <w:rPr>
          <w:sz w:val="20"/>
          <w:lang w:val="fr-FR"/>
        </w:rPr>
      </w:pPr>
      <w:r>
        <w:rPr>
          <w:sz w:val="20"/>
          <w:lang w:val="fr-FR"/>
        </w:rPr>
        <w:tab/>
      </w:r>
      <w:r>
        <w:rPr>
          <w:sz w:val="20"/>
          <w:lang w:val="fr-FR"/>
        </w:rPr>
        <w:tab/>
        <w:t>Amendement à la Partie 4, Chapitre 4.1, 4.1.4.1, P206 3), premier paragraphe</w:t>
      </w:r>
    </w:p>
    <w:p w:rsidR="009209F1" w:rsidRDefault="009209F1" w:rsidP="009209F1">
      <w:pPr>
        <w:pStyle w:val="SingleTxtG"/>
        <w:rPr>
          <w:lang w:val="fr-FR"/>
        </w:rPr>
      </w:pPr>
      <w:r>
        <w:rPr>
          <w:i/>
          <w:lang w:val="fr-FR"/>
        </w:rPr>
        <w:t>Au lieu de</w:t>
      </w:r>
      <w:r>
        <w:rPr>
          <w:lang w:val="fr-FR"/>
        </w:rPr>
        <w:t xml:space="preserve"> la phase liquide</w:t>
      </w:r>
      <w:r>
        <w:rPr>
          <w:i/>
          <w:lang w:val="fr-FR"/>
        </w:rPr>
        <w:t xml:space="preserve"> lire</w:t>
      </w:r>
      <w:r>
        <w:rPr>
          <w:lang w:val="fr-FR"/>
        </w:rPr>
        <w:t xml:space="preserve"> </w:t>
      </w:r>
      <w:r>
        <w:rPr>
          <w:snapToGrid w:val="0"/>
          <w:szCs w:val="24"/>
          <w:lang w:val="fr-FR"/>
        </w:rPr>
        <w:t>le liquide</w:t>
      </w:r>
    </w:p>
    <w:p w:rsidR="009209F1" w:rsidRDefault="009209F1" w:rsidP="009209F1">
      <w:pPr>
        <w:pStyle w:val="H1G"/>
        <w:rPr>
          <w:sz w:val="20"/>
          <w:lang w:val="fr-FR"/>
        </w:rPr>
      </w:pPr>
      <w:r>
        <w:rPr>
          <w:sz w:val="20"/>
          <w:lang w:val="fr-FR"/>
        </w:rPr>
        <w:tab/>
      </w:r>
      <w:r>
        <w:rPr>
          <w:sz w:val="20"/>
          <w:lang w:val="fr-FR"/>
        </w:rPr>
        <w:tab/>
        <w:t>Amendement à la Partie 4, Chapitre 4.1, 4.1.4.1, P206 3), alinéas a), d) et e)</w:t>
      </w:r>
    </w:p>
    <w:p w:rsidR="009209F1" w:rsidRDefault="009209F1" w:rsidP="009209F1">
      <w:pPr>
        <w:pStyle w:val="SingleTxtG"/>
        <w:rPr>
          <w:lang w:val="fr-FR"/>
        </w:rPr>
      </w:pPr>
      <w:r>
        <w:rPr>
          <w:i/>
          <w:lang w:val="fr-FR"/>
        </w:rPr>
        <w:t>Au lieu de</w:t>
      </w:r>
      <w:r>
        <w:rPr>
          <w:lang w:val="fr-FR"/>
        </w:rPr>
        <w:t xml:space="preserve"> du composant liquide</w:t>
      </w:r>
      <w:r>
        <w:rPr>
          <w:i/>
          <w:lang w:val="fr-FR"/>
        </w:rPr>
        <w:t xml:space="preserve"> lire</w:t>
      </w:r>
      <w:r>
        <w:rPr>
          <w:lang w:val="fr-FR"/>
        </w:rPr>
        <w:t xml:space="preserve"> du liquide</w:t>
      </w:r>
    </w:p>
    <w:p w:rsidR="009209F1" w:rsidRDefault="009209F1" w:rsidP="009209F1">
      <w:pPr>
        <w:pStyle w:val="H1G"/>
        <w:rPr>
          <w:sz w:val="20"/>
          <w:lang w:val="fr-FR"/>
        </w:rPr>
      </w:pPr>
      <w:r>
        <w:rPr>
          <w:sz w:val="20"/>
          <w:lang w:val="fr-FR"/>
        </w:rPr>
        <w:tab/>
      </w:r>
      <w:r>
        <w:rPr>
          <w:sz w:val="20"/>
          <w:lang w:val="fr-FR"/>
        </w:rPr>
        <w:tab/>
        <w:t>Amendement à la Partie 4, Chapitre 4.1, 4.1.4.1, P206 3), dernier paragraphe</w:t>
      </w:r>
    </w:p>
    <w:p w:rsidR="009209F1" w:rsidRDefault="009209F1" w:rsidP="009209F1">
      <w:pPr>
        <w:pStyle w:val="SingleTxtG"/>
        <w:rPr>
          <w:lang w:val="fr-FR"/>
        </w:rPr>
      </w:pPr>
      <w:r>
        <w:rPr>
          <w:i/>
          <w:lang w:val="fr-FR"/>
        </w:rPr>
        <w:t>Au lieu de</w:t>
      </w:r>
      <w:r>
        <w:rPr>
          <w:lang w:val="fr-FR"/>
        </w:rPr>
        <w:t xml:space="preserve"> le composant liquide</w:t>
      </w:r>
      <w:r>
        <w:rPr>
          <w:i/>
          <w:lang w:val="fr-FR"/>
        </w:rPr>
        <w:t xml:space="preserve"> lire</w:t>
      </w:r>
      <w:r>
        <w:rPr>
          <w:lang w:val="fr-FR"/>
        </w:rPr>
        <w:t xml:space="preserve"> la phase liquide</w:t>
      </w:r>
    </w:p>
    <w:p w:rsidR="009209F1" w:rsidRDefault="009209F1" w:rsidP="009209F1">
      <w:pPr>
        <w:pStyle w:val="SingleTxtG"/>
        <w:ind w:left="0"/>
        <w:rPr>
          <w:i/>
          <w:lang w:val="fr-FR"/>
        </w:rPr>
      </w:pPr>
      <w:r>
        <w:rPr>
          <w:i/>
          <w:lang w:val="fr-FR"/>
        </w:rPr>
        <w:t>(Document de référence: ECE/TRANS/WP.15/AC.1/2016/4)</w:t>
      </w:r>
    </w:p>
    <w:p w:rsidR="009209F1" w:rsidRDefault="009209F1" w:rsidP="009209F1">
      <w:pPr>
        <w:pStyle w:val="H1G"/>
        <w:rPr>
          <w:sz w:val="20"/>
          <w:lang w:val="fr-FR"/>
        </w:rPr>
      </w:pPr>
      <w:r>
        <w:rPr>
          <w:sz w:val="20"/>
          <w:lang w:val="fr-FR"/>
        </w:rPr>
        <w:tab/>
      </w:r>
      <w:r>
        <w:rPr>
          <w:sz w:val="20"/>
          <w:lang w:val="fr-FR"/>
        </w:rPr>
        <w:tab/>
        <w:t>Amendement à la Partie 4, Chapitre 4.1, 4.1.4.1, nouvelle instruction d’emballage P910, 3), première phrase</w:t>
      </w:r>
    </w:p>
    <w:p w:rsidR="009209F1" w:rsidRDefault="009209F1" w:rsidP="009209F1">
      <w:pPr>
        <w:pStyle w:val="SingleTxtG"/>
        <w:rPr>
          <w:i/>
          <w:iCs/>
          <w:lang w:val="fr-FR"/>
        </w:rPr>
      </w:pPr>
      <w:r>
        <w:rPr>
          <w:i/>
          <w:iCs/>
          <w:lang w:val="fr-FR"/>
        </w:rPr>
        <w:t>Substituer</w:t>
      </w:r>
      <w:r>
        <w:rPr>
          <w:iCs/>
          <w:lang w:val="fr-FR"/>
        </w:rPr>
        <w:t xml:space="preserve"> au texte existant:</w:t>
      </w:r>
    </w:p>
    <w:p w:rsidR="009209F1" w:rsidRDefault="009209F1" w:rsidP="009209F1">
      <w:pPr>
        <w:pStyle w:val="SingleTxtG"/>
        <w:rPr>
          <w:lang w:val="fr-FR"/>
        </w:rPr>
      </w:pPr>
      <w:r>
        <w:rPr>
          <w:lang w:val="fr-FR"/>
        </w:rPr>
        <w:t>Les batteries ou l’équipement peuvent être transportés non emballés dans les conditions approuvées par l’autorité compétente d’un État partie au RID/d’une Partie contractante à l’ADR/ADN qui peut également reconnaître l’approbation par l’autorité compétente d’un pays qui ne serait pas État partie au RID/Partie contractante à l’ADR/ADN à condition que cette approbation ait été accordée conformément aux procédures applicables selon le RID, l’ADR, l’ADN, le Code IMDG ou les Instructions techniques de l’OACI.</w:t>
      </w:r>
    </w:p>
    <w:p w:rsidR="009209F1" w:rsidRDefault="009209F1" w:rsidP="009209F1">
      <w:pPr>
        <w:pStyle w:val="SingleTxtG"/>
        <w:ind w:left="0"/>
        <w:rPr>
          <w:i/>
          <w:lang w:val="fr-FR"/>
        </w:rPr>
      </w:pPr>
      <w:r>
        <w:rPr>
          <w:i/>
          <w:lang w:val="fr-FR"/>
        </w:rPr>
        <w:t>(Document de référence: document informel INF.6)</w:t>
      </w:r>
    </w:p>
    <w:p w:rsidR="009209F1" w:rsidRDefault="009209F1" w:rsidP="009209F1">
      <w:pPr>
        <w:pStyle w:val="H1G"/>
        <w:rPr>
          <w:sz w:val="20"/>
          <w:lang w:val="fr-FR"/>
        </w:rPr>
      </w:pPr>
      <w:r>
        <w:rPr>
          <w:sz w:val="20"/>
          <w:lang w:val="fr-FR"/>
        </w:rPr>
        <w:tab/>
      </w:r>
      <w:r>
        <w:rPr>
          <w:sz w:val="20"/>
          <w:lang w:val="fr-FR"/>
        </w:rPr>
        <w:tab/>
        <w:t>Amendements à la Partie 4, Chapitre 4.3, TU16 et TU21</w:t>
      </w:r>
    </w:p>
    <w:p w:rsidR="009209F1" w:rsidRDefault="009209F1" w:rsidP="009209F1">
      <w:pPr>
        <w:pStyle w:val="SingleTxtG"/>
        <w:rPr>
          <w:i/>
          <w:iCs/>
          <w:lang w:val="fr-FR"/>
        </w:rPr>
      </w:pPr>
      <w:r>
        <w:rPr>
          <w:i/>
          <w:iCs/>
          <w:lang w:val="fr-FR"/>
        </w:rPr>
        <w:t>Substituer</w:t>
      </w:r>
      <w:r>
        <w:rPr>
          <w:iCs/>
          <w:lang w:val="fr-FR"/>
        </w:rPr>
        <w:t xml:space="preserve"> au texte existant:</w:t>
      </w:r>
    </w:p>
    <w:p w:rsidR="009209F1" w:rsidRDefault="009209F1" w:rsidP="009209F1">
      <w:pPr>
        <w:tabs>
          <w:tab w:val="left" w:pos="1701"/>
          <w:tab w:val="left" w:pos="1985"/>
          <w:tab w:val="left" w:pos="2268"/>
        </w:tabs>
        <w:spacing w:after="120"/>
        <w:ind w:left="2259" w:right="1134" w:hanging="1125"/>
        <w:jc w:val="both"/>
        <w:rPr>
          <w:bCs/>
          <w:iCs/>
          <w:lang w:val="fr-FR"/>
        </w:rPr>
      </w:pPr>
      <w:r>
        <w:rPr>
          <w:bCs/>
          <w:iCs/>
          <w:lang w:val="fr-FR"/>
        </w:rPr>
        <w:t>4.3.5</w:t>
      </w:r>
      <w:r>
        <w:rPr>
          <w:bCs/>
          <w:iCs/>
          <w:lang w:val="fr-FR"/>
        </w:rPr>
        <w:tab/>
      </w:r>
      <w:r>
        <w:rPr>
          <w:rFonts w:ascii="TimesNewRomanPSMT" w:hAnsi="TimesNewRomanPSMT" w:cs="TimesNewRomanPSMT"/>
          <w:lang w:val="fr-FR" w:eastAsia="fr-FR"/>
        </w:rPr>
        <w:t>Modifier TU16 et TU21 pour lire comme suit:</w:t>
      </w:r>
    </w:p>
    <w:p w:rsidR="009209F1" w:rsidRDefault="009209F1" w:rsidP="009209F1">
      <w:pPr>
        <w:pStyle w:val="SingleTxtG"/>
        <w:tabs>
          <w:tab w:val="left" w:pos="1701"/>
          <w:tab w:val="left" w:pos="1985"/>
          <w:tab w:val="left" w:pos="2268"/>
        </w:tabs>
        <w:rPr>
          <w:bCs/>
          <w:lang w:val="fr-FR" w:eastAsia="zh-CN"/>
        </w:rPr>
      </w:pPr>
      <w:r>
        <w:rPr>
          <w:bCs/>
          <w:lang w:val="fr-FR" w:eastAsia="zh-CN"/>
        </w:rPr>
        <w:t>«TU16</w:t>
      </w:r>
      <w:r>
        <w:rPr>
          <w:bCs/>
          <w:lang w:val="fr-FR" w:eastAsia="zh-CN"/>
        </w:rPr>
        <w:tab/>
      </w:r>
      <w:r>
        <w:rPr>
          <w:bCs/>
          <w:lang w:val="fr-FR" w:eastAsia="zh-CN"/>
        </w:rPr>
        <w:tab/>
        <w:t>Les citernes vides, non nettoyées, doivent, au moment où elles sont présentées au transport, être remplies d’un agent de protection selon l’une des méthodes suivantes :</w:t>
      </w:r>
    </w:p>
    <w:tbl>
      <w:tblPr>
        <w:tblW w:w="7371" w:type="dxa"/>
        <w:tblInd w:w="1149" w:type="dxa"/>
        <w:tblLook w:val="04A0" w:firstRow="1" w:lastRow="0" w:firstColumn="1" w:lastColumn="0" w:noHBand="0" w:noVBand="1"/>
      </w:tblPr>
      <w:tblGrid>
        <w:gridCol w:w="1134"/>
        <w:gridCol w:w="1985"/>
        <w:gridCol w:w="4252"/>
      </w:tblGrid>
      <w:tr w:rsidR="009209F1" w:rsidTr="009209F1">
        <w:trPr>
          <w:trHeight w:val="730"/>
        </w:trPr>
        <w:tc>
          <w:tcPr>
            <w:tcW w:w="1134"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rPr>
              <w:t>Agent de protection</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209F1" w:rsidRDefault="009209F1">
            <w:pPr>
              <w:spacing w:line="240" w:lineRule="auto"/>
              <w:ind w:left="100" w:right="100"/>
              <w:jc w:val="center"/>
              <w:rPr>
                <w:lang w:val="fr-FR" w:eastAsia="ru-RU"/>
              </w:rPr>
            </w:pPr>
            <w:r>
              <w:rPr>
                <w:lang w:val="fr-FR"/>
              </w:rPr>
              <w:t>Taux de remplissage d’eau</w:t>
            </w:r>
          </w:p>
          <w:p w:rsidR="009209F1" w:rsidRDefault="009209F1">
            <w:pPr>
              <w:spacing w:line="240" w:lineRule="auto"/>
              <w:ind w:left="100" w:right="100"/>
              <w:jc w:val="center"/>
              <w:rPr>
                <w:lang w:val="fr-FR" w:eastAsia="ru-RU"/>
              </w:rPr>
            </w:pPr>
          </w:p>
          <w:p w:rsidR="009209F1" w:rsidRDefault="009209F1">
            <w:pPr>
              <w:ind w:left="100" w:right="100"/>
              <w:rPr>
                <w:lang w:val="fr-FR" w:eastAsia="ru-RU"/>
              </w:rPr>
            </w:pPr>
          </w:p>
        </w:tc>
        <w:tc>
          <w:tcPr>
            <w:tcW w:w="425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t xml:space="preserve">Exigences supplémentaires pour le transport à </w:t>
            </w:r>
            <w:r>
              <w:rPr>
                <w:lang w:val="fr-FR"/>
              </w:rPr>
              <w:t>basses températures ambiantes</w:t>
            </w:r>
          </w:p>
        </w:tc>
      </w:tr>
      <w:tr w:rsidR="009209F1" w:rsidTr="009209F1">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lastRenderedPageBreak/>
              <w:t>Azote</w:t>
            </w:r>
            <w:r>
              <w:rPr>
                <w:b/>
                <w:bCs/>
                <w:vertAlign w:val="superscript"/>
                <w:lang w:val="fr-FR" w:eastAsia="zh-CN"/>
              </w:rPr>
              <w:t xml:space="preserve"> a</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t>–</w:t>
            </w:r>
          </w:p>
        </w:tc>
        <w:tc>
          <w:tcPr>
            <w:tcW w:w="42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t>_</w:t>
            </w:r>
          </w:p>
        </w:tc>
      </w:tr>
      <w:tr w:rsidR="009209F1" w:rsidTr="009209F1">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t>Eau et azote</w:t>
            </w:r>
            <w:r>
              <w:rPr>
                <w:b/>
                <w:bCs/>
                <w:vertAlign w:val="superscript"/>
                <w:lang w:val="fr-FR" w:eastAsia="zh-CN"/>
              </w:rPr>
              <w:t xml:space="preserve"> a</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t>–</w:t>
            </w:r>
          </w:p>
        </w:tc>
        <w:tc>
          <w:tcPr>
            <w:tcW w:w="42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t>_</w:t>
            </w:r>
          </w:p>
        </w:tc>
      </w:tr>
      <w:tr w:rsidR="009209F1" w:rsidTr="009209F1">
        <w:trPr>
          <w:trHeight w:val="654"/>
        </w:trPr>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t>Eau</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rPr>
              <w:t>96 % au moins et 98 % au plus</w:t>
            </w:r>
          </w:p>
        </w:tc>
        <w:tc>
          <w:tcPr>
            <w:tcW w:w="425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rPr>
                <w:lang w:val="fr-FR" w:eastAsia="ru-RU"/>
              </w:rPr>
            </w:pPr>
            <w:r>
              <w:rPr>
                <w:lang w:val="fr-FR"/>
              </w:rPr>
              <w:t>Suffisamment d’agent antigel doit être ajouté à l’eau pour l’empêcher de geler.</w:t>
            </w:r>
            <w:r>
              <w:rPr>
                <w:lang w:val="fr-FR" w:eastAsia="ru-RU"/>
              </w:rPr>
              <w:t xml:space="preserve"> </w:t>
            </w:r>
            <w:r>
              <w:rPr>
                <w:lang w:val="fr-FR"/>
              </w:rPr>
              <w:t>L’agent antigel ne doit pas exercer d’action corrosive ni être susceptible de réagir avec la matière.</w:t>
            </w:r>
          </w:p>
        </w:tc>
      </w:tr>
    </w:tbl>
    <w:p w:rsidR="009209F1" w:rsidRDefault="009209F1" w:rsidP="009209F1">
      <w:pPr>
        <w:pStyle w:val="SingleTxtG"/>
        <w:tabs>
          <w:tab w:val="left" w:pos="1701"/>
          <w:tab w:val="left" w:pos="1985"/>
          <w:tab w:val="left" w:pos="2268"/>
        </w:tabs>
        <w:rPr>
          <w:bCs/>
          <w:lang w:val="fr-FR" w:eastAsia="zh-CN"/>
        </w:rPr>
      </w:pPr>
      <w:proofErr w:type="gramStart"/>
      <w:r>
        <w:rPr>
          <w:b/>
          <w:bCs/>
          <w:vertAlign w:val="superscript"/>
          <w:lang w:val="fr-FR" w:eastAsia="zh-CN"/>
        </w:rPr>
        <w:t>a</w:t>
      </w:r>
      <w:proofErr w:type="gramEnd"/>
      <w:r>
        <w:rPr>
          <w:bCs/>
          <w:lang w:val="fr-FR" w:eastAsia="zh-CN"/>
        </w:rPr>
        <w:tab/>
      </w:r>
      <w:r>
        <w:rPr>
          <w:bCs/>
          <w:i/>
          <w:lang w:val="fr-FR" w:eastAsia="zh-CN"/>
        </w:rPr>
        <w:t>La citerne doit être remplie d’azote de manière que la pression ne tombe jamais au-dessous de la pression atmosphérique, même après refroidissement. La citerne doit être fermée de façon qu’il ne se produise aucune fuite de gaz.</w:t>
      </w:r>
      <w:r>
        <w:rPr>
          <w:bCs/>
          <w:lang w:val="fr-FR" w:eastAsia="zh-CN"/>
        </w:rPr>
        <w:t>».</w:t>
      </w:r>
    </w:p>
    <w:p w:rsidR="009209F1" w:rsidRDefault="009209F1" w:rsidP="009209F1">
      <w:pPr>
        <w:pStyle w:val="SingleTxtG"/>
        <w:tabs>
          <w:tab w:val="left" w:pos="1701"/>
          <w:tab w:val="left" w:pos="1985"/>
          <w:tab w:val="left" w:pos="2268"/>
        </w:tabs>
        <w:rPr>
          <w:bCs/>
          <w:lang w:val="fr-FR" w:eastAsia="zh-CN"/>
        </w:rPr>
      </w:pPr>
      <w:r>
        <w:rPr>
          <w:bCs/>
          <w:lang w:val="fr-FR" w:eastAsia="zh-CN"/>
        </w:rPr>
        <w:t>(RID seulement :)</w:t>
      </w:r>
    </w:p>
    <w:p w:rsidR="009209F1" w:rsidRDefault="009209F1" w:rsidP="009209F1">
      <w:pPr>
        <w:pStyle w:val="SingleTxtG"/>
        <w:tabs>
          <w:tab w:val="left" w:pos="1701"/>
          <w:tab w:val="left" w:pos="1985"/>
          <w:tab w:val="left" w:pos="2268"/>
        </w:tabs>
        <w:rPr>
          <w:bCs/>
          <w:lang w:val="fr-FR" w:eastAsia="zh-CN"/>
        </w:rPr>
      </w:pPr>
      <w:r>
        <w:rPr>
          <w:bCs/>
          <w:lang w:val="fr-FR" w:eastAsia="zh-CN"/>
        </w:rPr>
        <w:t>La mention supplémentaire doit être inscrite dans le document de transport :</w:t>
      </w:r>
    </w:p>
    <w:p w:rsidR="009209F1" w:rsidRDefault="009209F1" w:rsidP="009209F1">
      <w:pPr>
        <w:pStyle w:val="SingleTxtG"/>
        <w:tabs>
          <w:tab w:val="left" w:pos="1701"/>
          <w:tab w:val="left" w:pos="1985"/>
          <w:tab w:val="left" w:pos="2268"/>
        </w:tabs>
        <w:rPr>
          <w:bCs/>
          <w:lang w:val="fr-FR" w:eastAsia="zh-CN"/>
        </w:rPr>
      </w:pPr>
      <w:r>
        <w:rPr>
          <w:bCs/>
          <w:lang w:val="fr-FR" w:eastAsia="zh-CN"/>
        </w:rPr>
        <w:t>« La citerne est remplie de __________5), conformément à la disposition spéciale TU 16. »</w:t>
      </w:r>
    </w:p>
    <w:p w:rsidR="009209F1" w:rsidRDefault="009209F1" w:rsidP="009209F1">
      <w:pPr>
        <w:pStyle w:val="SingleTxtG"/>
        <w:tabs>
          <w:tab w:val="left" w:pos="1701"/>
          <w:tab w:val="left" w:pos="1985"/>
          <w:tab w:val="left" w:pos="2268"/>
        </w:tabs>
        <w:rPr>
          <w:bCs/>
          <w:lang w:val="fr-FR" w:eastAsia="zh-CN"/>
        </w:rPr>
      </w:pPr>
      <w:r>
        <w:rPr>
          <w:bCs/>
          <w:lang w:val="fr-FR" w:eastAsia="zh-CN"/>
        </w:rPr>
        <w:t>___</w:t>
      </w:r>
    </w:p>
    <w:p w:rsidR="009209F1" w:rsidRDefault="009209F1" w:rsidP="009209F1">
      <w:pPr>
        <w:pStyle w:val="SingleTxtG"/>
        <w:tabs>
          <w:tab w:val="left" w:pos="1701"/>
          <w:tab w:val="left" w:pos="1985"/>
          <w:tab w:val="left" w:pos="2268"/>
        </w:tabs>
        <w:rPr>
          <w:bCs/>
          <w:lang w:val="fr-FR" w:eastAsia="zh-CN"/>
        </w:rPr>
      </w:pPr>
      <w:r>
        <w:rPr>
          <w:bCs/>
          <w:lang w:val="fr-FR" w:eastAsia="zh-CN"/>
        </w:rPr>
        <w:t>5)</w:t>
      </w:r>
      <w:r>
        <w:rPr>
          <w:bCs/>
          <w:lang w:val="fr-FR" w:eastAsia="zh-CN"/>
        </w:rPr>
        <w:tab/>
        <w:t xml:space="preserve">Dénomination(s) du ou des agents de protection. Si la citerne est remplie d’eau, il faut en donner la masse en kg ; s’il s’agit d’azote, il faut indiquer la pression en </w:t>
      </w:r>
      <w:proofErr w:type="spellStart"/>
      <w:r>
        <w:rPr>
          <w:bCs/>
          <w:lang w:val="fr-FR" w:eastAsia="zh-CN"/>
        </w:rPr>
        <w:t>MPa</w:t>
      </w:r>
      <w:proofErr w:type="spellEnd"/>
      <w:r>
        <w:rPr>
          <w:bCs/>
          <w:lang w:val="fr-FR" w:eastAsia="zh-CN"/>
        </w:rPr>
        <w:t xml:space="preserve"> ou en bar. ».</w:t>
      </w:r>
    </w:p>
    <w:p w:rsidR="009209F1" w:rsidRDefault="009209F1" w:rsidP="009209F1">
      <w:pPr>
        <w:pStyle w:val="SingleTxtG"/>
        <w:rPr>
          <w:lang w:val="fr-FR"/>
        </w:rPr>
      </w:pPr>
      <w:r>
        <w:rPr>
          <w:lang w:val="fr-FR"/>
        </w:rPr>
        <w:t>«TU21</w:t>
      </w:r>
      <w:r>
        <w:rPr>
          <w:lang w:val="fr-FR"/>
        </w:rPr>
        <w:tab/>
      </w:r>
      <w:r>
        <w:rPr>
          <w:lang w:val="fr-FR"/>
        </w:rPr>
        <w:tab/>
        <w:t>La matière doit être recouverte par un agent de protection selon l’une des méthodes suivantes :</w:t>
      </w:r>
    </w:p>
    <w:tbl>
      <w:tblPr>
        <w:tblW w:w="7395" w:type="dxa"/>
        <w:jc w:val="center"/>
        <w:tblLook w:val="04A0" w:firstRow="1" w:lastRow="0" w:firstColumn="1" w:lastColumn="0" w:noHBand="0" w:noVBand="1"/>
      </w:tblPr>
      <w:tblGrid>
        <w:gridCol w:w="1146"/>
        <w:gridCol w:w="1418"/>
        <w:gridCol w:w="2126"/>
        <w:gridCol w:w="2705"/>
      </w:tblGrid>
      <w:tr w:rsidR="009209F1" w:rsidTr="009209F1">
        <w:trPr>
          <w:cantSplit/>
          <w:trHeight w:val="1273"/>
          <w:jc w:val="center"/>
        </w:trPr>
        <w:tc>
          <w:tcPr>
            <w:tcW w:w="1146"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hideMark/>
          </w:tcPr>
          <w:p w:rsidR="009209F1" w:rsidRDefault="009209F1">
            <w:pPr>
              <w:keepNext/>
              <w:spacing w:line="240" w:lineRule="auto"/>
              <w:ind w:left="102" w:right="102"/>
              <w:jc w:val="center"/>
              <w:rPr>
                <w:lang w:val="fr-FR" w:eastAsia="ru-RU"/>
              </w:rPr>
            </w:pPr>
            <w:r>
              <w:rPr>
                <w:lang w:val="fr-FR"/>
              </w:rPr>
              <w:t>Agent de protection</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209F1" w:rsidRDefault="009209F1">
            <w:pPr>
              <w:keepNext/>
              <w:spacing w:line="240" w:lineRule="auto"/>
              <w:ind w:left="100" w:right="100"/>
              <w:jc w:val="center"/>
              <w:rPr>
                <w:lang w:val="fr-FR" w:eastAsia="ru-RU"/>
              </w:rPr>
            </w:pPr>
            <w:r>
              <w:rPr>
                <w:lang w:val="fr-FR"/>
              </w:rPr>
              <w:t>Une couche d’eau dans la citerne</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209F1" w:rsidRDefault="009209F1">
            <w:pPr>
              <w:keepNext/>
              <w:spacing w:line="240" w:lineRule="auto"/>
              <w:ind w:left="102" w:right="102"/>
              <w:jc w:val="center"/>
              <w:rPr>
                <w:lang w:val="fr-FR" w:eastAsia="ru-RU"/>
              </w:rPr>
            </w:pPr>
            <w:r>
              <w:rPr>
                <w:lang w:val="fr-FR"/>
              </w:rPr>
              <w:t>Le taux de remplissage de la matière</w:t>
            </w:r>
            <w:r>
              <w:rPr>
                <w:lang w:val="fr-FR" w:eastAsia="ru-RU"/>
              </w:rPr>
              <w:t xml:space="preserve"> (y compris l’eau s’il y en a) </w:t>
            </w:r>
            <w:r>
              <w:rPr>
                <w:lang w:val="fr-FR"/>
              </w:rPr>
              <w:t>à une température de 60 °C</w:t>
            </w:r>
            <w:r>
              <w:rPr>
                <w:lang w:val="fr-FR" w:eastAsia="ru-RU"/>
              </w:rPr>
              <w:t xml:space="preserve"> </w:t>
            </w:r>
            <w:r>
              <w:rPr>
                <w:lang w:val="fr-FR"/>
              </w:rPr>
              <w:t>ne doit pas dépasser</w:t>
            </w:r>
          </w:p>
        </w:tc>
        <w:tc>
          <w:tcPr>
            <w:tcW w:w="2705"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hideMark/>
          </w:tcPr>
          <w:p w:rsidR="009209F1" w:rsidRDefault="009209F1">
            <w:pPr>
              <w:keepNext/>
              <w:spacing w:line="240" w:lineRule="auto"/>
              <w:ind w:left="102" w:right="102"/>
              <w:jc w:val="center"/>
              <w:rPr>
                <w:lang w:val="fr-FR" w:eastAsia="ru-RU"/>
              </w:rPr>
            </w:pPr>
            <w:r>
              <w:rPr>
                <w:lang w:val="fr-FR" w:eastAsia="ru-RU"/>
              </w:rPr>
              <w:t xml:space="preserve">Exigences supplémentaires pour le transport à </w:t>
            </w:r>
            <w:r>
              <w:rPr>
                <w:lang w:val="fr-FR"/>
              </w:rPr>
              <w:t>basses températures ambiantes</w:t>
            </w:r>
          </w:p>
        </w:tc>
      </w:tr>
      <w:tr w:rsidR="009209F1" w:rsidTr="009209F1">
        <w:trPr>
          <w:cantSplit/>
          <w:jc w:val="center"/>
        </w:trPr>
        <w:tc>
          <w:tcPr>
            <w:tcW w:w="11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keepNext/>
              <w:spacing w:line="240" w:lineRule="auto"/>
              <w:ind w:left="100" w:right="100"/>
              <w:jc w:val="center"/>
              <w:rPr>
                <w:lang w:val="fr-FR" w:eastAsia="ru-RU"/>
              </w:rPr>
            </w:pPr>
            <w:r>
              <w:rPr>
                <w:lang w:val="fr-FR"/>
              </w:rPr>
              <w:t>Azote</w:t>
            </w:r>
            <w:r>
              <w:rPr>
                <w:b/>
                <w:bCs/>
                <w:vertAlign w:val="superscript"/>
                <w:lang w:val="fr-FR" w:eastAsia="zh-CN"/>
              </w:rPr>
              <w:t xml:space="preserve"> a</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keepNext/>
              <w:spacing w:line="240" w:lineRule="auto"/>
              <w:ind w:left="100" w:right="100"/>
              <w:jc w:val="center"/>
              <w:rPr>
                <w:lang w:val="fr-FR" w:eastAsia="ru-RU"/>
              </w:rPr>
            </w:pPr>
            <w:r>
              <w:rPr>
                <w:lang w:val="fr-FR" w:eastAsia="ru-RU"/>
              </w:rPr>
              <w: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keepNext/>
              <w:spacing w:line="240" w:lineRule="auto"/>
              <w:ind w:left="100" w:right="100"/>
              <w:jc w:val="center"/>
              <w:rPr>
                <w:lang w:val="fr-FR" w:eastAsia="ru-RU"/>
              </w:rPr>
            </w:pPr>
            <w:r>
              <w:rPr>
                <w:lang w:val="fr-FR" w:eastAsia="ru-RU"/>
              </w:rPr>
              <w:t>96 %</w:t>
            </w:r>
          </w:p>
        </w:tc>
        <w:tc>
          <w:tcPr>
            <w:tcW w:w="27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keepNext/>
              <w:spacing w:line="240" w:lineRule="auto"/>
              <w:ind w:left="100" w:right="100"/>
              <w:jc w:val="center"/>
              <w:rPr>
                <w:lang w:val="fr-FR" w:eastAsia="ru-RU"/>
              </w:rPr>
            </w:pPr>
            <w:r>
              <w:rPr>
                <w:lang w:val="fr-FR" w:eastAsia="ru-RU"/>
              </w:rPr>
              <w:t>-</w:t>
            </w:r>
          </w:p>
        </w:tc>
      </w:tr>
      <w:tr w:rsidR="009209F1" w:rsidTr="009209F1">
        <w:trPr>
          <w:cantSplit/>
          <w:jc w:val="center"/>
        </w:trPr>
        <w:tc>
          <w:tcPr>
            <w:tcW w:w="11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keepNext/>
              <w:spacing w:line="240" w:lineRule="auto"/>
              <w:ind w:left="100" w:right="100"/>
              <w:jc w:val="center"/>
              <w:rPr>
                <w:lang w:val="fr-FR" w:eastAsia="ru-RU"/>
              </w:rPr>
            </w:pPr>
            <w:r>
              <w:rPr>
                <w:lang w:val="fr-FR" w:eastAsia="ru-RU"/>
              </w:rPr>
              <w:t>Eau et azote</w:t>
            </w:r>
            <w:r>
              <w:rPr>
                <w:b/>
                <w:bCs/>
                <w:vertAlign w:val="superscript"/>
                <w:lang w:val="fr-FR" w:eastAsia="zh-CN"/>
              </w:rPr>
              <w:t xml:space="preserve"> a</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keepNext/>
              <w:spacing w:line="240" w:lineRule="auto"/>
              <w:ind w:left="100" w:right="100"/>
              <w:jc w:val="center"/>
              <w:rPr>
                <w:lang w:val="fr-FR" w:eastAsia="ru-RU"/>
              </w:rPr>
            </w:pPr>
            <w:r>
              <w:rPr>
                <w:lang w:val="fr-FR" w:eastAsia="ru-RU"/>
              </w:rPr>
              <w:t>_</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keepNext/>
              <w:spacing w:line="240" w:lineRule="auto"/>
              <w:ind w:left="100" w:right="100"/>
              <w:jc w:val="center"/>
              <w:rPr>
                <w:lang w:val="fr-FR" w:eastAsia="ru-RU"/>
              </w:rPr>
            </w:pPr>
            <w:r>
              <w:rPr>
                <w:lang w:val="fr-FR" w:eastAsia="ru-RU"/>
              </w:rPr>
              <w:t>98 %</w:t>
            </w:r>
          </w:p>
        </w:tc>
        <w:tc>
          <w:tcPr>
            <w:tcW w:w="2705"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keepNext/>
              <w:spacing w:line="240" w:lineRule="auto"/>
              <w:ind w:left="100" w:right="100"/>
              <w:rPr>
                <w:lang w:val="fr-FR" w:eastAsia="ru-RU"/>
              </w:rPr>
            </w:pPr>
            <w:r>
              <w:rPr>
                <w:lang w:val="fr-FR"/>
              </w:rPr>
              <w:t>Suffisamment d’agent antigel doit être ajouté à l’eau pour l’empêcher de geler.</w:t>
            </w:r>
            <w:r>
              <w:rPr>
                <w:lang w:val="fr-FR" w:eastAsia="ru-RU"/>
              </w:rPr>
              <w:t xml:space="preserve"> </w:t>
            </w:r>
            <w:r>
              <w:rPr>
                <w:lang w:val="fr-FR"/>
              </w:rPr>
              <w:t>L’agent antigel ne doit pas exercer d’action corrosive ni être susceptible de réagir avec la matière.</w:t>
            </w:r>
          </w:p>
        </w:tc>
      </w:tr>
      <w:tr w:rsidR="009209F1" w:rsidTr="009209F1">
        <w:trPr>
          <w:trHeight w:val="630"/>
          <w:jc w:val="center"/>
        </w:trPr>
        <w:tc>
          <w:tcPr>
            <w:tcW w:w="11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t>Eau</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rPr>
              <w:t>Au moins 12 cm</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209F1" w:rsidRDefault="009209F1">
            <w:pPr>
              <w:spacing w:line="240" w:lineRule="auto"/>
              <w:ind w:left="100" w:right="100"/>
              <w:jc w:val="center"/>
              <w:rPr>
                <w:lang w:val="fr-FR" w:eastAsia="ru-RU"/>
              </w:rPr>
            </w:pPr>
            <w:r>
              <w:rPr>
                <w:lang w:val="fr-FR" w:eastAsia="ru-RU"/>
              </w:rPr>
              <w:t>98 %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09F1" w:rsidRDefault="009209F1">
            <w:pPr>
              <w:suppressAutoHyphens w:val="0"/>
              <w:spacing w:line="240" w:lineRule="auto"/>
              <w:rPr>
                <w:lang w:val="fr-FR" w:eastAsia="ru-RU"/>
              </w:rPr>
            </w:pPr>
          </w:p>
        </w:tc>
      </w:tr>
    </w:tbl>
    <w:p w:rsidR="009209F1" w:rsidRDefault="009209F1" w:rsidP="009209F1">
      <w:pPr>
        <w:pStyle w:val="SingleTxtG"/>
        <w:tabs>
          <w:tab w:val="left" w:pos="1701"/>
          <w:tab w:val="left" w:pos="1985"/>
          <w:tab w:val="left" w:pos="2268"/>
        </w:tabs>
        <w:rPr>
          <w:i/>
          <w:lang w:val="fr-FR"/>
        </w:rPr>
      </w:pPr>
      <w:proofErr w:type="spellStart"/>
      <w:proofErr w:type="gramStart"/>
      <w:r>
        <w:rPr>
          <w:b/>
          <w:bCs/>
          <w:vertAlign w:val="superscript"/>
          <w:lang w:val="fr-FR" w:eastAsia="zh-CN"/>
        </w:rPr>
        <w:t>a</w:t>
      </w:r>
      <w:proofErr w:type="spellEnd"/>
      <w:proofErr w:type="gramEnd"/>
      <w:r>
        <w:rPr>
          <w:lang w:val="fr-FR"/>
        </w:rPr>
        <w:tab/>
      </w:r>
      <w:r>
        <w:rPr>
          <w:i/>
          <w:lang w:val="fr-FR"/>
        </w:rPr>
        <w:t>L’espace restant dans la citerne doit être rempli d’azote de manière que la pression ne tombe jamais au-dessous de la pression atmosphérique, même après refroidissement. La citerne doit être fermée de façon qu’il ne se produise aucune fuite de gaz.</w:t>
      </w:r>
      <w:r>
        <w:rPr>
          <w:lang w:val="fr-FR"/>
        </w:rPr>
        <w:t>».</w:t>
      </w:r>
      <w:r>
        <w:rPr>
          <w:i/>
          <w:lang w:val="fr-FR"/>
        </w:rPr>
        <w:t xml:space="preserve"> </w:t>
      </w:r>
    </w:p>
    <w:p w:rsidR="009209F1" w:rsidRDefault="009209F1" w:rsidP="009209F1">
      <w:pPr>
        <w:pStyle w:val="SingleTxtG"/>
        <w:ind w:left="0"/>
        <w:rPr>
          <w:lang w:val="fr-FR"/>
        </w:rPr>
      </w:pPr>
      <w:r>
        <w:rPr>
          <w:i/>
          <w:lang w:val="fr-FR"/>
        </w:rPr>
        <w:t>(Documents de référence: documents informels INF.16 et INF.61)</w:t>
      </w:r>
    </w:p>
    <w:p w:rsidR="009209F1" w:rsidRDefault="009209F1" w:rsidP="009209F1">
      <w:pPr>
        <w:pStyle w:val="H1G"/>
        <w:rPr>
          <w:sz w:val="20"/>
          <w:lang w:val="fr-FR"/>
        </w:rPr>
      </w:pPr>
      <w:r>
        <w:rPr>
          <w:sz w:val="20"/>
          <w:lang w:val="fr-FR"/>
        </w:rPr>
        <w:tab/>
      </w:r>
      <w:r>
        <w:rPr>
          <w:sz w:val="20"/>
          <w:lang w:val="fr-FR"/>
        </w:rPr>
        <w:tab/>
        <w:t>(RID:) Amendement à la Partie 5, Chapitre 5.5, 5.5.3.3.3, au deuxième tiret du texte modifié</w:t>
      </w:r>
    </w:p>
    <w:p w:rsidR="009209F1" w:rsidRDefault="009209F1" w:rsidP="009209F1">
      <w:pPr>
        <w:pStyle w:val="SingleTxtG"/>
        <w:rPr>
          <w:lang w:val="fr-FR"/>
        </w:rPr>
      </w:pPr>
      <w:r>
        <w:rPr>
          <w:i/>
          <w:lang w:val="fr-FR"/>
        </w:rPr>
        <w:t>Au lieu de</w:t>
      </w:r>
      <w:r>
        <w:rPr>
          <w:lang w:val="fr-FR"/>
        </w:rPr>
        <w:t xml:space="preserve"> pour lesquels cette prescription est satisfaite</w:t>
      </w:r>
      <w:r>
        <w:rPr>
          <w:i/>
          <w:lang w:val="fr-FR"/>
        </w:rPr>
        <w:t xml:space="preserve"> </w:t>
      </w:r>
      <w:proofErr w:type="gramStart"/>
      <w:r>
        <w:rPr>
          <w:i/>
          <w:lang w:val="fr-FR"/>
        </w:rPr>
        <w:t>lire</w:t>
      </w:r>
      <w:r>
        <w:rPr>
          <w:lang w:val="fr-FR"/>
        </w:rPr>
        <w:t xml:space="preserve"> ,</w:t>
      </w:r>
      <w:proofErr w:type="gramEnd"/>
      <w:r>
        <w:rPr>
          <w:lang w:val="fr-FR"/>
        </w:rPr>
        <w:t xml:space="preserve"> et est séparé des compartiments accessibles pendant le transport</w:t>
      </w:r>
    </w:p>
    <w:p w:rsidR="009209F1" w:rsidRDefault="009209F1" w:rsidP="009209F1">
      <w:pPr>
        <w:pStyle w:val="SingleTxtG"/>
        <w:ind w:left="0"/>
        <w:rPr>
          <w:i/>
          <w:lang w:val="fr-FR"/>
        </w:rPr>
      </w:pPr>
      <w:r>
        <w:rPr>
          <w:i/>
          <w:lang w:val="fr-FR"/>
        </w:rPr>
        <w:t>(Document de référence: document informel INF.59, alternative 3)</w:t>
      </w:r>
    </w:p>
    <w:p w:rsidR="009209F1" w:rsidRDefault="009209F1" w:rsidP="009209F1">
      <w:pPr>
        <w:pStyle w:val="H1G"/>
        <w:rPr>
          <w:sz w:val="20"/>
          <w:lang w:val="fr-FR"/>
        </w:rPr>
      </w:pPr>
      <w:r>
        <w:rPr>
          <w:sz w:val="20"/>
          <w:lang w:val="fr-FR"/>
        </w:rPr>
        <w:lastRenderedPageBreak/>
        <w:tab/>
      </w:r>
      <w:r>
        <w:rPr>
          <w:sz w:val="20"/>
          <w:lang w:val="fr-FR"/>
        </w:rPr>
        <w:tab/>
        <w:t>(ADR:) Amendement à la Partie 5, Chapitre 5.5, 5.5.3.3.3, au deuxième tiret du texte modifié</w:t>
      </w:r>
    </w:p>
    <w:p w:rsidR="009209F1" w:rsidRDefault="009209F1" w:rsidP="009209F1">
      <w:pPr>
        <w:pStyle w:val="SingleTxtG"/>
        <w:rPr>
          <w:lang w:val="fr-FR"/>
        </w:rPr>
      </w:pPr>
      <w:r>
        <w:rPr>
          <w:i/>
          <w:lang w:val="fr-FR"/>
        </w:rPr>
        <w:t>Au lieu de</w:t>
      </w:r>
      <w:r>
        <w:rPr>
          <w:lang w:val="fr-FR"/>
        </w:rPr>
        <w:t xml:space="preserve"> pour lesquels cette prescription est satisfaite</w:t>
      </w:r>
      <w:r>
        <w:rPr>
          <w:i/>
          <w:lang w:val="fr-FR"/>
        </w:rPr>
        <w:t xml:space="preserve"> </w:t>
      </w:r>
      <w:proofErr w:type="gramStart"/>
      <w:r>
        <w:rPr>
          <w:i/>
          <w:lang w:val="fr-FR"/>
        </w:rPr>
        <w:t>lire</w:t>
      </w:r>
      <w:r>
        <w:rPr>
          <w:lang w:val="fr-FR"/>
        </w:rPr>
        <w:t xml:space="preserve"> ,</w:t>
      </w:r>
      <w:proofErr w:type="gramEnd"/>
      <w:r>
        <w:rPr>
          <w:lang w:val="fr-FR"/>
        </w:rPr>
        <w:t xml:space="preserve"> et est séparé de la cabine du conducteur</w:t>
      </w:r>
    </w:p>
    <w:p w:rsidR="009209F1" w:rsidRDefault="009209F1" w:rsidP="009209F1">
      <w:pPr>
        <w:pStyle w:val="SingleTxtG"/>
        <w:ind w:left="0"/>
        <w:rPr>
          <w:i/>
          <w:lang w:val="fr-FR"/>
        </w:rPr>
      </w:pPr>
      <w:r>
        <w:rPr>
          <w:i/>
          <w:lang w:val="fr-FR"/>
        </w:rPr>
        <w:t>(Document de référence: document informel INF.59, alternative 3)</w:t>
      </w:r>
    </w:p>
    <w:p w:rsidR="009209F1" w:rsidRDefault="009209F1" w:rsidP="009209F1">
      <w:pPr>
        <w:pStyle w:val="H1G"/>
        <w:rPr>
          <w:sz w:val="20"/>
          <w:lang w:val="fr-FR"/>
        </w:rPr>
      </w:pPr>
      <w:r>
        <w:rPr>
          <w:sz w:val="20"/>
          <w:lang w:val="fr-FR"/>
        </w:rPr>
        <w:tab/>
      </w:r>
      <w:r>
        <w:rPr>
          <w:sz w:val="20"/>
          <w:lang w:val="fr-FR"/>
        </w:rPr>
        <w:tab/>
        <w:t>(ADN:) Amendement à la Partie 5, Chapitre 5.5, 5.5.3.3.3, au deuxième tiret du texte modifié</w:t>
      </w:r>
    </w:p>
    <w:p w:rsidR="009209F1" w:rsidRDefault="009209F1" w:rsidP="009209F1">
      <w:pPr>
        <w:pStyle w:val="SingleTxtG"/>
        <w:rPr>
          <w:lang w:val="fr-FR"/>
        </w:rPr>
      </w:pPr>
      <w:r>
        <w:rPr>
          <w:i/>
          <w:lang w:val="fr-FR"/>
        </w:rPr>
        <w:t>Au lieu de</w:t>
      </w:r>
      <w:r>
        <w:rPr>
          <w:lang w:val="fr-FR"/>
        </w:rPr>
        <w:t xml:space="preserve"> pour lesquels cette prescription est satisfaite</w:t>
      </w:r>
      <w:r>
        <w:rPr>
          <w:i/>
          <w:lang w:val="fr-FR"/>
        </w:rPr>
        <w:t xml:space="preserve"> </w:t>
      </w:r>
      <w:proofErr w:type="gramStart"/>
      <w:r>
        <w:rPr>
          <w:i/>
          <w:lang w:val="fr-FR"/>
        </w:rPr>
        <w:t>lire</w:t>
      </w:r>
      <w:r>
        <w:rPr>
          <w:lang w:val="fr-FR"/>
        </w:rPr>
        <w:t xml:space="preserve"> ,</w:t>
      </w:r>
      <w:proofErr w:type="gramEnd"/>
      <w:r>
        <w:rPr>
          <w:lang w:val="fr-FR"/>
        </w:rPr>
        <w:t xml:space="preserve"> et est séparé des compartiments accessibles pendant le transport</w:t>
      </w:r>
    </w:p>
    <w:p w:rsidR="009209F1" w:rsidRDefault="009209F1" w:rsidP="009209F1">
      <w:pPr>
        <w:pStyle w:val="SingleTxtG"/>
        <w:ind w:left="0"/>
        <w:rPr>
          <w:i/>
          <w:lang w:val="fr-FR"/>
        </w:rPr>
      </w:pPr>
      <w:r>
        <w:rPr>
          <w:i/>
          <w:lang w:val="fr-FR"/>
        </w:rPr>
        <w:t>(Document de référence: document informel INF.59, alternative 3)</w:t>
      </w:r>
    </w:p>
    <w:p w:rsidR="009209F1" w:rsidRDefault="009209F1" w:rsidP="009209F1">
      <w:pPr>
        <w:pStyle w:val="H1G"/>
        <w:rPr>
          <w:sz w:val="20"/>
          <w:lang w:val="fr-FR"/>
        </w:rPr>
      </w:pPr>
      <w:r>
        <w:rPr>
          <w:sz w:val="20"/>
          <w:lang w:val="fr-FR"/>
        </w:rPr>
        <w:tab/>
      </w:r>
      <w:r>
        <w:rPr>
          <w:sz w:val="20"/>
          <w:lang w:val="fr-FR"/>
        </w:rPr>
        <w:tab/>
        <w:t>Amendement à la Partie 6, Chapitre 6.2, 6.2.4.1, nouvelle ligne pour la norme EN 14140:2014 +AC:2015, dans la première colonne, après AC:2015</w:t>
      </w:r>
    </w:p>
    <w:p w:rsidR="009209F1" w:rsidRDefault="009209F1" w:rsidP="009209F1">
      <w:pPr>
        <w:pStyle w:val="SingleTxtG"/>
        <w:rPr>
          <w:lang w:val="fr-FR"/>
        </w:rPr>
      </w:pPr>
      <w:r>
        <w:rPr>
          <w:i/>
          <w:lang w:val="fr-FR"/>
        </w:rPr>
        <w:t>Ajouter</w:t>
      </w:r>
      <w:r>
        <w:rPr>
          <w:lang w:val="fr-FR"/>
        </w:rPr>
        <w:t xml:space="preserve"> (sauf bouteilles surmoulées)</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H1G"/>
        <w:rPr>
          <w:sz w:val="20"/>
          <w:lang w:val="fr-FR"/>
        </w:rPr>
      </w:pPr>
      <w:r>
        <w:rPr>
          <w:sz w:val="20"/>
          <w:lang w:val="fr-FR"/>
        </w:rPr>
        <w:tab/>
      </w:r>
      <w:r>
        <w:rPr>
          <w:sz w:val="20"/>
          <w:lang w:val="fr-FR"/>
        </w:rPr>
        <w:tab/>
        <w:t>(RID:) Amendement à la Partie 6, Chapitre 6.8, 6.8.2.6.1, tableau, sous «Pour la conception et la construction des citernes», pour la norme «EN 14025:2013», dans la colonne (4)</w:t>
      </w:r>
    </w:p>
    <w:p w:rsidR="009209F1" w:rsidRDefault="009209F1" w:rsidP="009209F1">
      <w:pPr>
        <w:pStyle w:val="SingleTxtG"/>
        <w:rPr>
          <w:lang w:val="fr-FR"/>
        </w:rPr>
      </w:pPr>
      <w:r>
        <w:rPr>
          <w:i/>
          <w:lang w:val="fr-FR"/>
        </w:rPr>
        <w:t>Au lieu de</w:t>
      </w:r>
      <w:r>
        <w:rPr>
          <w:lang w:val="fr-FR"/>
        </w:rPr>
        <w:t xml:space="preserve"> </w:t>
      </w:r>
      <w:r>
        <w:rPr>
          <w:rFonts w:cs="Arial"/>
          <w:bCs/>
          <w:szCs w:val="22"/>
          <w:lang w:val="fr-FR"/>
        </w:rPr>
        <w:t>Jusqu’à nouvel ordre</w:t>
      </w:r>
      <w:r>
        <w:rPr>
          <w:rFonts w:cs="Arial"/>
          <w:szCs w:val="22"/>
          <w:lang w:val="fr-FR"/>
        </w:rPr>
        <w:t xml:space="preserve"> </w:t>
      </w:r>
      <w:r>
        <w:rPr>
          <w:rFonts w:cs="Arial"/>
          <w:i/>
          <w:szCs w:val="22"/>
          <w:lang w:val="fr-FR"/>
        </w:rPr>
        <w:t xml:space="preserve">lire </w:t>
      </w:r>
      <w:r>
        <w:rPr>
          <w:rFonts w:cs="Arial"/>
          <w:szCs w:val="22"/>
          <w:lang w:val="fr-FR"/>
        </w:rPr>
        <w:t>Entre le 1</w:t>
      </w:r>
      <w:r>
        <w:rPr>
          <w:rFonts w:cs="Arial"/>
          <w:szCs w:val="22"/>
          <w:vertAlign w:val="superscript"/>
          <w:lang w:val="fr-FR"/>
        </w:rPr>
        <w:t>er</w:t>
      </w:r>
      <w:r>
        <w:rPr>
          <w:rFonts w:cs="Arial"/>
          <w:szCs w:val="22"/>
          <w:lang w:val="fr-FR"/>
        </w:rPr>
        <w:t> janvier 2015 et le 31 décembre 2018</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H1G"/>
        <w:rPr>
          <w:sz w:val="20"/>
          <w:lang w:val="fr-FR"/>
        </w:rPr>
      </w:pPr>
      <w:r>
        <w:rPr>
          <w:sz w:val="20"/>
          <w:lang w:val="fr-FR"/>
        </w:rPr>
        <w:tab/>
      </w:r>
      <w:r>
        <w:rPr>
          <w:sz w:val="20"/>
          <w:lang w:val="fr-FR"/>
        </w:rPr>
        <w:tab/>
        <w:t>(RID:) Amendement à la Partie 6, Chapitre 6.8, 6.8.2.6.1, tableau, sous «Pour la conception et la construction des citernes», après la ligne pour la norme «EN 14025:2013»</w:t>
      </w:r>
    </w:p>
    <w:p w:rsidR="009209F1" w:rsidRDefault="009209F1" w:rsidP="009209F1">
      <w:pPr>
        <w:pStyle w:val="SingleTxtG"/>
        <w:rPr>
          <w:rFonts w:cs="Arial"/>
          <w:szCs w:val="22"/>
          <w:lang w:val="fr-FR"/>
        </w:rPr>
      </w:pPr>
      <w:r>
        <w:rPr>
          <w:i/>
          <w:lang w:val="fr-FR"/>
        </w:rPr>
        <w:t>Ajouter</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3873"/>
        <w:gridCol w:w="992"/>
        <w:gridCol w:w="937"/>
        <w:gridCol w:w="653"/>
      </w:tblGrid>
      <w:tr w:rsidR="009209F1" w:rsidTr="009209F1">
        <w:tc>
          <w:tcPr>
            <w:tcW w:w="2098" w:type="dxa"/>
            <w:tcBorders>
              <w:top w:val="single" w:sz="4" w:space="0" w:color="auto"/>
              <w:left w:val="single" w:sz="4" w:space="0" w:color="auto"/>
              <w:bottom w:val="single" w:sz="4" w:space="0" w:color="auto"/>
              <w:right w:val="single" w:sz="4" w:space="0" w:color="auto"/>
            </w:tcBorders>
            <w:hideMark/>
          </w:tcPr>
          <w:p w:rsidR="009209F1" w:rsidRDefault="009209F1">
            <w:pPr>
              <w:tabs>
                <w:tab w:val="left" w:pos="1418"/>
              </w:tabs>
              <w:rPr>
                <w:rFonts w:cs="Arial"/>
                <w:lang w:val="fr-FR"/>
              </w:rPr>
            </w:pPr>
            <w:r>
              <w:rPr>
                <w:rFonts w:cs="Arial"/>
                <w:lang w:val="fr-FR"/>
              </w:rPr>
              <w:t>EN </w:t>
            </w:r>
            <w:r>
              <w:rPr>
                <w:rFonts w:cs="Arial"/>
                <w:bCs/>
                <w:szCs w:val="22"/>
                <w:lang w:val="fr-FR"/>
              </w:rPr>
              <w:t>14025:</w:t>
            </w:r>
            <w:r>
              <w:rPr>
                <w:rFonts w:cs="Arial"/>
                <w:szCs w:val="22"/>
                <w:lang w:val="fr-FR"/>
              </w:rPr>
              <w:t>2013+</w:t>
            </w:r>
            <w:r>
              <w:rPr>
                <w:rFonts w:cs="Arial"/>
                <w:szCs w:val="22"/>
                <w:lang w:val="fr-FR"/>
              </w:rPr>
              <w:br/>
              <w:t>A1</w:t>
            </w:r>
            <w:proofErr w:type="gramStart"/>
            <w:r>
              <w:rPr>
                <w:rFonts w:cs="Arial"/>
                <w:szCs w:val="22"/>
                <w:lang w:val="fr-FR"/>
              </w:rPr>
              <w:t>:[</w:t>
            </w:r>
            <w:proofErr w:type="gramEnd"/>
            <w:r>
              <w:rPr>
                <w:rFonts w:cs="Arial"/>
                <w:szCs w:val="22"/>
                <w:lang w:val="fr-FR"/>
              </w:rPr>
              <w:t>2016] (sauf annexe B)</w:t>
            </w:r>
          </w:p>
        </w:tc>
        <w:tc>
          <w:tcPr>
            <w:tcW w:w="3969" w:type="dxa"/>
            <w:tcBorders>
              <w:top w:val="single" w:sz="4" w:space="0" w:color="auto"/>
              <w:left w:val="single" w:sz="4" w:space="0" w:color="auto"/>
              <w:bottom w:val="single" w:sz="4" w:space="0" w:color="auto"/>
              <w:right w:val="single" w:sz="4" w:space="0" w:color="auto"/>
            </w:tcBorders>
            <w:vAlign w:val="center"/>
            <w:hideMark/>
          </w:tcPr>
          <w:p w:rsidR="009209F1" w:rsidRDefault="009209F1">
            <w:pPr>
              <w:rPr>
                <w:rFonts w:cs="Arial"/>
                <w:lang w:val="fr-FR"/>
              </w:rPr>
            </w:pPr>
            <w:r>
              <w:rPr>
                <w:rFonts w:cs="Arial"/>
                <w:lang w:val="fr-FR"/>
              </w:rPr>
              <w:t>Citernes destinées au transport de matières dangereuses – citernes métalliques sous pression – conception et fabrication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9209F1" w:rsidRDefault="009209F1">
            <w:pPr>
              <w:rPr>
                <w:rFonts w:cs="Arial"/>
                <w:lang w:val="fr-FR"/>
              </w:rPr>
            </w:pPr>
            <w:r>
              <w:rPr>
                <w:rFonts w:cs="Arial"/>
                <w:lang w:val="fr-FR"/>
              </w:rPr>
              <w:t>6.8.2.1 et 6.8.3.1</w:t>
            </w:r>
          </w:p>
        </w:tc>
        <w:tc>
          <w:tcPr>
            <w:tcW w:w="956" w:type="dxa"/>
            <w:tcBorders>
              <w:top w:val="single" w:sz="4" w:space="0" w:color="auto"/>
              <w:left w:val="single" w:sz="4" w:space="0" w:color="auto"/>
              <w:bottom w:val="single" w:sz="4" w:space="0" w:color="auto"/>
              <w:right w:val="single" w:sz="4" w:space="0" w:color="auto"/>
            </w:tcBorders>
            <w:vAlign w:val="center"/>
            <w:hideMark/>
          </w:tcPr>
          <w:p w:rsidR="009209F1" w:rsidRDefault="009209F1">
            <w:pPr>
              <w:jc w:val="center"/>
              <w:rPr>
                <w:rFonts w:cs="Arial"/>
                <w:lang w:val="fr-FR"/>
              </w:rPr>
            </w:pPr>
            <w:r>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9209F1" w:rsidRDefault="009209F1">
            <w:pPr>
              <w:widowControl w:val="0"/>
              <w:rPr>
                <w:rFonts w:cs="Arial"/>
                <w:sz w:val="18"/>
                <w:szCs w:val="18"/>
                <w:lang w:val="fr-FR"/>
              </w:rPr>
            </w:pPr>
          </w:p>
        </w:tc>
      </w:tr>
    </w:tbl>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H1G"/>
        <w:rPr>
          <w:sz w:val="20"/>
          <w:lang w:val="fr-FR"/>
        </w:rPr>
      </w:pPr>
      <w:r>
        <w:rPr>
          <w:sz w:val="20"/>
          <w:lang w:val="fr-FR"/>
        </w:rPr>
        <w:tab/>
      </w:r>
      <w:r>
        <w:rPr>
          <w:sz w:val="20"/>
          <w:lang w:val="fr-FR"/>
        </w:rPr>
        <w:tab/>
        <w:t>(ADR:) Amendement à la Partie 6, Chapitre 6.8, 6.8.2.6.1, tableau, sous «Pour la conception et la construction des citernes», nouvelle ligne pour la norme «EN 12493:2013 + A1:2014», première colonne</w:t>
      </w:r>
    </w:p>
    <w:p w:rsidR="009209F1" w:rsidRDefault="009209F1" w:rsidP="009209F1">
      <w:pPr>
        <w:pStyle w:val="SingleTxtG"/>
        <w:rPr>
          <w:rFonts w:cs="Arial"/>
          <w:i/>
          <w:szCs w:val="22"/>
          <w:lang w:val="fr-FR"/>
        </w:rPr>
      </w:pPr>
      <w:r>
        <w:rPr>
          <w:i/>
          <w:lang w:val="fr-FR"/>
        </w:rPr>
        <w:t xml:space="preserve">Au lieu de </w:t>
      </w:r>
      <w:r>
        <w:rPr>
          <w:lang w:val="fr-FR"/>
        </w:rPr>
        <w:t xml:space="preserve">EN 12493:2013 + A1:2014 (sauf annexe C) </w:t>
      </w:r>
      <w:r>
        <w:rPr>
          <w:i/>
          <w:lang w:val="fr-FR"/>
        </w:rPr>
        <w:t xml:space="preserve">lire </w:t>
      </w:r>
      <w:r>
        <w:rPr>
          <w:lang w:val="fr-FR"/>
        </w:rPr>
        <w:t>EN 12493:2013 + A1:2014 + AC:2015 (sauf annexe C)</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H1G"/>
        <w:rPr>
          <w:sz w:val="20"/>
          <w:lang w:val="fr-FR"/>
        </w:rPr>
      </w:pPr>
      <w:r>
        <w:rPr>
          <w:sz w:val="20"/>
          <w:lang w:val="fr-FR"/>
        </w:rPr>
        <w:lastRenderedPageBreak/>
        <w:tab/>
      </w:r>
      <w:r>
        <w:rPr>
          <w:sz w:val="20"/>
          <w:lang w:val="fr-FR"/>
        </w:rPr>
        <w:tab/>
        <w:t>(ADR:) Amendement à la Partie 6, Chapitre 6.8, 6.8.4, disposition spéciale TT11</w:t>
      </w:r>
    </w:p>
    <w:p w:rsidR="009209F1" w:rsidRDefault="009209F1" w:rsidP="009209F1">
      <w:pPr>
        <w:pStyle w:val="SingleTxtG"/>
        <w:rPr>
          <w:rFonts w:cs="Arial"/>
          <w:i/>
          <w:szCs w:val="22"/>
          <w:lang w:val="fr-FR"/>
        </w:rPr>
      </w:pPr>
      <w:r>
        <w:rPr>
          <w:i/>
          <w:lang w:val="fr-FR"/>
        </w:rPr>
        <w:t xml:space="preserve">Au lieu de </w:t>
      </w:r>
      <w:r>
        <w:rPr>
          <w:lang w:val="fr-FR"/>
        </w:rPr>
        <w:t xml:space="preserve">EN 12493:2013 + A1:2014 </w:t>
      </w:r>
      <w:r>
        <w:rPr>
          <w:i/>
          <w:lang w:val="fr-FR"/>
        </w:rPr>
        <w:t xml:space="preserve">lire </w:t>
      </w:r>
      <w:r>
        <w:rPr>
          <w:lang w:val="fr-FR"/>
        </w:rPr>
        <w:t xml:space="preserve">EN 12493:2013 + A1:2014 + AC:2015 </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H1G"/>
        <w:rPr>
          <w:sz w:val="20"/>
          <w:lang w:val="fr-FR"/>
        </w:rPr>
      </w:pPr>
      <w:r>
        <w:rPr>
          <w:sz w:val="20"/>
          <w:lang w:val="fr-FR"/>
        </w:rPr>
        <w:tab/>
      </w:r>
      <w:r>
        <w:rPr>
          <w:sz w:val="20"/>
          <w:lang w:val="fr-FR"/>
        </w:rPr>
        <w:tab/>
        <w:t>Amendement à la Partie 7, Chapitre 7.5, nouveau 7.5.7.6.1, dans le Nota</w:t>
      </w:r>
    </w:p>
    <w:p w:rsidR="009209F1" w:rsidRDefault="009209F1" w:rsidP="009209F1">
      <w:pPr>
        <w:pStyle w:val="SingleTxtG"/>
        <w:rPr>
          <w:lang w:val="fr-FR"/>
        </w:rPr>
      </w:pPr>
      <w:r>
        <w:rPr>
          <w:i/>
          <w:lang w:val="fr-FR"/>
        </w:rPr>
        <w:t>Au lieu de</w:t>
      </w:r>
      <w:r>
        <w:rPr>
          <w:lang w:val="fr-FR"/>
        </w:rPr>
        <w:t xml:space="preserve"> ainsi qu’aux Directives OMI/OIT/CEE-ONU pour le chargement des cargaisons dans les engins de transport</w:t>
      </w:r>
      <w:r>
        <w:rPr>
          <w:i/>
          <w:lang w:val="fr-FR"/>
        </w:rPr>
        <w:t xml:space="preserve"> lire</w:t>
      </w:r>
      <w:r>
        <w:rPr>
          <w:lang w:val="fr-FR"/>
        </w:rPr>
        <w:t xml:space="preserve"> ainsi qu’au Code de bonnes pratiques OMI/OIT/CEE-ONU pour le chargement des cargaisons dans des engins de transport (Code CTU)</w:t>
      </w:r>
    </w:p>
    <w:p w:rsidR="009209F1" w:rsidRDefault="009209F1" w:rsidP="009209F1">
      <w:pPr>
        <w:pStyle w:val="SingleTxtG"/>
        <w:ind w:left="0"/>
        <w:rPr>
          <w:i/>
          <w:lang w:val="fr-FR"/>
        </w:rPr>
      </w:pPr>
      <w:r>
        <w:rPr>
          <w:i/>
          <w:lang w:val="fr-FR"/>
        </w:rPr>
        <w:t>(Document de référence: document informel INF.19)</w:t>
      </w:r>
    </w:p>
    <w:p w:rsidR="009209F1" w:rsidRDefault="009209F1">
      <w:pPr>
        <w:suppressAutoHyphens w:val="0"/>
        <w:spacing w:line="240" w:lineRule="auto"/>
        <w:rPr>
          <w:b/>
          <w:sz w:val="28"/>
          <w:lang w:val="fr-FR"/>
        </w:rPr>
      </w:pPr>
      <w:r>
        <w:rPr>
          <w:lang w:val="fr-FR"/>
        </w:rPr>
        <w:br w:type="page"/>
      </w:r>
    </w:p>
    <w:p w:rsidR="009209F1" w:rsidRDefault="009209F1" w:rsidP="009209F1">
      <w:pPr>
        <w:pStyle w:val="HChG"/>
        <w:rPr>
          <w:lang w:val="fr-FR"/>
        </w:rPr>
      </w:pPr>
      <w:r>
        <w:rPr>
          <w:lang w:val="fr-FR"/>
        </w:rPr>
        <w:lastRenderedPageBreak/>
        <w:t>Annexe III</w:t>
      </w:r>
    </w:p>
    <w:p w:rsidR="009209F1" w:rsidRDefault="009209F1" w:rsidP="009209F1">
      <w:pPr>
        <w:pStyle w:val="HChG"/>
        <w:rPr>
          <w:lang w:val="fr-FR"/>
        </w:rPr>
      </w:pPr>
      <w:r>
        <w:rPr>
          <w:lang w:val="fr-FR"/>
        </w:rPr>
        <w:tab/>
      </w:r>
      <w:r>
        <w:rPr>
          <w:lang w:val="fr-FR"/>
        </w:rPr>
        <w:tab/>
        <w:t xml:space="preserve">Nouveau projet d’amendements 2017 pour </w:t>
      </w:r>
      <w:proofErr w:type="spellStart"/>
      <w:r>
        <w:rPr>
          <w:lang w:val="fr-FR"/>
        </w:rPr>
        <w:t>entrée</w:t>
      </w:r>
      <w:proofErr w:type="spellEnd"/>
      <w:r>
        <w:rPr>
          <w:lang w:val="fr-FR"/>
        </w:rPr>
        <w:t xml:space="preserve"> en vigueur au 1er janvier 2017</w:t>
      </w:r>
    </w:p>
    <w:p w:rsidR="009209F1" w:rsidRDefault="009209F1" w:rsidP="009209F1">
      <w:pPr>
        <w:pStyle w:val="H1G"/>
        <w:rPr>
          <w:sz w:val="20"/>
          <w:lang w:val="fr-FR"/>
        </w:rPr>
      </w:pPr>
      <w:r>
        <w:rPr>
          <w:sz w:val="20"/>
          <w:lang w:val="fr-FR"/>
        </w:rPr>
        <w:tab/>
      </w:r>
      <w:r>
        <w:rPr>
          <w:sz w:val="20"/>
          <w:lang w:val="fr-FR"/>
        </w:rPr>
        <w:tab/>
        <w:t>Chapitre 1.1</w:t>
      </w:r>
    </w:p>
    <w:p w:rsidR="009209F1" w:rsidRDefault="009209F1" w:rsidP="009209F1">
      <w:pPr>
        <w:pStyle w:val="SingleTxtG"/>
        <w:rPr>
          <w:lang w:val="fr-FR"/>
        </w:rPr>
      </w:pPr>
      <w:r>
        <w:rPr>
          <w:lang w:val="fr-FR"/>
        </w:rPr>
        <w:t>1.1.3.2 a)</w:t>
      </w:r>
      <w:r>
        <w:rPr>
          <w:lang w:val="fr-FR"/>
        </w:rPr>
        <w:tab/>
        <w:t>À la fin, ajouter le nota suivant:</w:t>
      </w:r>
    </w:p>
    <w:p w:rsidR="009209F1" w:rsidRDefault="009209F1" w:rsidP="009209F1">
      <w:pPr>
        <w:pStyle w:val="SingleTxtG"/>
        <w:rPr>
          <w:i/>
          <w:lang w:val="fr-FR"/>
        </w:rPr>
      </w:pPr>
      <w:r>
        <w:rPr>
          <w:i/>
          <w:lang w:val="fr-FR"/>
        </w:rPr>
        <w:t>«</w:t>
      </w:r>
      <w:r>
        <w:rPr>
          <w:b/>
          <w:i/>
          <w:lang w:val="fr-FR"/>
        </w:rPr>
        <w:t>NOTA:</w:t>
      </w:r>
      <w:r>
        <w:rPr>
          <w:i/>
          <w:lang w:val="fr-FR"/>
        </w:rPr>
        <w:tab/>
        <w:t>Tout conteneur doté d’un équipement destiné à fonctionner pendant le transport et arrimé sur un véhicule est considéré comme faisant partie intégrante du véhicule et bénéficie des mêmes exemptions en ce qui concerne le combustible nécessaire au fonctionnement de l’équipement.».</w:t>
      </w:r>
    </w:p>
    <w:p w:rsidR="009209F1" w:rsidRDefault="009209F1" w:rsidP="009209F1">
      <w:pPr>
        <w:pStyle w:val="SingleTxtG"/>
        <w:ind w:left="0"/>
        <w:rPr>
          <w:i/>
          <w:lang w:val="fr-FR"/>
        </w:rPr>
      </w:pPr>
      <w:r>
        <w:rPr>
          <w:i/>
          <w:lang w:val="fr-FR"/>
        </w:rPr>
        <w:t>(Documents de référence: ECE/TRANS/WP.15/AC.1/2016/16, documents informels INF.52 et INF.60, tel que modifié)</w:t>
      </w:r>
    </w:p>
    <w:p w:rsidR="009209F1" w:rsidRDefault="009209F1" w:rsidP="009209F1">
      <w:pPr>
        <w:pStyle w:val="SingleTxtG"/>
        <w:rPr>
          <w:lang w:val="fr-FR"/>
        </w:rPr>
      </w:pPr>
      <w:r>
        <w:rPr>
          <w:lang w:val="fr-FR"/>
        </w:rPr>
        <w:t>1.1.3.3 a)</w:t>
      </w:r>
      <w:r>
        <w:rPr>
          <w:lang w:val="fr-FR"/>
        </w:rPr>
        <w:tab/>
        <w:t>À la fin, ajouter le nota suivant:</w:t>
      </w:r>
    </w:p>
    <w:p w:rsidR="009209F1" w:rsidRDefault="009209F1" w:rsidP="009209F1">
      <w:pPr>
        <w:pStyle w:val="SingleTxtG"/>
        <w:rPr>
          <w:i/>
          <w:lang w:val="fr-FR"/>
        </w:rPr>
      </w:pPr>
      <w:r>
        <w:rPr>
          <w:i/>
          <w:lang w:val="fr-FR"/>
        </w:rPr>
        <w:t>«</w:t>
      </w:r>
      <w:r>
        <w:rPr>
          <w:b/>
          <w:i/>
          <w:lang w:val="fr-FR"/>
        </w:rPr>
        <w:t>NOTA:</w:t>
      </w:r>
      <w:r>
        <w:rPr>
          <w:i/>
          <w:lang w:val="fr-FR"/>
        </w:rPr>
        <w:tab/>
        <w:t>Tout conteneur doté d’un équipement destiné à fonctionner pendant le transport et arrimé sur un véhicule est considéré comme faisant partie intégrante du véhicule et bénéficie des mêmes exemptions en ce qui concerne le combustible nécessaire au fonctionnement de l’équipement.».</w:t>
      </w:r>
    </w:p>
    <w:p w:rsidR="009209F1" w:rsidRDefault="009209F1" w:rsidP="009209F1">
      <w:pPr>
        <w:pStyle w:val="SingleTxtG"/>
        <w:ind w:left="0"/>
        <w:rPr>
          <w:i/>
          <w:lang w:val="fr-FR"/>
        </w:rPr>
      </w:pPr>
      <w:r>
        <w:rPr>
          <w:i/>
          <w:lang w:val="fr-FR"/>
        </w:rPr>
        <w:t>(Documents de référence: ECE/TRANS/WP.15/AC.1/2016/16, documents informels INF.52 et INF.60, tel que modifié)</w:t>
      </w:r>
    </w:p>
    <w:p w:rsidR="009209F1" w:rsidRDefault="009209F1" w:rsidP="009209F1">
      <w:pPr>
        <w:pStyle w:val="SingleTxtG"/>
        <w:rPr>
          <w:lang w:val="fr-FR"/>
        </w:rPr>
      </w:pPr>
      <w:r>
        <w:rPr>
          <w:lang w:val="fr-FR"/>
        </w:rPr>
        <w:t>1.1.3.10 (b)</w:t>
      </w:r>
      <w:r>
        <w:rPr>
          <w:lang w:val="fr-FR"/>
        </w:rPr>
        <w:tab/>
        <w:t>Dans le Nota sous l’alinéa i), remplacer «</w:t>
      </w:r>
      <w:r>
        <w:rPr>
          <w:snapToGrid w:val="0"/>
          <w:szCs w:val="24"/>
          <w:lang w:val="fr-FR"/>
        </w:rPr>
        <w:t xml:space="preserve">ISO 9001:2008» par </w:t>
      </w:r>
      <w:r>
        <w:rPr>
          <w:lang w:val="fr-FR"/>
        </w:rPr>
        <w:t>«</w:t>
      </w:r>
      <w:r>
        <w:rPr>
          <w:snapToGrid w:val="0"/>
          <w:szCs w:val="24"/>
          <w:lang w:val="fr-FR"/>
        </w:rPr>
        <w:t>ISO 9001».</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H1G"/>
        <w:rPr>
          <w:sz w:val="20"/>
          <w:lang w:val="fr-FR"/>
        </w:rPr>
      </w:pPr>
      <w:r>
        <w:rPr>
          <w:sz w:val="20"/>
          <w:lang w:val="fr-FR"/>
        </w:rPr>
        <w:tab/>
      </w:r>
      <w:r>
        <w:rPr>
          <w:sz w:val="20"/>
          <w:lang w:val="fr-FR"/>
        </w:rPr>
        <w:tab/>
        <w:t>Chapitre 1.2</w:t>
      </w:r>
    </w:p>
    <w:p w:rsidR="009209F1" w:rsidRDefault="009209F1" w:rsidP="009209F1">
      <w:pPr>
        <w:pStyle w:val="SingleTxtG"/>
        <w:rPr>
          <w:lang w:val="fr-FR"/>
        </w:rPr>
      </w:pPr>
      <w:r>
        <w:rPr>
          <w:lang w:val="fr-FR"/>
        </w:rPr>
        <w:t>1.2.1</w:t>
      </w:r>
      <w:r>
        <w:rPr>
          <w:lang w:val="fr-FR"/>
        </w:rPr>
        <w:tab/>
        <w:t>Dans la définition de «Matières plastiques recyclée», remplacer «des matières récupérées sur des emballages industriels usagés qui ont été nettoyés et traités pour être soumis au recyclage» par «des matières récupérées à partir d'emballages industriels usagés qui ont été nettoyés et préparés pour être transformés en emballages neufs».</w:t>
      </w:r>
    </w:p>
    <w:p w:rsidR="009209F1" w:rsidRDefault="009209F1" w:rsidP="009209F1">
      <w:pPr>
        <w:pStyle w:val="SingleTxtG"/>
        <w:ind w:left="0"/>
        <w:rPr>
          <w:i/>
          <w:lang w:val="fr-FR"/>
        </w:rPr>
      </w:pPr>
      <w:r>
        <w:rPr>
          <w:i/>
          <w:lang w:val="fr-FR"/>
        </w:rPr>
        <w:t>(Documents de référence: document informel INF.15)</w:t>
      </w:r>
    </w:p>
    <w:p w:rsidR="009209F1" w:rsidRDefault="009209F1" w:rsidP="009209F1">
      <w:pPr>
        <w:tabs>
          <w:tab w:val="left" w:pos="1418"/>
          <w:tab w:val="left" w:pos="1843"/>
        </w:tabs>
        <w:spacing w:before="120" w:after="120"/>
        <w:ind w:left="1134" w:right="1134"/>
        <w:jc w:val="both"/>
        <w:rPr>
          <w:lang w:val="fr-FR"/>
        </w:rPr>
      </w:pPr>
      <w:r>
        <w:rPr>
          <w:lang w:val="fr-FR"/>
        </w:rPr>
        <w:t>(ADN:)</w:t>
      </w:r>
    </w:p>
    <w:p w:rsidR="009209F1" w:rsidRDefault="009209F1" w:rsidP="009209F1">
      <w:pPr>
        <w:tabs>
          <w:tab w:val="left" w:pos="1418"/>
          <w:tab w:val="left" w:pos="1843"/>
        </w:tabs>
        <w:spacing w:before="120" w:after="120"/>
        <w:ind w:left="1134" w:right="1134"/>
        <w:jc w:val="both"/>
        <w:rPr>
          <w:lang w:val="fr-FR"/>
        </w:rPr>
      </w:pPr>
      <w:r>
        <w:rPr>
          <w:lang w:val="fr-FR"/>
        </w:rPr>
        <w:t>1.2.1</w:t>
      </w:r>
      <w:r>
        <w:rPr>
          <w:lang w:val="fr-FR"/>
        </w:rPr>
        <w:tab/>
      </w:r>
      <w:r>
        <w:rPr>
          <w:b/>
          <w:lang w:val="fr-FR"/>
        </w:rPr>
        <w:tab/>
      </w:r>
      <w:r>
        <w:rPr>
          <w:lang w:val="fr-FR"/>
        </w:rPr>
        <w:t>Dans la définition de «</w:t>
      </w:r>
      <w:r>
        <w:rPr>
          <w:i/>
          <w:lang w:val="fr-FR"/>
        </w:rPr>
        <w:t>Types de protection</w:t>
      </w:r>
      <w:r>
        <w:rPr>
          <w:lang w:val="fr-FR"/>
        </w:rPr>
        <w:t>», remplacer «CEI 60079-7:2006» par «CEI 60079-7:2015».</w:t>
      </w:r>
    </w:p>
    <w:p w:rsidR="009209F1" w:rsidRDefault="009209F1" w:rsidP="009209F1">
      <w:pPr>
        <w:pStyle w:val="SingleTxtG"/>
        <w:spacing w:before="120"/>
        <w:ind w:left="0"/>
        <w:rPr>
          <w:i/>
          <w:lang w:val="fr-FR"/>
        </w:rPr>
      </w:pPr>
      <w:r>
        <w:rPr>
          <w:i/>
          <w:lang w:val="fr-FR"/>
        </w:rPr>
        <w:t>(Document de référence: document informel INF.57)</w:t>
      </w:r>
    </w:p>
    <w:p w:rsidR="009209F1" w:rsidRDefault="009209F1" w:rsidP="009209F1">
      <w:pPr>
        <w:tabs>
          <w:tab w:val="left" w:pos="1418"/>
          <w:tab w:val="left" w:pos="1843"/>
        </w:tabs>
        <w:spacing w:before="120" w:after="120"/>
        <w:ind w:left="1134" w:right="1134"/>
        <w:jc w:val="both"/>
        <w:rPr>
          <w:lang w:val="fr-FR"/>
        </w:rPr>
      </w:pPr>
      <w:r>
        <w:rPr>
          <w:lang w:val="fr-FR"/>
        </w:rPr>
        <w:t>1.2.1</w:t>
      </w:r>
      <w:r>
        <w:rPr>
          <w:lang w:val="fr-FR"/>
        </w:rPr>
        <w:tab/>
        <w:t>Modifier la définition de « Pression maximale de service » comme suit :</w:t>
      </w:r>
    </w:p>
    <w:p w:rsidR="009209F1" w:rsidRDefault="009209F1" w:rsidP="009209F1">
      <w:pPr>
        <w:tabs>
          <w:tab w:val="left" w:pos="1418"/>
          <w:tab w:val="left" w:pos="1843"/>
        </w:tabs>
        <w:spacing w:before="120" w:after="120"/>
        <w:ind w:left="1134" w:right="1134"/>
        <w:jc w:val="both"/>
        <w:rPr>
          <w:lang w:val="fr-FR"/>
        </w:rPr>
      </w:pPr>
      <w:r>
        <w:rPr>
          <w:lang w:val="fr-FR"/>
        </w:rPr>
        <w:tab/>
        <w:t>Remplacer la première phrase par la suivante: «</w:t>
      </w:r>
      <w:r>
        <w:rPr>
          <w:i/>
          <w:lang w:val="fr-FR"/>
        </w:rPr>
        <w:t>Pression maximale de service</w:t>
      </w:r>
      <w:r>
        <w:rPr>
          <w:lang w:val="fr-FR"/>
        </w:rPr>
        <w:t xml:space="preserve"> (pression manométrique), la plus haute des trois valeurs suivantes, susceptible d’être atteinte au sommet de la citerne dans sa position d’exploitation:».</w:t>
      </w:r>
    </w:p>
    <w:p w:rsidR="009209F1" w:rsidRDefault="009209F1" w:rsidP="009209F1">
      <w:pPr>
        <w:tabs>
          <w:tab w:val="left" w:pos="1418"/>
          <w:tab w:val="left" w:pos="1843"/>
        </w:tabs>
        <w:spacing w:before="120" w:after="120"/>
        <w:ind w:left="1134" w:right="1134"/>
        <w:jc w:val="both"/>
        <w:rPr>
          <w:lang w:val="fr-FR"/>
        </w:rPr>
      </w:pPr>
      <w:r>
        <w:rPr>
          <w:lang w:val="fr-FR"/>
        </w:rPr>
        <w:tab/>
        <w:t>Remplacer l’alinéa c) par le suivant :</w:t>
      </w:r>
    </w:p>
    <w:p w:rsidR="009209F1" w:rsidRDefault="009209F1" w:rsidP="009209F1">
      <w:pPr>
        <w:tabs>
          <w:tab w:val="left" w:pos="1418"/>
          <w:tab w:val="left" w:pos="1843"/>
        </w:tabs>
        <w:spacing w:before="120" w:after="120"/>
        <w:ind w:left="1134" w:right="1134"/>
        <w:jc w:val="both"/>
        <w:rPr>
          <w:lang w:val="fr-FR"/>
        </w:rPr>
      </w:pPr>
      <w:r>
        <w:rPr>
          <w:lang w:val="fr-FR"/>
        </w:rPr>
        <w:t>«c)</w:t>
      </w:r>
      <w:r>
        <w:rPr>
          <w:lang w:val="fr-FR"/>
        </w:rPr>
        <w:tab/>
        <w:t>pression manométrique effective à laquelle la citerne est soumise par son contenu (y compris les gaz étrangers qu'elle peut renfermer) à la température maximale de service.».</w:t>
      </w:r>
    </w:p>
    <w:p w:rsidR="009209F1" w:rsidRDefault="009209F1" w:rsidP="009209F1">
      <w:pPr>
        <w:tabs>
          <w:tab w:val="left" w:pos="1418"/>
          <w:tab w:val="left" w:pos="1843"/>
        </w:tabs>
        <w:spacing w:before="120" w:after="120"/>
        <w:ind w:left="1134" w:right="1134"/>
        <w:jc w:val="both"/>
        <w:rPr>
          <w:lang w:val="fr-FR"/>
        </w:rPr>
      </w:pPr>
      <w:r>
        <w:rPr>
          <w:lang w:val="fr-FR"/>
        </w:rPr>
        <w:lastRenderedPageBreak/>
        <w:tab/>
        <w:t>Dans le dernier paragraphe, remplacer «à l'exception des citernes destinées au transport de gaz de la classe 2 comprimés, liquéfiés ou dissous,» par «à l'exception des citernes destinées au transport de gaz comprimés, liquéfiés ou dissous, de la classe 2,».</w:t>
      </w:r>
    </w:p>
    <w:p w:rsidR="009209F1" w:rsidRDefault="009209F1" w:rsidP="009209F1">
      <w:pPr>
        <w:tabs>
          <w:tab w:val="left" w:pos="1418"/>
          <w:tab w:val="left" w:pos="1843"/>
        </w:tabs>
        <w:spacing w:before="120" w:after="120"/>
        <w:ind w:left="1134" w:right="1134"/>
        <w:jc w:val="both"/>
        <w:rPr>
          <w:lang w:val="fr-FR"/>
        </w:rPr>
      </w:pPr>
      <w:r>
        <w:rPr>
          <w:lang w:val="fr-FR"/>
        </w:rPr>
        <w:tab/>
        <w:t>Insérer le nouveau NOTA 1 suivant :</w:t>
      </w:r>
    </w:p>
    <w:p w:rsidR="009209F1" w:rsidRDefault="009209F1" w:rsidP="009209F1">
      <w:pPr>
        <w:tabs>
          <w:tab w:val="left" w:pos="1418"/>
          <w:tab w:val="left" w:pos="1843"/>
        </w:tabs>
        <w:spacing w:before="120" w:after="120"/>
        <w:ind w:left="1134" w:right="1134"/>
        <w:jc w:val="both"/>
        <w:rPr>
          <w:lang w:val="fr-FR"/>
        </w:rPr>
      </w:pPr>
      <w:r>
        <w:rPr>
          <w:lang w:val="fr-FR"/>
        </w:rPr>
        <w:t>«</w:t>
      </w:r>
      <w:r>
        <w:rPr>
          <w:b/>
          <w:i/>
          <w:lang w:val="fr-FR"/>
        </w:rPr>
        <w:t>NOTA 1:</w:t>
      </w:r>
      <w:r>
        <w:rPr>
          <w:i/>
          <w:lang w:val="fr-FR"/>
        </w:rPr>
        <w:tab/>
        <w:t>La pression maximale de service n’est pas applicable aux citernes à vidange gravitaire</w:t>
      </w:r>
      <w:r>
        <w:rPr>
          <w:lang w:val="fr-FR"/>
        </w:rPr>
        <w:t>.».</w:t>
      </w:r>
    </w:p>
    <w:p w:rsidR="009209F1" w:rsidRDefault="009209F1" w:rsidP="009209F1">
      <w:pPr>
        <w:tabs>
          <w:tab w:val="left" w:pos="1418"/>
          <w:tab w:val="left" w:pos="1843"/>
        </w:tabs>
        <w:spacing w:before="120" w:after="120"/>
        <w:ind w:left="1134" w:right="1134"/>
        <w:jc w:val="both"/>
        <w:rPr>
          <w:lang w:val="fr-FR"/>
        </w:rPr>
      </w:pPr>
      <w:r>
        <w:rPr>
          <w:lang w:val="fr-FR"/>
        </w:rPr>
        <w:t>Renuméroter en conséquence les NOTA 1 et 2 qui deviennent les NOTA 2 et 3.</w:t>
      </w:r>
    </w:p>
    <w:p w:rsidR="009209F1" w:rsidRDefault="009209F1" w:rsidP="009209F1">
      <w:pPr>
        <w:pStyle w:val="SingleTxtG"/>
        <w:ind w:left="0"/>
        <w:rPr>
          <w:i/>
          <w:lang w:val="fr-FR"/>
        </w:rPr>
      </w:pPr>
      <w:r>
        <w:rPr>
          <w:i/>
          <w:lang w:val="fr-FR"/>
        </w:rPr>
        <w:t>(Documents de référence: ECE/TRANS/WP.15/AC.1/2016/17 et documents informels INF.49 et INF.61)</w:t>
      </w:r>
    </w:p>
    <w:p w:rsidR="009209F1" w:rsidRDefault="009209F1" w:rsidP="009209F1">
      <w:pPr>
        <w:pStyle w:val="H1G"/>
        <w:rPr>
          <w:sz w:val="20"/>
          <w:lang w:val="fr-FR"/>
        </w:rPr>
      </w:pPr>
      <w:r>
        <w:rPr>
          <w:sz w:val="20"/>
          <w:lang w:val="fr-FR"/>
        </w:rPr>
        <w:tab/>
      </w:r>
      <w:r>
        <w:rPr>
          <w:sz w:val="20"/>
          <w:lang w:val="fr-FR"/>
        </w:rPr>
        <w:tab/>
        <w:t>Chapitre 1.4</w:t>
      </w:r>
    </w:p>
    <w:p w:rsidR="009209F1" w:rsidRDefault="009209F1" w:rsidP="009209F1">
      <w:pPr>
        <w:tabs>
          <w:tab w:val="left" w:pos="1418"/>
          <w:tab w:val="left" w:pos="1843"/>
        </w:tabs>
        <w:spacing w:before="120" w:after="120"/>
        <w:ind w:left="1134" w:right="1134"/>
        <w:jc w:val="both"/>
        <w:rPr>
          <w:rFonts w:cs="Arial"/>
          <w:szCs w:val="22"/>
          <w:lang w:val="fr-FR"/>
        </w:rPr>
      </w:pPr>
      <w:r>
        <w:rPr>
          <w:lang w:val="fr-FR"/>
        </w:rPr>
        <w:t>1.4.2.2.1</w:t>
      </w:r>
      <w:r>
        <w:rPr>
          <w:lang w:val="fr-FR"/>
        </w:rPr>
        <w:tab/>
      </w:r>
      <w:r>
        <w:rPr>
          <w:lang w:val="fr-FR"/>
        </w:rPr>
        <w:tab/>
        <w:t>À l’alinéa d), dans le nota, après «4.2.4.4,», ajouter: «4.3.2.3.7,».</w:t>
      </w:r>
    </w:p>
    <w:p w:rsidR="009209F1" w:rsidRDefault="009209F1" w:rsidP="009209F1">
      <w:pPr>
        <w:pStyle w:val="SingleTxtG"/>
        <w:ind w:left="0"/>
        <w:rPr>
          <w:i/>
          <w:lang w:val="fr-FR"/>
        </w:rPr>
      </w:pPr>
      <w:r>
        <w:rPr>
          <w:i/>
          <w:lang w:val="fr-FR"/>
        </w:rPr>
        <w:t>(Documents de référence: documents informels INF.21 et INF.61)</w:t>
      </w:r>
    </w:p>
    <w:p w:rsidR="009209F1" w:rsidRDefault="009209F1" w:rsidP="009209F1">
      <w:pPr>
        <w:pStyle w:val="H1G"/>
        <w:rPr>
          <w:sz w:val="20"/>
          <w:lang w:val="fr-FR"/>
        </w:rPr>
      </w:pPr>
      <w:r>
        <w:rPr>
          <w:sz w:val="20"/>
          <w:lang w:val="fr-FR"/>
        </w:rPr>
        <w:tab/>
      </w:r>
      <w:r>
        <w:rPr>
          <w:sz w:val="20"/>
          <w:lang w:val="fr-FR"/>
        </w:rPr>
        <w:tab/>
        <w:t>Chapitre 1.6</w:t>
      </w:r>
    </w:p>
    <w:p w:rsidR="009209F1" w:rsidRDefault="009209F1" w:rsidP="009209F1">
      <w:pPr>
        <w:pStyle w:val="SingleTxtG"/>
        <w:rPr>
          <w:lang w:val="fr-FR"/>
        </w:rPr>
      </w:pPr>
      <w:r>
        <w:rPr>
          <w:lang w:val="fr-FR"/>
        </w:rPr>
        <w:t>1.6.1.30</w:t>
      </w:r>
      <w:r>
        <w:rPr>
          <w:lang w:val="fr-FR"/>
        </w:rPr>
        <w:tab/>
        <w:t>Modifier pour lire comme suit:</w:t>
      </w:r>
    </w:p>
    <w:p w:rsidR="009209F1" w:rsidRDefault="009209F1" w:rsidP="009209F1">
      <w:pPr>
        <w:pStyle w:val="SingleTxtG"/>
        <w:rPr>
          <w:lang w:val="fr-FR"/>
        </w:rPr>
      </w:pPr>
      <w:r>
        <w:rPr>
          <w:lang w:val="fr-FR"/>
        </w:rPr>
        <w:t>«1.6.1.30</w:t>
      </w:r>
      <w:r>
        <w:rPr>
          <w:lang w:val="fr-FR"/>
        </w:rPr>
        <w:tab/>
        <w:t>Les étiquettes répondant aux prescriptions du 5.2.2.2.1.1 applicables jusqu’au 31 décembre 2014 pourront encore être utilisées jusqu’au 30 juin 2019.».</w:t>
      </w:r>
    </w:p>
    <w:p w:rsidR="009209F1" w:rsidRDefault="009209F1" w:rsidP="009209F1">
      <w:pPr>
        <w:pStyle w:val="SingleTxtG"/>
        <w:ind w:left="0"/>
        <w:rPr>
          <w:i/>
          <w:lang w:val="fr-FR"/>
        </w:rPr>
      </w:pPr>
      <w:r>
        <w:rPr>
          <w:i/>
          <w:lang w:val="fr-FR"/>
        </w:rPr>
        <w:t>(Document de référence: document informel INF.11, tel que modifié)</w:t>
      </w:r>
    </w:p>
    <w:p w:rsidR="009209F1" w:rsidRDefault="009209F1" w:rsidP="009209F1">
      <w:pPr>
        <w:tabs>
          <w:tab w:val="left" w:pos="1418"/>
          <w:tab w:val="left" w:pos="1843"/>
        </w:tabs>
        <w:spacing w:before="120" w:after="120"/>
        <w:ind w:left="1134" w:right="1134"/>
        <w:jc w:val="both"/>
        <w:rPr>
          <w:lang w:val="fr-FR"/>
        </w:rPr>
      </w:pPr>
      <w:r>
        <w:rPr>
          <w:lang w:val="fr-FR"/>
        </w:rPr>
        <w:t>(ADR:) 1.6.1</w:t>
      </w:r>
      <w:r>
        <w:rPr>
          <w:lang w:val="fr-FR"/>
        </w:rPr>
        <w:tab/>
        <w:t>Ajouter la nouvelle mesure transitoire suivante:</w:t>
      </w:r>
    </w:p>
    <w:p w:rsidR="009209F1" w:rsidRDefault="009209F1" w:rsidP="009209F1">
      <w:pPr>
        <w:tabs>
          <w:tab w:val="left" w:pos="1418"/>
          <w:tab w:val="left" w:pos="1843"/>
        </w:tabs>
        <w:spacing w:before="120" w:after="120"/>
        <w:ind w:left="1134" w:right="1134"/>
        <w:jc w:val="both"/>
        <w:rPr>
          <w:lang w:val="fr-FR"/>
        </w:rPr>
      </w:pPr>
      <w:r>
        <w:rPr>
          <w:lang w:val="fr-FR"/>
        </w:rPr>
        <w:t>«1.6.1.37</w:t>
      </w:r>
      <w:r>
        <w:rPr>
          <w:lang w:val="fr-FR"/>
        </w:rPr>
        <w:tab/>
      </w:r>
      <w:r>
        <w:rPr>
          <w:i/>
          <w:lang w:val="fr-FR"/>
        </w:rPr>
        <w:t>(Réservé)</w:t>
      </w:r>
      <w:r>
        <w:rPr>
          <w:lang w:val="fr-FR"/>
        </w:rPr>
        <w:t>».</w:t>
      </w:r>
    </w:p>
    <w:p w:rsidR="009209F1" w:rsidRDefault="009209F1" w:rsidP="009209F1">
      <w:pPr>
        <w:tabs>
          <w:tab w:val="left" w:pos="1418"/>
          <w:tab w:val="left" w:pos="1843"/>
        </w:tabs>
        <w:spacing w:before="120" w:after="120"/>
        <w:ind w:left="1134" w:right="1134"/>
        <w:jc w:val="both"/>
        <w:rPr>
          <w:lang w:val="fr-FR"/>
        </w:rPr>
      </w:pPr>
      <w:r>
        <w:rPr>
          <w:lang w:val="fr-FR"/>
        </w:rPr>
        <w:t>1.6.3</w:t>
      </w:r>
      <w:r>
        <w:rPr>
          <w:lang w:val="fr-FR"/>
        </w:rPr>
        <w:tab/>
        <w:t>Ajouter la nouvelle mesure transitoire suivante:</w:t>
      </w:r>
    </w:p>
    <w:p w:rsidR="009209F1" w:rsidRDefault="009209F1" w:rsidP="009209F1">
      <w:pPr>
        <w:tabs>
          <w:tab w:val="left" w:pos="1418"/>
          <w:tab w:val="left" w:pos="1843"/>
        </w:tabs>
        <w:spacing w:before="120" w:after="120"/>
        <w:ind w:left="1134" w:right="1134"/>
        <w:jc w:val="both"/>
        <w:rPr>
          <w:lang w:val="fr-FR"/>
        </w:rPr>
      </w:pPr>
      <w:r>
        <w:rPr>
          <w:lang w:val="fr-FR"/>
        </w:rPr>
        <w:t>«1.6.3.46</w:t>
      </w:r>
      <w:r>
        <w:rPr>
          <w:lang w:val="fr-FR"/>
        </w:rPr>
        <w:tab/>
        <w:t>Les wagons-citernes qui ont été construits/Les citernes fixes (véhicules-citernes) et citernes démontables qui ont été construites avant le 1</w:t>
      </w:r>
      <w:r>
        <w:rPr>
          <w:vertAlign w:val="superscript"/>
          <w:lang w:val="fr-FR"/>
        </w:rPr>
        <w:t>er</w:t>
      </w:r>
      <w:r>
        <w:rPr>
          <w:lang w:val="fr-FR"/>
        </w:rPr>
        <w:t xml:space="preserve"> juillet 2017 selon les prescriptions applicables jusqu'au 31 décembre 2016, mais qui ne sont cependant pas conformes aux prescriptions du 6.8.2.1.23 applicables à partir du 1</w:t>
      </w:r>
      <w:r>
        <w:rPr>
          <w:vertAlign w:val="superscript"/>
          <w:lang w:val="fr-FR"/>
        </w:rPr>
        <w:t>er</w:t>
      </w:r>
      <w:r>
        <w:rPr>
          <w:lang w:val="fr-FR"/>
        </w:rPr>
        <w:t> janvier 2017, pourront encore être utilisées.».</w:t>
      </w:r>
    </w:p>
    <w:p w:rsidR="009209F1" w:rsidRDefault="009209F1" w:rsidP="009209F1">
      <w:pPr>
        <w:pStyle w:val="SingleTxtG"/>
        <w:ind w:left="0"/>
        <w:rPr>
          <w:i/>
          <w:lang w:val="fr-FR"/>
        </w:rPr>
      </w:pPr>
      <w:r>
        <w:rPr>
          <w:i/>
          <w:lang w:val="fr-FR"/>
        </w:rPr>
        <w:t>(Documents de référence: ECE/TRANS/WP.15/AC.1/2016/13, documents informels INF.17, INF.49 et INF.61)</w:t>
      </w:r>
    </w:p>
    <w:p w:rsidR="009209F1" w:rsidRDefault="009209F1" w:rsidP="009209F1">
      <w:pPr>
        <w:tabs>
          <w:tab w:val="left" w:pos="1418"/>
          <w:tab w:val="left" w:pos="1843"/>
        </w:tabs>
        <w:spacing w:before="120" w:after="120"/>
        <w:ind w:left="1134" w:right="1134"/>
        <w:jc w:val="both"/>
        <w:rPr>
          <w:lang w:val="fr-FR"/>
        </w:rPr>
      </w:pPr>
      <w:r>
        <w:rPr>
          <w:lang w:val="fr-FR"/>
        </w:rPr>
        <w:t>1.6.4</w:t>
      </w:r>
      <w:r>
        <w:rPr>
          <w:lang w:val="fr-FR"/>
        </w:rPr>
        <w:tab/>
        <w:t>Ajouter la nouvelle mesure transitoire suivante:</w:t>
      </w:r>
    </w:p>
    <w:p w:rsidR="009209F1" w:rsidRDefault="009209F1" w:rsidP="009209F1">
      <w:pPr>
        <w:tabs>
          <w:tab w:val="left" w:pos="1418"/>
          <w:tab w:val="left" w:pos="1843"/>
        </w:tabs>
        <w:spacing w:before="120" w:after="120"/>
        <w:ind w:left="1134" w:right="1134"/>
        <w:jc w:val="both"/>
        <w:rPr>
          <w:lang w:val="fr-FR"/>
        </w:rPr>
      </w:pPr>
      <w:r>
        <w:rPr>
          <w:lang w:val="fr-FR"/>
        </w:rPr>
        <w:t>«1.6.4.48</w:t>
      </w:r>
      <w:r>
        <w:rPr>
          <w:lang w:val="fr-FR"/>
        </w:rPr>
        <w:tab/>
        <w:t>Les conteneurs-citernes qui ont été construits avant le 1</w:t>
      </w:r>
      <w:r>
        <w:rPr>
          <w:vertAlign w:val="superscript"/>
          <w:lang w:val="fr-FR"/>
        </w:rPr>
        <w:t>er</w:t>
      </w:r>
      <w:r>
        <w:rPr>
          <w:lang w:val="fr-FR"/>
        </w:rPr>
        <w:t xml:space="preserve"> juillet 2017 selon les prescriptions applicables jusqu'au 31 décembre 2016, mais qui ne sont cependant pas conformes aux prescriptions du 6.8.2.1.23 applicables à partir du 1</w:t>
      </w:r>
      <w:r>
        <w:rPr>
          <w:vertAlign w:val="superscript"/>
          <w:lang w:val="fr-FR"/>
        </w:rPr>
        <w:t>er</w:t>
      </w:r>
      <w:r>
        <w:rPr>
          <w:lang w:val="fr-FR"/>
        </w:rPr>
        <w:t> janvier 2017, pourront encore être utilisés.».</w:t>
      </w:r>
    </w:p>
    <w:p w:rsidR="009209F1" w:rsidRDefault="009209F1" w:rsidP="009209F1">
      <w:pPr>
        <w:pStyle w:val="SingleTxtG"/>
        <w:ind w:left="0"/>
        <w:rPr>
          <w:i/>
          <w:lang w:val="fr-FR"/>
        </w:rPr>
      </w:pPr>
      <w:r>
        <w:rPr>
          <w:i/>
          <w:lang w:val="fr-FR"/>
        </w:rPr>
        <w:t>(Documents de référence: ECE/TRANS/WP.15/AC.1/2016/13, Documents informels INF.17, INF.49 et INF.61)</w:t>
      </w:r>
    </w:p>
    <w:p w:rsidR="009209F1" w:rsidRDefault="009209F1" w:rsidP="009209F1">
      <w:pPr>
        <w:pStyle w:val="H1G"/>
        <w:rPr>
          <w:sz w:val="20"/>
          <w:lang w:val="fr-FR"/>
        </w:rPr>
      </w:pPr>
      <w:r>
        <w:rPr>
          <w:sz w:val="20"/>
          <w:lang w:val="fr-FR"/>
        </w:rPr>
        <w:tab/>
      </w:r>
      <w:r>
        <w:rPr>
          <w:sz w:val="20"/>
          <w:lang w:val="fr-FR"/>
        </w:rPr>
        <w:tab/>
        <w:t>Chapitre 1.8</w:t>
      </w:r>
    </w:p>
    <w:p w:rsidR="009209F1" w:rsidRDefault="009209F1" w:rsidP="009209F1">
      <w:pPr>
        <w:pStyle w:val="SingleTxtG"/>
        <w:rPr>
          <w:lang w:val="fr-FR"/>
        </w:rPr>
      </w:pPr>
      <w:r>
        <w:rPr>
          <w:lang w:val="fr-FR"/>
        </w:rPr>
        <w:t>1.8.6.2.3</w:t>
      </w:r>
      <w:r>
        <w:rPr>
          <w:lang w:val="fr-FR"/>
        </w:rPr>
        <w:tab/>
        <w:t>Remplacer «les parties 4 et 6» par «les parties 4 ou 6».</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H1G"/>
        <w:rPr>
          <w:sz w:val="20"/>
          <w:lang w:val="fr-FR"/>
        </w:rPr>
      </w:pPr>
      <w:r>
        <w:rPr>
          <w:sz w:val="20"/>
          <w:lang w:val="fr-FR"/>
        </w:rPr>
        <w:lastRenderedPageBreak/>
        <w:tab/>
      </w:r>
      <w:r>
        <w:rPr>
          <w:sz w:val="20"/>
          <w:lang w:val="fr-FR"/>
        </w:rPr>
        <w:tab/>
        <w:t>Chapitre 2.1</w:t>
      </w:r>
    </w:p>
    <w:p w:rsidR="009209F1" w:rsidRDefault="009209F1" w:rsidP="009209F1">
      <w:pPr>
        <w:pStyle w:val="SingleTxtG"/>
        <w:rPr>
          <w:lang w:val="fr-FR"/>
        </w:rPr>
      </w:pPr>
      <w:r>
        <w:rPr>
          <w:lang w:val="fr-FR"/>
        </w:rPr>
        <w:t>2.1.1.2</w:t>
      </w:r>
      <w:r>
        <w:rPr>
          <w:lang w:val="fr-FR"/>
        </w:rPr>
        <w:tab/>
      </w:r>
      <w:r>
        <w:rPr>
          <w:lang w:val="fr-FR"/>
        </w:rPr>
        <w:tab/>
        <w:t>Pour la rubrique A, remplacer «les matières et objets» par «des matières ou objets» et remplacer «les rubriques recouvrant plusieurs isomères» par «les rubriques pour les matières recouvrant plusieurs isomères».</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r>
        <w:rPr>
          <w:lang w:val="fr-FR"/>
        </w:rPr>
        <w:t>2.1.4.2 e)</w:t>
      </w:r>
      <w:r>
        <w:rPr>
          <w:lang w:val="fr-FR"/>
        </w:rPr>
        <w:tab/>
        <w:t>Remplacer «que la matière ne soit pas emballée» par «que l'échantillon ne soit pas emballé».</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H1G"/>
        <w:rPr>
          <w:sz w:val="20"/>
          <w:lang w:val="fr-FR"/>
        </w:rPr>
      </w:pPr>
      <w:r>
        <w:rPr>
          <w:sz w:val="20"/>
          <w:lang w:val="fr-FR"/>
        </w:rPr>
        <w:tab/>
      </w:r>
      <w:r>
        <w:rPr>
          <w:sz w:val="20"/>
          <w:lang w:val="fr-FR"/>
        </w:rPr>
        <w:tab/>
        <w:t>Chapitre 2.2</w:t>
      </w:r>
    </w:p>
    <w:p w:rsidR="009209F1" w:rsidRDefault="009209F1" w:rsidP="009209F1">
      <w:pPr>
        <w:pStyle w:val="SingleTxtG"/>
        <w:rPr>
          <w:lang w:val="fr-FR"/>
        </w:rPr>
      </w:pPr>
      <w:r>
        <w:rPr>
          <w:lang w:val="fr-FR"/>
        </w:rPr>
        <w:t>2.2.1.1.5</w:t>
      </w:r>
      <w:r>
        <w:rPr>
          <w:lang w:val="fr-FR"/>
        </w:rPr>
        <w:tab/>
        <w:t>Pour la division 1.4, remplacer «danger mineur» par «danger mineur d'explosion».</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r>
        <w:rPr>
          <w:lang w:val="fr-FR"/>
        </w:rPr>
        <w:t>2.2.1.4</w:t>
      </w:r>
      <w:r>
        <w:rPr>
          <w:lang w:val="fr-FR"/>
        </w:rPr>
        <w:tab/>
      </w:r>
      <w:r>
        <w:rPr>
          <w:lang w:val="fr-FR"/>
        </w:rPr>
        <w:tab/>
        <w:t>Pour CARTOUCHES À BLANC POUR ARMES DE PETIT CALIBRE: Nos ONU 0327, 0338 et 0014, après «douille», insérer «fermée». Pour CORDEAU DÉTONANT à enveloppe métallique: Nos ONU 0290 et 0102, remplacer «d'une gaine de plastique» par «d'une gaine protectrice».</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proofErr w:type="gramStart"/>
      <w:r>
        <w:rPr>
          <w:lang w:val="fr-FR"/>
        </w:rPr>
        <w:t>2.2.2.1.7 c</w:t>
      </w:r>
      <w:proofErr w:type="gramEnd"/>
      <w:r>
        <w:rPr>
          <w:lang w:val="fr-FR"/>
        </w:rPr>
        <w:t>) et d)</w:t>
      </w:r>
      <w:r>
        <w:rPr>
          <w:lang w:val="fr-FR"/>
        </w:rPr>
        <w:tab/>
        <w:t>Remplacer «marchandise» par «marchandise dangereuse».</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r>
        <w:rPr>
          <w:lang w:val="fr-FR"/>
        </w:rPr>
        <w:t>2.2.43.1.2</w:t>
      </w:r>
      <w:r>
        <w:rPr>
          <w:lang w:val="fr-FR"/>
        </w:rPr>
        <w:tab/>
        <w:t>Pour le code WS, remplacer «Matières auto-échauffantes qui, au contact de l'eau, dégagent des gaz inflammables, solides» par «Matières qui, au contact de l'eau, dégagent des gaz inflammables, solides, auto-échauffantes».</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r>
        <w:rPr>
          <w:lang w:val="fr-FR"/>
        </w:rPr>
        <w:t>2.2.52.1.6</w:t>
      </w:r>
      <w:r>
        <w:rPr>
          <w:lang w:val="fr-FR"/>
        </w:rPr>
        <w:tab/>
        <w:t>L’amendement ne s’applique pas au texte français.</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tabs>
          <w:tab w:val="left" w:pos="1418"/>
          <w:tab w:val="left" w:pos="1843"/>
        </w:tabs>
        <w:spacing w:before="120" w:after="120"/>
        <w:ind w:left="1134" w:right="1134"/>
        <w:jc w:val="both"/>
        <w:rPr>
          <w:lang w:val="fr-FR"/>
        </w:rPr>
      </w:pPr>
      <w:r>
        <w:rPr>
          <w:lang w:val="fr-FR"/>
        </w:rPr>
        <w:t>2.2.61.1.14</w:t>
      </w:r>
      <w:r>
        <w:rPr>
          <w:lang w:val="fr-FR"/>
        </w:rPr>
        <w:tab/>
        <w:t>Modifier pour lire comme suit:</w:t>
      </w:r>
    </w:p>
    <w:p w:rsidR="009209F1" w:rsidRDefault="009209F1" w:rsidP="009209F1">
      <w:pPr>
        <w:pStyle w:val="SingleTxtG"/>
        <w:rPr>
          <w:lang w:val="fr-FR"/>
        </w:rPr>
      </w:pPr>
      <w:r>
        <w:rPr>
          <w:lang w:val="fr-FR"/>
        </w:rPr>
        <w:t>«Les matières, solutions et mélanges, à l’exception des matières et préparations servant de pesticides, qui ne sont pas classés dans les catégories de toxicité aiguë 1, 2 ou 3 selon le règlement (CE) no 1272/2008</w:t>
      </w:r>
      <w:r>
        <w:rPr>
          <w:b/>
          <w:vertAlign w:val="superscript"/>
          <w:lang w:val="fr-FR"/>
        </w:rPr>
        <w:t>4/3</w:t>
      </w:r>
      <w:r>
        <w:rPr>
          <w:lang w:val="fr-FR"/>
        </w:rPr>
        <w:t xml:space="preserve"> peuvent être considérés comme des matières n’appartenant pas à la classe 6.1.</w:t>
      </w:r>
    </w:p>
    <w:p w:rsidR="009209F1" w:rsidRDefault="009209F1" w:rsidP="009209F1">
      <w:pPr>
        <w:pStyle w:val="SingleTxtG"/>
        <w:rPr>
          <w:lang w:val="fr-FR"/>
        </w:rPr>
      </w:pPr>
      <w:r>
        <w:rPr>
          <w:lang w:val="fr-FR"/>
        </w:rPr>
        <w:t>________</w:t>
      </w:r>
    </w:p>
    <w:p w:rsidR="009209F1" w:rsidRDefault="009209F1" w:rsidP="009209F1">
      <w:pPr>
        <w:pStyle w:val="SingleTxtG"/>
        <w:rPr>
          <w:lang w:val="fr-FR"/>
        </w:rPr>
      </w:pPr>
      <w:r>
        <w:rPr>
          <w:b/>
          <w:vertAlign w:val="superscript"/>
          <w:lang w:val="fr-FR"/>
        </w:rPr>
        <w:t>4/3</w:t>
      </w:r>
      <w:r>
        <w:rPr>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 1355».</w:t>
      </w:r>
    </w:p>
    <w:p w:rsidR="009209F1" w:rsidRDefault="009209F1" w:rsidP="009209F1">
      <w:pPr>
        <w:pStyle w:val="SingleTxtG"/>
        <w:rPr>
          <w:lang w:val="fr-FR"/>
        </w:rPr>
      </w:pPr>
      <w:r>
        <w:rPr>
          <w:lang w:val="fr-FR"/>
        </w:rPr>
        <w:t xml:space="preserve">(ADR:) Les notes de bas de page 3 et 4 existantes sont supprimées. Renuméroter en conséquence les notes de bas de page suivantes. </w:t>
      </w:r>
    </w:p>
    <w:p w:rsidR="009209F1" w:rsidRDefault="009209F1" w:rsidP="009209F1">
      <w:pPr>
        <w:pStyle w:val="SingleTxtG"/>
        <w:rPr>
          <w:lang w:val="fr-FR"/>
        </w:rPr>
      </w:pPr>
      <w:r>
        <w:rPr>
          <w:lang w:val="fr-FR"/>
        </w:rPr>
        <w:lastRenderedPageBreak/>
        <w:t>(RID:) Les notes de bas de page 4 et 5 existantes sont supprimées. La note de bas de page 6 devient la note de bas de page 5. Les notes de bas de page 8 à 11 deviennent les notes de bas de page 6 à 9.</w:t>
      </w:r>
    </w:p>
    <w:p w:rsidR="009209F1" w:rsidRDefault="009209F1" w:rsidP="009209F1">
      <w:pPr>
        <w:pStyle w:val="SingleTxtG"/>
        <w:ind w:left="0"/>
        <w:rPr>
          <w:i/>
          <w:lang w:val="fr-FR"/>
        </w:rPr>
      </w:pPr>
      <w:r>
        <w:rPr>
          <w:i/>
          <w:lang w:val="fr-FR"/>
        </w:rPr>
        <w:t>(Documents de référence: ECE/TRANS/WP.15/AC.1/2016/2 et document informel INF.54/Rev.2)</w:t>
      </w:r>
    </w:p>
    <w:p w:rsidR="009209F1" w:rsidRDefault="009209F1" w:rsidP="009209F1">
      <w:pPr>
        <w:tabs>
          <w:tab w:val="left" w:pos="1418"/>
          <w:tab w:val="left" w:pos="1843"/>
        </w:tabs>
        <w:spacing w:before="120" w:after="120"/>
        <w:ind w:left="1134" w:right="1134"/>
        <w:jc w:val="both"/>
        <w:rPr>
          <w:lang w:val="fr-FR"/>
        </w:rPr>
      </w:pPr>
      <w:r>
        <w:rPr>
          <w:lang w:val="fr-FR"/>
        </w:rPr>
        <w:t>2.2.8.1.9</w:t>
      </w:r>
      <w:r>
        <w:rPr>
          <w:lang w:val="fr-FR"/>
        </w:rPr>
        <w:tab/>
      </w:r>
      <w:r>
        <w:rPr>
          <w:lang w:val="fr-FR"/>
        </w:rPr>
        <w:tab/>
        <w:t>Modifier pour lire comme suit:</w:t>
      </w:r>
    </w:p>
    <w:p w:rsidR="009209F1" w:rsidRDefault="009209F1" w:rsidP="009209F1">
      <w:pPr>
        <w:pStyle w:val="SingleTxtG"/>
        <w:rPr>
          <w:lang w:val="fr-FR"/>
        </w:rPr>
      </w:pPr>
      <w:r>
        <w:rPr>
          <w:spacing w:val="2"/>
          <w:lang w:val="fr-FR"/>
        </w:rPr>
        <w:t xml:space="preserve">«Les matières, solutions et mélanges qui ne sont pas classés comme corrosifs pour </w:t>
      </w:r>
      <w:r>
        <w:rPr>
          <w:lang w:val="fr-FR"/>
        </w:rPr>
        <w:t xml:space="preserve">la peau ou pour les métaux de catégorie 1 selon le règlement (CE) no 1272/2008 </w:t>
      </w:r>
      <w:r>
        <w:rPr>
          <w:b/>
          <w:vertAlign w:val="superscript"/>
          <w:lang w:val="fr-FR"/>
        </w:rPr>
        <w:t>10/3</w:t>
      </w:r>
      <w:r>
        <w:rPr>
          <w:lang w:val="fr-FR"/>
        </w:rPr>
        <w:t xml:space="preserve"> peuvent être considérés comme des matières n’appartenant pas à la classe 8.</w:t>
      </w:r>
    </w:p>
    <w:p w:rsidR="009209F1" w:rsidRDefault="009209F1" w:rsidP="009209F1">
      <w:pPr>
        <w:pStyle w:val="SingleTxtG"/>
        <w:rPr>
          <w:lang w:val="fr-FR"/>
        </w:rPr>
      </w:pPr>
      <w:r>
        <w:rPr>
          <w:lang w:val="fr-FR"/>
        </w:rPr>
        <w:t>________</w:t>
      </w:r>
    </w:p>
    <w:p w:rsidR="009209F1" w:rsidRDefault="009209F1" w:rsidP="009209F1">
      <w:pPr>
        <w:pStyle w:val="SingleTxtG"/>
        <w:rPr>
          <w:lang w:val="fr-FR"/>
        </w:rPr>
      </w:pPr>
      <w:r>
        <w:rPr>
          <w:b/>
          <w:vertAlign w:val="superscript"/>
          <w:lang w:val="fr-FR"/>
        </w:rPr>
        <w:t>10/3</w:t>
      </w:r>
      <w:r>
        <w:rPr>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 1355».</w:t>
      </w:r>
    </w:p>
    <w:p w:rsidR="009209F1" w:rsidRDefault="009209F1" w:rsidP="009209F1">
      <w:pPr>
        <w:pStyle w:val="SingleTxtG"/>
        <w:rPr>
          <w:lang w:val="fr-FR"/>
        </w:rPr>
      </w:pPr>
      <w:r>
        <w:rPr>
          <w:lang w:val="fr-FR"/>
        </w:rPr>
        <w:t>Le Nota reste inchangé.</w:t>
      </w:r>
    </w:p>
    <w:p w:rsidR="009209F1" w:rsidRDefault="009209F1" w:rsidP="009209F1">
      <w:pPr>
        <w:pStyle w:val="SingleTxtG"/>
        <w:rPr>
          <w:lang w:val="fr-FR"/>
        </w:rPr>
      </w:pPr>
      <w:r>
        <w:rPr>
          <w:lang w:val="fr-FR"/>
        </w:rPr>
        <w:t>(RID:) Les notes de bas de page 12 et 13 existantes sont supprimées. Les notes de bas de page 14 à 23 deviennent les notes de bas de page 11 à 20.</w:t>
      </w:r>
    </w:p>
    <w:p w:rsidR="009209F1" w:rsidRDefault="009209F1" w:rsidP="009209F1">
      <w:pPr>
        <w:pStyle w:val="SingleTxtG"/>
        <w:ind w:left="0"/>
        <w:rPr>
          <w:i/>
          <w:lang w:val="fr-FR"/>
        </w:rPr>
      </w:pPr>
      <w:r>
        <w:rPr>
          <w:i/>
          <w:lang w:val="fr-FR"/>
        </w:rPr>
        <w:t xml:space="preserve"> (Documents de référence: ECE/TRANS/WP.15/AC.1/2016/2 et document informel INF.54/Rev.2)</w:t>
      </w:r>
    </w:p>
    <w:p w:rsidR="009209F1" w:rsidRDefault="009209F1" w:rsidP="009209F1">
      <w:pPr>
        <w:pStyle w:val="SingleTxtG"/>
        <w:rPr>
          <w:lang w:val="fr-FR"/>
        </w:rPr>
      </w:pPr>
      <w:r>
        <w:rPr>
          <w:lang w:val="fr-FR"/>
        </w:rPr>
        <w:t>2.2.9.1.10.2.6 c)</w:t>
      </w:r>
      <w:r>
        <w:rPr>
          <w:lang w:val="fr-FR"/>
        </w:rPr>
        <w:tab/>
        <w:t>L’amendement ne s’applique pas au texte français.</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r>
        <w:rPr>
          <w:lang w:val="fr-FR"/>
        </w:rPr>
        <w:t>(RID:) 2.2.9.1.10.5</w:t>
      </w:r>
      <w:r>
        <w:rPr>
          <w:lang w:val="fr-FR"/>
        </w:rPr>
        <w:tab/>
        <w:t>Modifier la note de bas de page 16 (auparavant 19) comme suit:</w:t>
      </w:r>
    </w:p>
    <w:p w:rsidR="009209F1" w:rsidRDefault="009209F1" w:rsidP="009209F1">
      <w:pPr>
        <w:pStyle w:val="SingleTxtG"/>
        <w:rPr>
          <w:lang w:val="fr-FR"/>
        </w:rPr>
      </w:pPr>
      <w:r>
        <w:rPr>
          <w:lang w:val="fr-FR"/>
        </w:rPr>
        <w:t>«</w:t>
      </w:r>
      <w:r>
        <w:rPr>
          <w:b/>
          <w:vertAlign w:val="superscript"/>
          <w:lang w:val="fr-FR"/>
        </w:rPr>
        <w:t>19</w:t>
      </w:r>
      <w:r>
        <w:rPr>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 1355».</w:t>
      </w:r>
    </w:p>
    <w:p w:rsidR="009209F1" w:rsidRDefault="009209F1" w:rsidP="009209F1">
      <w:pPr>
        <w:pStyle w:val="SingleTxtG"/>
        <w:rPr>
          <w:lang w:val="fr-FR"/>
        </w:rPr>
      </w:pPr>
      <w:r>
        <w:rPr>
          <w:lang w:val="fr-FR"/>
        </w:rPr>
        <w:t>À l’alinéa a), supprimer: «ou, si cela est toujours pertinent conformément audit Règlement, la ou les phrases de risque R50, R50/53 ou R51/53 conformément aux Directives 67/548/CE</w:t>
      </w:r>
      <w:r>
        <w:rPr>
          <w:b/>
          <w:vertAlign w:val="superscript"/>
          <w:lang w:val="fr-FR"/>
        </w:rPr>
        <w:t>20</w:t>
      </w:r>
      <w:r>
        <w:rPr>
          <w:lang w:val="fr-FR"/>
        </w:rPr>
        <w:t xml:space="preserve"> et 1999/45/CE</w:t>
      </w:r>
      <w:r>
        <w:rPr>
          <w:b/>
          <w:vertAlign w:val="superscript"/>
          <w:lang w:val="fr-FR"/>
        </w:rPr>
        <w:t>21</w:t>
      </w:r>
      <w:r>
        <w:rPr>
          <w:lang w:val="fr-FR"/>
        </w:rPr>
        <w:t>,».</w:t>
      </w:r>
    </w:p>
    <w:p w:rsidR="009209F1" w:rsidRDefault="009209F1" w:rsidP="009209F1">
      <w:pPr>
        <w:pStyle w:val="SingleTxtG"/>
        <w:rPr>
          <w:lang w:val="fr-FR"/>
        </w:rPr>
      </w:pPr>
      <w:r>
        <w:rPr>
          <w:lang w:val="fr-FR"/>
        </w:rPr>
        <w:t>À l’alinéa b), remplacer «si une telle phrase de risque ou catégorie conformément auxdits Directives et Règlement» par «si une telle catégorie conformément audit règlement».</w:t>
      </w:r>
    </w:p>
    <w:p w:rsidR="009209F1" w:rsidRDefault="009209F1" w:rsidP="009209F1">
      <w:pPr>
        <w:pStyle w:val="SingleTxtG"/>
        <w:ind w:left="0"/>
        <w:rPr>
          <w:i/>
          <w:lang w:val="fr-FR"/>
        </w:rPr>
      </w:pPr>
      <w:r>
        <w:rPr>
          <w:i/>
          <w:lang w:val="fr-FR"/>
        </w:rPr>
        <w:t>(Documents de référence: ECE/TRANS/WP.15/AC.1/2016/2 et document informel INF.54/Rev.2)</w:t>
      </w:r>
    </w:p>
    <w:p w:rsidR="009209F1" w:rsidRDefault="009209F1" w:rsidP="009209F1">
      <w:pPr>
        <w:pStyle w:val="SingleTxtG"/>
        <w:rPr>
          <w:lang w:val="fr-FR"/>
        </w:rPr>
      </w:pPr>
      <w:r>
        <w:rPr>
          <w:lang w:val="fr-FR"/>
        </w:rPr>
        <w:t>(ADR/ADN:) 2.2.9.1.10.5</w:t>
      </w:r>
      <w:r>
        <w:rPr>
          <w:lang w:val="fr-FR"/>
        </w:rPr>
        <w:tab/>
        <w:t>renuméroter la référence à la note de bas de page après «1272/2008/CE» en tant que note de bas de page 3:</w:t>
      </w:r>
    </w:p>
    <w:p w:rsidR="009209F1" w:rsidRDefault="009209F1" w:rsidP="009209F1">
      <w:pPr>
        <w:pStyle w:val="SingleTxtG"/>
        <w:rPr>
          <w:lang w:val="fr-FR"/>
        </w:rPr>
      </w:pPr>
      <w:r>
        <w:rPr>
          <w:lang w:val="fr-FR"/>
        </w:rPr>
        <w:t>La note de bas de page 3 se lit comme suit: «</w:t>
      </w:r>
      <w:r>
        <w:rPr>
          <w:b/>
          <w:vertAlign w:val="superscript"/>
          <w:lang w:val="fr-FR"/>
        </w:rPr>
        <w:t>3</w:t>
      </w:r>
      <w:r>
        <w:rPr>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 1355».</w:t>
      </w:r>
    </w:p>
    <w:p w:rsidR="009209F1" w:rsidRDefault="009209F1" w:rsidP="009209F1">
      <w:pPr>
        <w:pStyle w:val="SingleTxtG"/>
        <w:rPr>
          <w:lang w:val="fr-FR"/>
        </w:rPr>
      </w:pPr>
      <w:r>
        <w:rPr>
          <w:lang w:val="fr-FR"/>
        </w:rPr>
        <w:t>À l’alinéa a), supprimer: «ou, si cela est toujours pertinent conformément audit Règlement, la ou les phrases de risque R50, R50/53 ou R51/53 conformément aux Directives 67/548/CE</w:t>
      </w:r>
      <w:r>
        <w:rPr>
          <w:b/>
          <w:vertAlign w:val="superscript"/>
          <w:lang w:val="fr-FR"/>
        </w:rPr>
        <w:t>3</w:t>
      </w:r>
      <w:r>
        <w:rPr>
          <w:lang w:val="fr-FR"/>
        </w:rPr>
        <w:t xml:space="preserve"> et 1999/45/CE</w:t>
      </w:r>
      <w:r>
        <w:rPr>
          <w:b/>
          <w:vertAlign w:val="superscript"/>
          <w:lang w:val="fr-FR"/>
        </w:rPr>
        <w:t>4</w:t>
      </w:r>
      <w:r>
        <w:rPr>
          <w:lang w:val="fr-FR"/>
        </w:rPr>
        <w:t>,».</w:t>
      </w:r>
    </w:p>
    <w:p w:rsidR="009209F1" w:rsidRDefault="009209F1" w:rsidP="009209F1">
      <w:pPr>
        <w:pStyle w:val="SingleTxtG"/>
        <w:rPr>
          <w:lang w:val="fr-FR"/>
        </w:rPr>
      </w:pPr>
      <w:r>
        <w:rPr>
          <w:lang w:val="fr-FR"/>
        </w:rPr>
        <w:t>À l’alinéa b), remplacer «si une telle phrase de risque ou catégorie conformément auxdits Directives et Règlement» par «si une telle catégorie conformément audit règlement».</w:t>
      </w:r>
    </w:p>
    <w:p w:rsidR="009209F1" w:rsidRDefault="009209F1" w:rsidP="009209F1">
      <w:pPr>
        <w:pStyle w:val="SingleTxtG"/>
        <w:ind w:left="0"/>
        <w:rPr>
          <w:i/>
          <w:lang w:val="fr-FR"/>
        </w:rPr>
      </w:pPr>
      <w:r>
        <w:rPr>
          <w:i/>
          <w:lang w:val="fr-FR"/>
        </w:rPr>
        <w:lastRenderedPageBreak/>
        <w:t>(Documents de référence: ECE/TRANS/WP.15/AC.1/2016/2 et document informel INF.54/Rev.2)</w:t>
      </w:r>
    </w:p>
    <w:p w:rsidR="009209F1" w:rsidRDefault="009209F1" w:rsidP="009209F1">
      <w:pPr>
        <w:pStyle w:val="SingleTxtG"/>
        <w:rPr>
          <w:lang w:val="fr-FR"/>
        </w:rPr>
      </w:pPr>
      <w:r>
        <w:rPr>
          <w:lang w:val="fr-FR"/>
        </w:rPr>
        <w:t>2.3.1.4</w:t>
      </w:r>
      <w:r>
        <w:rPr>
          <w:lang w:val="fr-FR"/>
        </w:rPr>
        <w:tab/>
      </w:r>
      <w:r>
        <w:rPr>
          <w:lang w:val="fr-FR"/>
        </w:rPr>
        <w:tab/>
        <w:t>L’amendement ne s’applique pas au texte français.</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H1G"/>
        <w:rPr>
          <w:sz w:val="20"/>
          <w:lang w:val="fr-FR"/>
        </w:rPr>
      </w:pPr>
      <w:r>
        <w:rPr>
          <w:sz w:val="20"/>
          <w:lang w:val="fr-FR"/>
        </w:rPr>
        <w:tab/>
      </w:r>
      <w:r>
        <w:rPr>
          <w:sz w:val="20"/>
          <w:lang w:val="fr-FR"/>
        </w:rPr>
        <w:tab/>
        <w:t>Chapitre 3.2, Table A</w:t>
      </w:r>
    </w:p>
    <w:p w:rsidR="009209F1" w:rsidRDefault="009209F1" w:rsidP="009209F1">
      <w:pPr>
        <w:pStyle w:val="SingleTxtG"/>
        <w:rPr>
          <w:lang w:val="fr-FR"/>
        </w:rPr>
      </w:pPr>
      <w:r>
        <w:rPr>
          <w:lang w:val="fr-FR"/>
        </w:rPr>
        <w:t xml:space="preserve">Pour la première rubrique du groupe d’emballage III </w:t>
      </w:r>
      <w:proofErr w:type="spellStart"/>
      <w:r>
        <w:rPr>
          <w:lang w:val="fr-FR"/>
        </w:rPr>
        <w:t>des</w:t>
      </w:r>
      <w:proofErr w:type="spellEnd"/>
      <w:r>
        <w:rPr>
          <w:lang w:val="fr-FR"/>
        </w:rPr>
        <w:t xml:space="preserve"> Nos ONU 1133, 1139, 1169, 1197, 1210, 1263, 1266, 1286, 1287, 1306, 1866, 1993 et 1999, dans la colonne (6), supprimer: «640E».</w:t>
      </w:r>
    </w:p>
    <w:p w:rsidR="009209F1" w:rsidRDefault="009209F1" w:rsidP="009209F1">
      <w:pPr>
        <w:pStyle w:val="SingleTxtG"/>
        <w:ind w:left="0"/>
        <w:rPr>
          <w:i/>
          <w:lang w:val="fr-FR"/>
        </w:rPr>
      </w:pPr>
      <w:r>
        <w:rPr>
          <w:i/>
          <w:lang w:val="fr-FR"/>
        </w:rPr>
        <w:t>(Document de référence: document informel INF.36)</w:t>
      </w:r>
    </w:p>
    <w:p w:rsidR="009209F1" w:rsidRDefault="009209F1" w:rsidP="009209F1">
      <w:pPr>
        <w:pStyle w:val="SingleTxtG"/>
        <w:rPr>
          <w:lang w:val="fr-FR"/>
        </w:rPr>
      </w:pPr>
      <w:r>
        <w:rPr>
          <w:lang w:val="fr-FR"/>
        </w:rPr>
        <w:t>Pour les Nos ONU 3166, 3171, 3528, 3529 et 3530, ajouter dans la colonne (6): «669».</w:t>
      </w:r>
    </w:p>
    <w:p w:rsidR="009209F1" w:rsidRDefault="009209F1" w:rsidP="009209F1">
      <w:pPr>
        <w:pStyle w:val="SingleTxtG"/>
        <w:ind w:left="0"/>
        <w:rPr>
          <w:i/>
          <w:lang w:val="fr-FR"/>
        </w:rPr>
      </w:pPr>
      <w:r>
        <w:rPr>
          <w:i/>
          <w:iCs/>
          <w:lang w:val="fr-FR"/>
        </w:rPr>
        <w:t>(Documents de référence: ECE/TRANS/WP.15/AC.1/2016/16, document informel INF.52 et document informel INF.60 tel que modifié)</w:t>
      </w:r>
    </w:p>
    <w:p w:rsidR="009209F1" w:rsidRDefault="009209F1" w:rsidP="009209F1">
      <w:pPr>
        <w:pStyle w:val="H1G"/>
        <w:rPr>
          <w:sz w:val="20"/>
          <w:lang w:val="fr-FR"/>
        </w:rPr>
      </w:pPr>
      <w:r>
        <w:rPr>
          <w:sz w:val="20"/>
          <w:lang w:val="fr-FR"/>
        </w:rPr>
        <w:tab/>
      </w:r>
      <w:r>
        <w:rPr>
          <w:sz w:val="20"/>
          <w:lang w:val="fr-FR"/>
        </w:rPr>
        <w:tab/>
        <w:t>Chapitre 3.3</w:t>
      </w:r>
    </w:p>
    <w:p w:rsidR="009209F1" w:rsidRDefault="009209F1" w:rsidP="009209F1">
      <w:pPr>
        <w:pStyle w:val="SingleTxtG"/>
        <w:rPr>
          <w:lang w:val="fr-FR"/>
        </w:rPr>
      </w:pPr>
      <w:r>
        <w:rPr>
          <w:lang w:val="fr-FR"/>
        </w:rPr>
        <w:t>DS 342 b)</w:t>
      </w:r>
      <w:r>
        <w:rPr>
          <w:lang w:val="fr-FR"/>
        </w:rPr>
        <w:tab/>
        <w:t>Remplacer «de l’emballage intérieur en verre» par «du récipient intérieur en verre».</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r>
        <w:rPr>
          <w:lang w:val="fr-FR"/>
        </w:rPr>
        <w:t>DS 373 (a)</w:t>
      </w:r>
      <w:r>
        <w:rPr>
          <w:lang w:val="fr-FR"/>
        </w:rPr>
        <w:tab/>
        <w:t>À l’alinéa a) iii), dans le nota, remplacer «ISO 9001:2008» par «ISO 9001».</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SingleTxtG"/>
        <w:rPr>
          <w:lang w:val="fr-FR"/>
        </w:rPr>
      </w:pPr>
      <w:r>
        <w:rPr>
          <w:lang w:val="fr-FR"/>
        </w:rPr>
        <w:t>DS 528</w:t>
      </w:r>
      <w:r>
        <w:rPr>
          <w:lang w:val="fr-FR"/>
        </w:rPr>
        <w:tab/>
        <w:t>L’amendement ne s’applique pas au texte français.</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r>
        <w:rPr>
          <w:lang w:val="fr-FR"/>
        </w:rPr>
        <w:t>DS 531</w:t>
      </w:r>
      <w:r>
        <w:rPr>
          <w:lang w:val="fr-FR"/>
        </w:rPr>
        <w:tab/>
        <w:t xml:space="preserve">Après «classe 4.1», insérer </w:t>
      </w:r>
      <w:proofErr w:type="gramStart"/>
      <w:r>
        <w:rPr>
          <w:lang w:val="fr-FR"/>
        </w:rPr>
        <w:t>«(</w:t>
      </w:r>
      <w:proofErr w:type="gramEnd"/>
      <w:r>
        <w:rPr>
          <w:lang w:val="fr-FR"/>
        </w:rPr>
        <w:t>Nos ONU 2555, 2556 ou 2557)».</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r>
        <w:rPr>
          <w:lang w:val="fr-FR"/>
        </w:rPr>
        <w:t>DS 592</w:t>
      </w:r>
      <w:r>
        <w:rPr>
          <w:lang w:val="fr-FR"/>
        </w:rPr>
        <w:tab/>
        <w:t>Remplacer «Les emballages vides» par «Les emballages vides non nettoyés».</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tabs>
          <w:tab w:val="left" w:pos="1418"/>
          <w:tab w:val="left" w:pos="1843"/>
        </w:tabs>
        <w:spacing w:before="120" w:after="120"/>
        <w:ind w:left="1134" w:right="1134"/>
        <w:jc w:val="both"/>
        <w:rPr>
          <w:lang w:val="fr-FR"/>
        </w:rPr>
      </w:pPr>
      <w:r>
        <w:rPr>
          <w:lang w:val="fr-FR"/>
        </w:rPr>
        <w:t>(ADR:)</w:t>
      </w:r>
    </w:p>
    <w:p w:rsidR="009209F1" w:rsidRDefault="009209F1" w:rsidP="009209F1">
      <w:pPr>
        <w:pStyle w:val="SingleTxtG"/>
        <w:rPr>
          <w:lang w:val="fr-FR"/>
        </w:rPr>
      </w:pPr>
      <w:r>
        <w:rPr>
          <w:lang w:val="fr-FR"/>
        </w:rPr>
        <w:t>DS 636 b)</w:t>
      </w:r>
      <w:r>
        <w:rPr>
          <w:lang w:val="fr-FR"/>
        </w:rPr>
        <w:tab/>
        <w:t>Modifier le texte avant l’alinéa i) pour lire comme suit:</w:t>
      </w:r>
    </w:p>
    <w:p w:rsidR="009209F1" w:rsidRDefault="009209F1" w:rsidP="009209F1">
      <w:pPr>
        <w:pStyle w:val="SingleTxtG"/>
        <w:rPr>
          <w:lang w:val="fr-FR"/>
        </w:rPr>
      </w:pPr>
      <w:r>
        <w:rPr>
          <w:lang w:val="fr-FR"/>
        </w:rPr>
        <w:t>«</w:t>
      </w:r>
      <w:proofErr w:type="gramStart"/>
      <w:r>
        <w:rPr>
          <w:lang w:val="fr-FR"/>
        </w:rPr>
        <w:t>b</w:t>
      </w:r>
      <w:proofErr w:type="gramEnd"/>
      <w:r>
        <w:rPr>
          <w:lang w:val="fr-FR"/>
        </w:rPr>
        <w:t>)</w:t>
      </w:r>
      <w:r>
        <w:rPr>
          <w:lang w:val="fr-FR"/>
        </w:rPr>
        <w:tab/>
        <w:t>Lorsqu’elles sont transportées jusqu’aux lieux de traitement intermédiaire:</w:t>
      </w:r>
    </w:p>
    <w:p w:rsidR="009209F1" w:rsidRDefault="009209F1" w:rsidP="009209F1">
      <w:pPr>
        <w:pStyle w:val="SingleTxtG"/>
        <w:rPr>
          <w:lang w:val="fr-FR"/>
        </w:rPr>
      </w:pPr>
      <w:r>
        <w:rPr>
          <w:lang w:val="fr-FR"/>
        </w:rPr>
        <w:t>-</w:t>
      </w:r>
      <w:r>
        <w:rPr>
          <w:lang w:val="fr-FR"/>
        </w:rPr>
        <w:tab/>
        <w:t>les piles et batteries au lithium, dont la masse brute ne dépasse pas 500 g par unité ou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collectées et présentées au transport en vue de leur tri, élimination ou recyclage; ainsi que</w:t>
      </w:r>
    </w:p>
    <w:p w:rsidR="009209F1" w:rsidRDefault="009209F1" w:rsidP="009209F1">
      <w:pPr>
        <w:pStyle w:val="SingleTxtG"/>
        <w:rPr>
          <w:lang w:val="fr-FR"/>
        </w:rPr>
      </w:pPr>
      <w:r>
        <w:rPr>
          <w:lang w:val="fr-FR"/>
        </w:rPr>
        <w:t>-</w:t>
      </w:r>
      <w:r>
        <w:rPr>
          <w:lang w:val="fr-FR"/>
        </w:rPr>
        <w:tab/>
        <w:t>les piles et batteries au lithium contenues dans des équipements provenant des ménages collectés et présentés au transport en vue de leur dépollution, démantèlement, élimination ou recyclage;</w:t>
      </w:r>
    </w:p>
    <w:p w:rsidR="009209F1" w:rsidRDefault="009209F1" w:rsidP="009209F1">
      <w:pPr>
        <w:pStyle w:val="SingleTxtG"/>
        <w:ind w:left="1701"/>
        <w:rPr>
          <w:i/>
          <w:lang w:val="fr-FR"/>
        </w:rPr>
      </w:pPr>
      <w:r>
        <w:rPr>
          <w:b/>
          <w:i/>
          <w:lang w:val="fr-FR"/>
        </w:rPr>
        <w:t>NOTA:</w:t>
      </w:r>
      <w:r>
        <w:rPr>
          <w:i/>
          <w:lang w:val="fr-FR"/>
        </w:rPr>
        <w:t xml:space="preserve"> Par «équipements provenant des ménages» on entend les équipements provenant des ménages et les équipements d’origine commerciale, industrielle, </w:t>
      </w:r>
      <w:r>
        <w:rPr>
          <w:i/>
          <w:lang w:val="fr-FR"/>
        </w:rPr>
        <w:lastRenderedPageBreak/>
        <w:t>institutionnelle et autre qui, en raison de leur nature et de leur quantité, sont similaires à ceux des ménages. Les équipements susceptibles d’être utilisés à la fois par les ménages et les utilisateurs autres que les ménages doivent en tout état de cause être considérés comme étant des équipements provenant des ménages.</w:t>
      </w:r>
    </w:p>
    <w:p w:rsidR="009209F1" w:rsidRDefault="009209F1" w:rsidP="009209F1">
      <w:pPr>
        <w:pStyle w:val="SingleTxtG"/>
        <w:rPr>
          <w:lang w:val="fr-FR"/>
        </w:rPr>
      </w:pPr>
      <w:proofErr w:type="gramStart"/>
      <w:r>
        <w:rPr>
          <w:lang w:val="fr-FR"/>
        </w:rPr>
        <w:t>ne</w:t>
      </w:r>
      <w:proofErr w:type="gramEnd"/>
      <w:r>
        <w:rPr>
          <w:lang w:val="fr-FR"/>
        </w:rPr>
        <w:t xml:space="preserve"> sont pas soumises, aux autres dispositions de l’ADR, y compris la disposition spéciale 376 et le 2.2.9.1.7, si elles satisfont aux conditions suivantes:».</w:t>
      </w:r>
    </w:p>
    <w:p w:rsidR="009209F1" w:rsidRDefault="009209F1" w:rsidP="009209F1">
      <w:pPr>
        <w:tabs>
          <w:tab w:val="left" w:pos="1418"/>
          <w:tab w:val="left" w:pos="1843"/>
        </w:tabs>
        <w:spacing w:before="120" w:after="120"/>
        <w:ind w:left="1134" w:right="1134"/>
        <w:jc w:val="both"/>
        <w:rPr>
          <w:lang w:val="fr-FR"/>
        </w:rPr>
      </w:pPr>
      <w:r>
        <w:rPr>
          <w:lang w:val="fr-FR"/>
        </w:rPr>
        <w:t>(ADR:)</w:t>
      </w:r>
    </w:p>
    <w:p w:rsidR="009209F1" w:rsidRDefault="009209F1" w:rsidP="009209F1">
      <w:pPr>
        <w:pStyle w:val="SingleTxtG"/>
        <w:rPr>
          <w:lang w:val="fr-FR"/>
        </w:rPr>
      </w:pPr>
      <w:r>
        <w:rPr>
          <w:lang w:val="fr-FR"/>
        </w:rPr>
        <w:t>DS 636 b)</w:t>
      </w:r>
      <w:r>
        <w:rPr>
          <w:lang w:val="fr-FR"/>
        </w:rPr>
        <w:tab/>
        <w:t>Modifier l’alinéa iii) pour lire comme suit:</w:t>
      </w:r>
    </w:p>
    <w:p w:rsidR="009209F1" w:rsidRDefault="009209F1" w:rsidP="009209F1">
      <w:pPr>
        <w:pStyle w:val="SingleTxtG"/>
        <w:rPr>
          <w:lang w:val="fr-FR"/>
        </w:rPr>
      </w:pPr>
      <w:r>
        <w:rPr>
          <w:lang w:val="fr-FR"/>
        </w:rPr>
        <w:t>«iii)</w:t>
      </w:r>
      <w:r>
        <w:rPr>
          <w:lang w:val="fr-FR"/>
        </w:rPr>
        <w:tab/>
        <w:t>Les colis doivent porter la marque "PILES AU LITHIUM POUR ÉLIMINATION" ou "PILES AU LITHIUM POUR RECYCLAGE" comme approprié.</w:t>
      </w:r>
    </w:p>
    <w:p w:rsidR="009209F1" w:rsidRDefault="009209F1" w:rsidP="009209F1">
      <w:pPr>
        <w:pStyle w:val="SingleTxtG"/>
        <w:ind w:firstLine="567"/>
        <w:rPr>
          <w:rFonts w:eastAsia="MS Mincho"/>
          <w:lang w:val="fr-FR" w:eastAsia="nl-NL"/>
        </w:rPr>
      </w:pPr>
      <w:r>
        <w:rPr>
          <w:lang w:val="fr-FR"/>
        </w:rPr>
        <w:t>Alternativement, si des équipements contenant des piles ou batteries au lithium sont transportés non emballés ou sur des palettes conformément à la prescription d’emballage P909 3) du 4.1.4.1, cette marque peut être fixée sur la surface extérieure des wagons/véhicules ou conteneurs.».</w:t>
      </w:r>
    </w:p>
    <w:p w:rsidR="009209F1" w:rsidRDefault="009209F1" w:rsidP="009209F1">
      <w:pPr>
        <w:pStyle w:val="SingleTxtG"/>
        <w:ind w:left="0"/>
        <w:rPr>
          <w:i/>
          <w:lang w:val="fr-FR"/>
        </w:rPr>
      </w:pPr>
      <w:r>
        <w:rPr>
          <w:i/>
          <w:lang w:val="fr-FR"/>
        </w:rPr>
        <w:t>(Document de référence: ECE/TRANS/WP.15/AC.1/140/Add.1, partie B et document informel INF.26)</w:t>
      </w:r>
    </w:p>
    <w:p w:rsidR="009209F1" w:rsidRDefault="009209F1" w:rsidP="009209F1">
      <w:pPr>
        <w:tabs>
          <w:tab w:val="left" w:pos="1418"/>
          <w:tab w:val="left" w:pos="1843"/>
        </w:tabs>
        <w:spacing w:before="120" w:after="120"/>
        <w:ind w:left="1134" w:right="1134"/>
        <w:jc w:val="both"/>
        <w:rPr>
          <w:lang w:val="fr-FR"/>
        </w:rPr>
      </w:pPr>
      <w:r>
        <w:rPr>
          <w:rFonts w:ascii="TimesNewRomanPSMT" w:hAnsi="TimesNewRomanPSMT" w:cs="TimesNewRomanPSMT"/>
          <w:lang w:val="fr-FR" w:eastAsia="fr-FR"/>
        </w:rPr>
        <w:t>Ajouter la nouvelle disposition spéciale suivante:</w:t>
      </w:r>
    </w:p>
    <w:p w:rsidR="009209F1" w:rsidRDefault="009209F1" w:rsidP="009209F1">
      <w:pPr>
        <w:pStyle w:val="SingleTxtG"/>
        <w:rPr>
          <w:lang w:val="fr-FR"/>
        </w:rPr>
      </w:pPr>
      <w:r>
        <w:rPr>
          <w:lang w:val="fr-FR"/>
        </w:rPr>
        <w:t>«669</w:t>
      </w:r>
      <w:r>
        <w:rPr>
          <w:lang w:val="fr-FR"/>
        </w:rPr>
        <w:tab/>
        <w:t>Toute remorque dotée d’un équipement fonctionnant à l’aide d’un combustible liquide ou gazeux ou d’un dispositif de stockage et de production d’énergie électrique, qui est destiné à fonctionner pendant un transport effectué au moyen de cette remorque en tant que partie d’une unité de transport, doit être affectée aux Nos ONU 3166 ou 3171 et doit être soumise aux mêmes conditions que ces Nos ONU lorsqu’elle est transportée en tant que chargement sur un véhicule/wagon/bateau, sous réserve que la capacité totale des réservoirs pour combustible liquide ne dépasse pas 500 litres.».</w:t>
      </w:r>
    </w:p>
    <w:p w:rsidR="009209F1" w:rsidRDefault="009209F1" w:rsidP="009209F1">
      <w:pPr>
        <w:pStyle w:val="SingleTxtG"/>
        <w:ind w:left="0"/>
        <w:rPr>
          <w:i/>
          <w:lang w:val="fr-FR"/>
        </w:rPr>
      </w:pPr>
      <w:r>
        <w:rPr>
          <w:i/>
          <w:lang w:val="fr-FR"/>
        </w:rPr>
        <w:t>(Documents de référence: ECE/TRANS/WP.15/AC.1/2016/16, document informel INF.52 et document informel INF.60 tel que modifié)</w:t>
      </w:r>
    </w:p>
    <w:p w:rsidR="009209F1" w:rsidRDefault="009209F1" w:rsidP="009209F1">
      <w:pPr>
        <w:pStyle w:val="H1G"/>
        <w:rPr>
          <w:sz w:val="20"/>
          <w:lang w:val="fr-FR"/>
        </w:rPr>
      </w:pPr>
      <w:r>
        <w:rPr>
          <w:sz w:val="20"/>
          <w:lang w:val="fr-FR"/>
        </w:rPr>
        <w:tab/>
      </w:r>
      <w:r>
        <w:rPr>
          <w:sz w:val="20"/>
          <w:lang w:val="fr-FR"/>
        </w:rPr>
        <w:tab/>
        <w:t>Chapitre 4.1</w:t>
      </w:r>
    </w:p>
    <w:p w:rsidR="009209F1" w:rsidRDefault="009209F1" w:rsidP="009209F1">
      <w:pPr>
        <w:pStyle w:val="SingleTxtG"/>
        <w:rPr>
          <w:lang w:val="fr-FR"/>
        </w:rPr>
      </w:pPr>
      <w:r>
        <w:rPr>
          <w:lang w:val="fr-FR"/>
        </w:rPr>
        <w:t>4.1.3.4</w:t>
      </w:r>
      <w:r>
        <w:rPr>
          <w:lang w:val="fr-FR"/>
        </w:rPr>
        <w:tab/>
      </w:r>
      <w:r>
        <w:rPr>
          <w:lang w:val="fr-FR"/>
        </w:rPr>
        <w:tab/>
        <w:t>Dans la ligne pour les «Caisses», après «4B,», ajouter : «4N,».</w:t>
      </w:r>
    </w:p>
    <w:p w:rsidR="009209F1" w:rsidRDefault="009209F1" w:rsidP="009209F1">
      <w:pPr>
        <w:pStyle w:val="SingleTxtG"/>
        <w:ind w:left="0"/>
        <w:rPr>
          <w:i/>
          <w:lang w:val="fr-FR"/>
        </w:rPr>
      </w:pPr>
      <w:r>
        <w:rPr>
          <w:i/>
          <w:lang w:val="fr-FR"/>
        </w:rPr>
        <w:t>(Document de référence: document informel INF.20)</w:t>
      </w:r>
    </w:p>
    <w:p w:rsidR="009209F1" w:rsidRDefault="009209F1" w:rsidP="009209F1">
      <w:pPr>
        <w:pStyle w:val="SingleTxtG"/>
        <w:tabs>
          <w:tab w:val="left" w:pos="1854"/>
        </w:tabs>
        <w:rPr>
          <w:lang w:val="fr-FR"/>
        </w:rPr>
      </w:pPr>
      <w:r>
        <w:rPr>
          <w:lang w:val="fr-FR"/>
        </w:rPr>
        <w:t xml:space="preserve">(ADR:) 4.1.4.1 </w:t>
      </w:r>
      <w:r>
        <w:rPr>
          <w:rFonts w:ascii="TimesNewRomanPSMT" w:hAnsi="TimesNewRomanPSMT" w:cs="TimesNewRomanPSMT"/>
          <w:lang w:val="fr-FR" w:eastAsia="fr-FR"/>
        </w:rPr>
        <w:t xml:space="preserve">Pour l’instruction d’emballage </w:t>
      </w:r>
      <w:r>
        <w:rPr>
          <w:lang w:val="fr-FR"/>
        </w:rPr>
        <w:t xml:space="preserve">P101 </w:t>
      </w:r>
      <w:r>
        <w:rPr>
          <w:lang w:val="fr-FR"/>
        </w:rPr>
        <w:tab/>
        <w:t xml:space="preserve">Remplacer «utilisé pour les véhicules automobiles en circulation internationale» par «utilisé sur les véhicules en circulation routière </w:t>
      </w:r>
      <w:proofErr w:type="spellStart"/>
      <w:r>
        <w:rPr>
          <w:lang w:val="fr-FR"/>
        </w:rPr>
        <w:t>internationale</w:t>
      </w:r>
      <w:r>
        <w:rPr>
          <w:b/>
          <w:vertAlign w:val="superscript"/>
          <w:lang w:val="fr-FR"/>
        </w:rPr>
        <w:t>a</w:t>
      </w:r>
      <w:proofErr w:type="spellEnd"/>
      <w:r>
        <w:rPr>
          <w:lang w:val="fr-FR"/>
        </w:rPr>
        <w:t>».</w:t>
      </w:r>
    </w:p>
    <w:p w:rsidR="009209F1" w:rsidRDefault="009209F1" w:rsidP="009209F1">
      <w:pPr>
        <w:pStyle w:val="SingleTxtG"/>
        <w:tabs>
          <w:tab w:val="left" w:pos="1854"/>
        </w:tabs>
        <w:rPr>
          <w:lang w:val="fr-FR"/>
        </w:rPr>
      </w:pPr>
      <w:r>
        <w:rPr>
          <w:lang w:val="fr-FR"/>
        </w:rPr>
        <w:t xml:space="preserve">La note de bas de page </w:t>
      </w:r>
      <w:r>
        <w:rPr>
          <w:b/>
          <w:vertAlign w:val="superscript"/>
          <w:lang w:val="fr-FR"/>
        </w:rPr>
        <w:t>a</w:t>
      </w:r>
      <w:r>
        <w:rPr>
          <w:lang w:val="fr-FR"/>
        </w:rPr>
        <w:t xml:space="preserve"> se lit comme suit:</w:t>
      </w:r>
    </w:p>
    <w:p w:rsidR="009209F1" w:rsidRDefault="009209F1" w:rsidP="009209F1">
      <w:pPr>
        <w:pStyle w:val="SingleTxtG"/>
        <w:tabs>
          <w:tab w:val="left" w:pos="1854"/>
        </w:tabs>
        <w:rPr>
          <w:lang w:val="fr-FR"/>
        </w:rPr>
      </w:pPr>
      <w:r>
        <w:rPr>
          <w:lang w:val="fr-FR"/>
        </w:rPr>
        <w:t>«</w:t>
      </w:r>
      <w:proofErr w:type="gramStart"/>
      <w:r>
        <w:rPr>
          <w:b/>
          <w:vertAlign w:val="superscript"/>
          <w:lang w:val="fr-FR"/>
        </w:rPr>
        <w:t>a</w:t>
      </w:r>
      <w:proofErr w:type="gramEnd"/>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rPr>
          <w:lang w:val="fr-FR"/>
        </w:rPr>
      </w:pPr>
      <w:r>
        <w:rPr>
          <w:lang w:val="fr-FR"/>
        </w:rPr>
        <w:t>P200</w:t>
      </w:r>
      <w:r>
        <w:rPr>
          <w:lang w:val="fr-FR"/>
        </w:rPr>
        <w:tab/>
        <w:t xml:space="preserve">Au point 1.1 des paragraphes (12) et (13), ajouter à la fin: </w:t>
      </w:r>
      <w:proofErr w:type="gramStart"/>
      <w:r>
        <w:rPr>
          <w:lang w:val="fr-FR"/>
        </w:rPr>
        <w:t>«(</w:t>
      </w:r>
      <w:proofErr w:type="gramEnd"/>
      <w:r>
        <w:rPr>
          <w:lang w:val="fr-FR"/>
        </w:rPr>
        <w:t xml:space="preserve">pour les définitions d’organismes </w:t>
      </w:r>
      <w:proofErr w:type="spellStart"/>
      <w:r>
        <w:rPr>
          <w:lang w:val="fr-FR"/>
        </w:rPr>
        <w:t>Xb</w:t>
      </w:r>
      <w:proofErr w:type="spellEnd"/>
      <w:r>
        <w:rPr>
          <w:lang w:val="fr-FR"/>
        </w:rPr>
        <w:t xml:space="preserve"> et IS voir 6.2.3.6.1)».</w:t>
      </w:r>
    </w:p>
    <w:p w:rsidR="009209F1" w:rsidRDefault="009209F1" w:rsidP="009209F1">
      <w:pPr>
        <w:pStyle w:val="SingleTxtG"/>
        <w:ind w:left="0"/>
        <w:rPr>
          <w:i/>
          <w:lang w:val="fr-FR"/>
        </w:rPr>
      </w:pPr>
      <w:r>
        <w:rPr>
          <w:i/>
          <w:lang w:val="fr-FR"/>
        </w:rPr>
        <w:t>(Document de référence: document informel INF.23)</w:t>
      </w:r>
    </w:p>
    <w:p w:rsidR="009209F1" w:rsidRDefault="009209F1" w:rsidP="009209F1">
      <w:pPr>
        <w:tabs>
          <w:tab w:val="left" w:pos="1418"/>
          <w:tab w:val="left" w:pos="1843"/>
        </w:tabs>
        <w:spacing w:before="120" w:after="120"/>
        <w:ind w:left="1134" w:right="1134"/>
        <w:jc w:val="both"/>
        <w:rPr>
          <w:lang w:val="fr-FR"/>
        </w:rPr>
      </w:pPr>
      <w:r>
        <w:rPr>
          <w:lang w:val="fr-FR"/>
        </w:rPr>
        <w:t>(RID:)</w:t>
      </w:r>
    </w:p>
    <w:p w:rsidR="009209F1" w:rsidRDefault="009209F1" w:rsidP="009209F1">
      <w:pPr>
        <w:pStyle w:val="SingleTxtG"/>
        <w:rPr>
          <w:lang w:val="fr-FR"/>
        </w:rPr>
      </w:pPr>
      <w:r>
        <w:rPr>
          <w:lang w:val="fr-FR"/>
        </w:rPr>
        <w:lastRenderedPageBreak/>
        <w:t>4.1.4.1, P200</w:t>
      </w:r>
      <w:r>
        <w:rPr>
          <w:lang w:val="fr-FR"/>
        </w:rPr>
        <w:tab/>
        <w:t>Au tableau 2, dans la colonne «Dispositions spéciales d’emballage», pour le No ONU 1058, ajouter: «z».</w:t>
      </w:r>
    </w:p>
    <w:p w:rsidR="009209F1" w:rsidRDefault="009209F1" w:rsidP="009209F1">
      <w:pPr>
        <w:pStyle w:val="SingleTxtG"/>
        <w:ind w:left="0"/>
        <w:rPr>
          <w:i/>
          <w:lang w:val="fr-FR"/>
        </w:rPr>
      </w:pPr>
      <w:r>
        <w:rPr>
          <w:i/>
          <w:lang w:val="fr-FR"/>
        </w:rPr>
        <w:t>(Document de référence: document informel INF.24)</w:t>
      </w:r>
    </w:p>
    <w:p w:rsidR="009209F1" w:rsidRDefault="009209F1" w:rsidP="009209F1">
      <w:pPr>
        <w:pStyle w:val="SingleTxtG"/>
        <w:rPr>
          <w:lang w:val="fr-FR"/>
        </w:rPr>
      </w:pPr>
      <w:r>
        <w:rPr>
          <w:lang w:val="fr-FR"/>
        </w:rPr>
        <w:t>4.1.4.1, P400</w:t>
      </w:r>
      <w:r>
        <w:rPr>
          <w:lang w:val="fr-FR"/>
        </w:rPr>
        <w:tab/>
        <w:t>Dans la disposition spéciale d’emballage PP86, remplacer «de la phase gazeuse» par «du ciel gazeux».</w:t>
      </w:r>
    </w:p>
    <w:p w:rsidR="009209F1" w:rsidRDefault="009209F1" w:rsidP="009209F1">
      <w:pPr>
        <w:pStyle w:val="SingleTxtG"/>
        <w:ind w:left="0"/>
        <w:rPr>
          <w:i/>
          <w:lang w:val="fr-FR"/>
        </w:rPr>
      </w:pPr>
      <w:r>
        <w:rPr>
          <w:i/>
          <w:lang w:val="fr-FR"/>
        </w:rPr>
        <w:t>(Document de référence : document informel INF.61)</w:t>
      </w:r>
    </w:p>
    <w:p w:rsidR="009209F1" w:rsidRDefault="009209F1" w:rsidP="009209F1">
      <w:pPr>
        <w:pStyle w:val="SingleTxtG"/>
        <w:rPr>
          <w:lang w:val="fr-FR"/>
        </w:rPr>
      </w:pPr>
      <w:r>
        <w:rPr>
          <w:lang w:val="fr-FR"/>
        </w:rPr>
        <w:t>4.1.4.1, P620</w:t>
      </w:r>
      <w:r>
        <w:rPr>
          <w:lang w:val="fr-FR"/>
        </w:rPr>
        <w:tab/>
      </w:r>
      <w:r>
        <w:rPr>
          <w:lang w:val="fr-FR"/>
        </w:rPr>
        <w:tab/>
        <w:t xml:space="preserve">Dans la phrase introductive de la disposition supplémentaire 2, après «dispositions», insérer: «supplémentaires». L’amendement </w:t>
      </w:r>
      <w:proofErr w:type="gramStart"/>
      <w:r>
        <w:rPr>
          <w:lang w:val="fr-FR"/>
        </w:rPr>
        <w:t>relative</w:t>
      </w:r>
      <w:proofErr w:type="gramEnd"/>
      <w:r>
        <w:rPr>
          <w:lang w:val="fr-FR"/>
        </w:rPr>
        <w:t xml:space="preserve"> à l’alinéa c) ne s’applique pas au texte français. </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rPr>
      </w:pPr>
      <w:r>
        <w:rPr>
          <w:lang w:val="fr-FR"/>
        </w:rPr>
        <w:t>4.1.4.1, P906 2)</w:t>
      </w:r>
      <w:r>
        <w:rPr>
          <w:lang w:val="fr-FR"/>
        </w:rPr>
        <w:tab/>
      </w:r>
      <w:r>
        <w:rPr>
          <w:snapToGrid w:val="0"/>
          <w:lang w:val="fr-FR"/>
        </w:rPr>
        <w:t>L’amendement ne s’applique pas au texte français.</w:t>
      </w:r>
    </w:p>
    <w:p w:rsidR="009209F1" w:rsidRDefault="009209F1" w:rsidP="009209F1">
      <w:pPr>
        <w:pStyle w:val="SingleTxtG"/>
        <w:ind w:left="0"/>
        <w:rPr>
          <w:i/>
          <w:lang w:val="fr-FR"/>
        </w:rPr>
      </w:pPr>
      <w:r>
        <w:rPr>
          <w:i/>
          <w:lang w:val="fr-FR"/>
        </w:rPr>
        <w:t>(Document de référence: document informel INF.24)</w:t>
      </w:r>
    </w:p>
    <w:p w:rsidR="009209F1" w:rsidRDefault="009209F1" w:rsidP="009209F1">
      <w:pPr>
        <w:pStyle w:val="SingleTxtG"/>
        <w:rPr>
          <w:lang w:val="fr-FR"/>
        </w:rPr>
      </w:pPr>
      <w:r>
        <w:rPr>
          <w:lang w:val="fr-FR"/>
        </w:rPr>
        <w:t>4.1.4.2, IBC02</w:t>
      </w:r>
      <w:r>
        <w:rPr>
          <w:lang w:val="fr-FR"/>
        </w:rPr>
        <w:tab/>
        <w:t>Dans la disposition spéciale d’emballage B5, remplacer «l’espace vapeur» par «le ciel gazeux».</w:t>
      </w:r>
    </w:p>
    <w:p w:rsidR="009209F1" w:rsidRDefault="009209F1" w:rsidP="009209F1">
      <w:pPr>
        <w:pStyle w:val="SingleTxtG"/>
        <w:ind w:left="0"/>
        <w:rPr>
          <w:i/>
          <w:lang w:val="fr-FR"/>
        </w:rPr>
      </w:pPr>
      <w:r>
        <w:rPr>
          <w:i/>
          <w:lang w:val="fr-FR"/>
        </w:rPr>
        <w:t>(Document de référence : document informel INF.61)</w:t>
      </w:r>
    </w:p>
    <w:p w:rsidR="009209F1" w:rsidRDefault="009209F1" w:rsidP="009209F1">
      <w:pPr>
        <w:pStyle w:val="SingleTxtG"/>
        <w:rPr>
          <w:lang w:val="fr-FR"/>
        </w:rPr>
      </w:pPr>
      <w:r>
        <w:rPr>
          <w:lang w:val="fr-FR"/>
        </w:rPr>
        <w:t>4.1.4.2, IBC520</w:t>
      </w:r>
      <w:r>
        <w:rPr>
          <w:lang w:val="fr-FR"/>
        </w:rPr>
        <w:tab/>
        <w:t>Dans la disposition supplémentaire 1, remplacer «l’espace vapeur» par «le ciel gazeux».</w:t>
      </w:r>
    </w:p>
    <w:p w:rsidR="009209F1" w:rsidRDefault="009209F1" w:rsidP="009209F1">
      <w:pPr>
        <w:pStyle w:val="SingleTxtG"/>
        <w:ind w:left="0"/>
        <w:rPr>
          <w:i/>
          <w:lang w:val="fr-FR"/>
        </w:rPr>
      </w:pPr>
      <w:r>
        <w:rPr>
          <w:i/>
          <w:lang w:val="fr-FR"/>
        </w:rPr>
        <w:t>(Document de référence : document informel INF.61)</w:t>
      </w:r>
    </w:p>
    <w:p w:rsidR="009209F1" w:rsidRDefault="009209F1" w:rsidP="009209F1">
      <w:pPr>
        <w:pStyle w:val="SingleTxtG"/>
        <w:rPr>
          <w:lang w:val="fr-FR"/>
        </w:rPr>
      </w:pPr>
      <w:r>
        <w:rPr>
          <w:lang w:val="fr-FR"/>
        </w:rPr>
        <w:t>4.1.5.17</w:t>
      </w:r>
      <w:r>
        <w:rPr>
          <w:lang w:val="fr-FR"/>
        </w:rPr>
        <w:tab/>
        <w:t>Modifier le texte entre parenthèses pour lire comme suit: «1A1, 1A2, 1B1, 1B2, 1N1, 1N2, 4A, 4B, 4N et récipients en métal».</w:t>
      </w:r>
    </w:p>
    <w:p w:rsidR="009209F1" w:rsidRDefault="009209F1" w:rsidP="009209F1">
      <w:pPr>
        <w:pStyle w:val="SingleTxtG"/>
        <w:ind w:left="0"/>
        <w:rPr>
          <w:i/>
          <w:lang w:val="fr-FR"/>
        </w:rPr>
      </w:pPr>
      <w:r>
        <w:rPr>
          <w:i/>
          <w:lang w:val="fr-FR"/>
        </w:rPr>
        <w:t>(Document de référence: document informel INF.20)</w:t>
      </w:r>
    </w:p>
    <w:p w:rsidR="009209F1" w:rsidRDefault="009209F1" w:rsidP="009209F1">
      <w:pPr>
        <w:pStyle w:val="SingleTxtG"/>
        <w:rPr>
          <w:lang w:val="fr-FR"/>
        </w:rPr>
      </w:pPr>
      <w:r>
        <w:rPr>
          <w:lang w:val="fr-FR"/>
        </w:rPr>
        <w:t>4.1.10.1</w:t>
      </w:r>
      <w:r>
        <w:rPr>
          <w:lang w:val="fr-FR"/>
        </w:rPr>
        <w:tab/>
        <w:t>L’amendement à la version allemande relative à l’alinéa c) ne s’applique pas aux versions française, anglaise ni russe.</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rPr>
          <w:lang w:val="fr-FR" w:eastAsia="fr-FR"/>
        </w:rPr>
      </w:pPr>
      <w:r>
        <w:rPr>
          <w:rFonts w:ascii="TimesNewRomanPSMT" w:hAnsi="TimesNewRomanPSMT" w:cs="TimesNewRomanPSMT"/>
          <w:lang w:val="fr-FR" w:eastAsia="fr-FR"/>
        </w:rPr>
        <w:t>4.1.10.4</w:t>
      </w:r>
      <w:r>
        <w:rPr>
          <w:rFonts w:ascii="TimesNewRomanPSMT" w:hAnsi="TimesNewRomanPSMT" w:cs="TimesNewRomanPSMT"/>
          <w:lang w:val="fr-FR" w:eastAsia="fr-FR"/>
        </w:rPr>
        <w:tab/>
        <w:t>Supprimer MP16 et ajouter:</w:t>
      </w:r>
      <w:r>
        <w:rPr>
          <w:rFonts w:ascii="TimesNewRomanPSMT" w:hAnsi="TimesNewRomanPSMT" w:cs="TimesNewRomanPSMT"/>
          <w:lang w:val="fr-FR" w:eastAsia="fr-FR"/>
        </w:rPr>
        <w:tab/>
      </w:r>
      <w:r>
        <w:rPr>
          <w:rFonts w:ascii="TimesNewRomanPSMT" w:hAnsi="TimesNewRomanPSMT" w:cs="TimesNewRomanPSMT"/>
          <w:lang w:val="fr-FR" w:eastAsia="fr-FR"/>
        </w:rPr>
        <w:br/>
        <w:t>“MP16</w:t>
      </w:r>
      <w:r>
        <w:rPr>
          <w:rFonts w:ascii="TimesNewRomanPSMT" w:hAnsi="TimesNewRomanPSMT" w:cs="TimesNewRomanPSMT"/>
          <w:lang w:val="fr-FR" w:eastAsia="fr-FR"/>
        </w:rPr>
        <w:tab/>
      </w:r>
      <w:r>
        <w:rPr>
          <w:rFonts w:ascii="TimesNewRomanPSMT" w:hAnsi="TimesNewRomanPSMT" w:cs="TimesNewRomanPSMT"/>
          <w:i/>
          <w:lang w:val="fr-FR" w:eastAsia="fr-FR"/>
        </w:rPr>
        <w:t>(Réservé)</w:t>
      </w:r>
      <w:r>
        <w:rPr>
          <w:rFonts w:ascii="TimesNewRomanPSMT" w:hAnsi="TimesNewRomanPSMT" w:cs="TimesNewRomanPSMT"/>
          <w:lang w:val="fr-FR" w:eastAsia="fr-FR"/>
        </w:rPr>
        <w:t>;”.</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H1G"/>
        <w:rPr>
          <w:sz w:val="20"/>
          <w:lang w:val="fr-FR"/>
        </w:rPr>
      </w:pPr>
      <w:r>
        <w:rPr>
          <w:sz w:val="20"/>
          <w:lang w:val="fr-FR"/>
        </w:rPr>
        <w:tab/>
      </w:r>
      <w:r>
        <w:rPr>
          <w:sz w:val="20"/>
          <w:lang w:val="fr-FR"/>
        </w:rPr>
        <w:tab/>
        <w:t>Chapitre 4.2</w:t>
      </w:r>
    </w:p>
    <w:p w:rsidR="009209F1" w:rsidRDefault="009209F1" w:rsidP="009209F1">
      <w:pPr>
        <w:pStyle w:val="SingleTxtG"/>
        <w:rPr>
          <w:lang w:val="fr-FR"/>
        </w:rPr>
      </w:pPr>
      <w:r>
        <w:rPr>
          <w:lang w:val="fr-FR"/>
        </w:rPr>
        <w:t>TP7</w:t>
      </w:r>
      <w:r>
        <w:rPr>
          <w:lang w:val="fr-FR"/>
        </w:rPr>
        <w:tab/>
        <w:t>Remplacer «de la phase vapeur» par «du ciel gazeux».</w:t>
      </w:r>
    </w:p>
    <w:p w:rsidR="009209F1" w:rsidRDefault="009209F1" w:rsidP="009209F1">
      <w:pPr>
        <w:pStyle w:val="SingleTxtG"/>
        <w:rPr>
          <w:lang w:val="fr-FR"/>
        </w:rPr>
      </w:pPr>
      <w:r>
        <w:rPr>
          <w:lang w:val="fr-FR"/>
        </w:rPr>
        <w:t>TP24</w:t>
      </w:r>
      <w:r>
        <w:rPr>
          <w:lang w:val="fr-FR"/>
        </w:rPr>
        <w:tab/>
        <w:t>Remplacer «dans la phase gazeuse» par «dans le ciel gazeux».</w:t>
      </w:r>
    </w:p>
    <w:p w:rsidR="009209F1" w:rsidRDefault="009209F1" w:rsidP="009209F1">
      <w:pPr>
        <w:pStyle w:val="SingleTxtG"/>
        <w:rPr>
          <w:lang w:val="fr-FR"/>
        </w:rPr>
      </w:pPr>
      <w:r>
        <w:rPr>
          <w:lang w:val="fr-FR"/>
        </w:rPr>
        <w:t>TP36</w:t>
      </w:r>
      <w:r>
        <w:rPr>
          <w:lang w:val="fr-FR"/>
        </w:rPr>
        <w:tab/>
        <w:t>Remplacer «l’espace vapeur» par «le ciel gazeux».</w:t>
      </w:r>
    </w:p>
    <w:p w:rsidR="009209F1" w:rsidRDefault="009209F1" w:rsidP="009209F1">
      <w:pPr>
        <w:pStyle w:val="SingleTxtG"/>
        <w:ind w:left="0"/>
        <w:rPr>
          <w:i/>
          <w:lang w:val="fr-FR"/>
        </w:rPr>
      </w:pPr>
      <w:r>
        <w:rPr>
          <w:i/>
          <w:lang w:val="fr-FR"/>
        </w:rPr>
        <w:t>(Document de référence: document informel INF.61)</w:t>
      </w:r>
    </w:p>
    <w:p w:rsidR="009209F1" w:rsidRDefault="009209F1" w:rsidP="009209F1">
      <w:pPr>
        <w:pStyle w:val="H1G"/>
        <w:rPr>
          <w:sz w:val="20"/>
          <w:lang w:val="fr-FR"/>
        </w:rPr>
      </w:pPr>
      <w:r>
        <w:rPr>
          <w:sz w:val="20"/>
          <w:lang w:val="fr-FR"/>
        </w:rPr>
        <w:tab/>
      </w:r>
      <w:r>
        <w:rPr>
          <w:sz w:val="20"/>
          <w:lang w:val="fr-FR"/>
        </w:rPr>
        <w:tab/>
        <w:t>Chapitre 4.3</w:t>
      </w:r>
    </w:p>
    <w:p w:rsidR="009209F1" w:rsidRDefault="009209F1" w:rsidP="009209F1">
      <w:pPr>
        <w:pStyle w:val="SingleTxtG"/>
        <w:rPr>
          <w:lang w:val="fr-FR"/>
        </w:rPr>
      </w:pPr>
      <w:r>
        <w:rPr>
          <w:lang w:val="fr-FR"/>
        </w:rPr>
        <w:t>(RID:) 4.3.2.1.7</w:t>
      </w:r>
      <w:r>
        <w:rPr>
          <w:lang w:val="fr-FR"/>
        </w:rPr>
        <w:tab/>
        <w:t>Dans les textes adoptés par la 5e session du groupe de travail permanent de la Commission d’experts du RID (document OTIF/RID/CE/GTP/2015-A, annexe I), au deuxième alinéa, supprimer la séparation entre les colonnes afin que le terme «sans délai» s’applique aux deux colonnes.</w:t>
      </w:r>
    </w:p>
    <w:p w:rsidR="009209F1" w:rsidRDefault="009209F1" w:rsidP="009209F1">
      <w:pPr>
        <w:pStyle w:val="SingleTxtG"/>
        <w:rPr>
          <w:lang w:val="fr-FR"/>
        </w:rPr>
      </w:pPr>
      <w:r>
        <w:rPr>
          <w:lang w:val="fr-FR"/>
        </w:rPr>
        <w:lastRenderedPageBreak/>
        <w:t>(ADR:) 4.3.2.1.7</w:t>
      </w:r>
      <w:r>
        <w:rPr>
          <w:lang w:val="fr-FR"/>
        </w:rPr>
        <w:tab/>
        <w:t xml:space="preserve">Dans le deuxième paragraphe, après «transféré», </w:t>
      </w:r>
      <w:proofErr w:type="gramStart"/>
      <w:r>
        <w:rPr>
          <w:lang w:val="fr-FR"/>
        </w:rPr>
        <w:t>ajouter</w:t>
      </w:r>
      <w:proofErr w:type="gramEnd"/>
      <w:r>
        <w:rPr>
          <w:lang w:val="fr-FR"/>
        </w:rPr>
        <w:t xml:space="preserve"> «sans délai».</w:t>
      </w:r>
    </w:p>
    <w:p w:rsidR="009209F1" w:rsidRDefault="009209F1" w:rsidP="009209F1">
      <w:pPr>
        <w:pStyle w:val="SingleTxtG"/>
        <w:ind w:left="0"/>
        <w:rPr>
          <w:i/>
          <w:lang w:val="fr-FR"/>
        </w:rPr>
      </w:pPr>
      <w:r>
        <w:rPr>
          <w:i/>
          <w:lang w:val="fr-FR"/>
        </w:rPr>
        <w:t xml:space="preserve">(Documents de référence: documents informels INF.5 et INF.61) </w:t>
      </w:r>
    </w:p>
    <w:p w:rsidR="009209F1" w:rsidRDefault="009209F1" w:rsidP="009209F1">
      <w:pPr>
        <w:pStyle w:val="SingleTxtG"/>
        <w:rPr>
          <w:bCs/>
          <w:lang w:val="fr-FR"/>
        </w:rPr>
      </w:pPr>
      <w:r>
        <w:rPr>
          <w:lang w:val="fr-FR"/>
        </w:rPr>
        <w:t>4.3.2.3</w:t>
      </w:r>
      <w:r>
        <w:rPr>
          <w:lang w:val="fr-FR"/>
        </w:rPr>
        <w:tab/>
      </w:r>
      <w:r>
        <w:rPr>
          <w:lang w:val="fr-FR"/>
        </w:rPr>
        <w:tab/>
      </w:r>
      <w:r>
        <w:rPr>
          <w:bCs/>
          <w:lang w:val="fr-FR"/>
        </w:rPr>
        <w:t>Les wagons-citernes, citernes amovibles, wagons-batteries / Les citernes fixes (véhicules-citernes), citernes démontables, véhicules-batteries, conteneurs-citernes, caisses mobiles citernes et CGEM ne peuvent être remplis ou présentés au transport après expiration de la période de validité du contrôle prescrit aux 6.8.2.4.2, 6.8.3.4.6 et 6.8.3.4.10.</w:t>
      </w:r>
    </w:p>
    <w:p w:rsidR="009209F1" w:rsidRDefault="009209F1" w:rsidP="009209F1">
      <w:pPr>
        <w:pStyle w:val="SingleTxtG"/>
        <w:rPr>
          <w:bCs/>
          <w:lang w:val="fr-FR"/>
        </w:rPr>
      </w:pPr>
      <w:r>
        <w:rPr>
          <w:bCs/>
          <w:lang w:val="fr-FR"/>
        </w:rPr>
        <w:t>Toutefois, les wagons-citernes, citernes amovibles, wagons-batteries / les citernes fixes (véhicules-citernes), citernes démontables, véhicules-batteries, conteneurs-citernes, caisses mobiles citernes et CGEM qui ont été remplis avant la date d’expiration du dernier contrôle périodique peuvent être transportés:</w:t>
      </w:r>
    </w:p>
    <w:p w:rsidR="009209F1" w:rsidRDefault="009209F1" w:rsidP="009209F1">
      <w:pPr>
        <w:pStyle w:val="SingleTxtG"/>
        <w:rPr>
          <w:bCs/>
          <w:lang w:val="fr-FR"/>
        </w:rPr>
      </w:pPr>
      <w:r>
        <w:rPr>
          <w:bCs/>
          <w:lang w:val="fr-FR"/>
        </w:rPr>
        <w:t>a)</w:t>
      </w:r>
      <w:r>
        <w:rPr>
          <w:bCs/>
          <w:lang w:val="fr-FR"/>
        </w:rPr>
        <w:tab/>
        <w:t>pendant une période ne dépassant pas un mois suivant l’expiration de ce délai ;</w:t>
      </w:r>
    </w:p>
    <w:p w:rsidR="009209F1" w:rsidRDefault="009209F1" w:rsidP="009209F1">
      <w:pPr>
        <w:pStyle w:val="SingleTxtG"/>
        <w:rPr>
          <w:bCs/>
          <w:lang w:val="fr-FR"/>
        </w:rPr>
      </w:pPr>
      <w:r>
        <w:rPr>
          <w:bCs/>
          <w:lang w:val="fr-FR"/>
        </w:rPr>
        <w:t>b)</w:t>
      </w:r>
      <w:r>
        <w:rPr>
          <w:bCs/>
          <w:lang w:val="fr-FR"/>
        </w:rPr>
        <w:tab/>
        <w:t>sauf si l'autorité compétente en dispose autrement, pendant une période ne dépassant pas trois mois au-delà de cette date, lorsqu'elles contiennent des marchandises dangereuses retournées aux fins d'élimination ou de recyclage. Le document de transport doit faire état de cette exemption.</w:t>
      </w:r>
    </w:p>
    <w:p w:rsidR="009209F1" w:rsidRDefault="009209F1" w:rsidP="009209F1">
      <w:pPr>
        <w:pStyle w:val="SingleTxtG"/>
        <w:ind w:left="0"/>
        <w:rPr>
          <w:i/>
          <w:lang w:val="fr-FR"/>
        </w:rPr>
      </w:pPr>
      <w:r>
        <w:rPr>
          <w:i/>
          <w:lang w:val="fr-FR"/>
        </w:rPr>
        <w:t>(Documents de référence: documents informels INF.21 et INF.61)</w:t>
      </w:r>
    </w:p>
    <w:p w:rsidR="009209F1" w:rsidRDefault="009209F1" w:rsidP="009209F1">
      <w:pPr>
        <w:pStyle w:val="H1G"/>
        <w:rPr>
          <w:sz w:val="20"/>
          <w:lang w:val="fr-FR"/>
        </w:rPr>
      </w:pPr>
      <w:r>
        <w:rPr>
          <w:sz w:val="20"/>
          <w:lang w:val="fr-FR"/>
        </w:rPr>
        <w:tab/>
      </w:r>
      <w:r>
        <w:rPr>
          <w:sz w:val="20"/>
          <w:lang w:val="fr-FR"/>
        </w:rPr>
        <w:tab/>
        <w:t>Chapitre 5.2</w:t>
      </w:r>
    </w:p>
    <w:p w:rsidR="009209F1" w:rsidRDefault="009209F1" w:rsidP="009209F1">
      <w:pPr>
        <w:pStyle w:val="SingleTxtG"/>
        <w:tabs>
          <w:tab w:val="left" w:pos="1854"/>
        </w:tabs>
        <w:rPr>
          <w:lang w:val="fr-FR"/>
        </w:rPr>
      </w:pPr>
      <w:r>
        <w:rPr>
          <w:lang w:val="fr-FR"/>
        </w:rPr>
        <w:t>5.2.1.7.4 c)</w:t>
      </w:r>
      <w:r>
        <w:rPr>
          <w:lang w:val="fr-FR"/>
        </w:rPr>
        <w:tab/>
        <w:t>Remplacer «l’indicatif de pays (code VRI</w:t>
      </w:r>
      <w:proofErr w:type="gramStart"/>
      <w:r>
        <w:rPr>
          <w:lang w:val="fr-FR"/>
        </w:rPr>
        <w:t>)</w:t>
      </w:r>
      <w:r>
        <w:rPr>
          <w:b/>
          <w:vertAlign w:val="superscript"/>
          <w:lang w:val="fr-FR"/>
        </w:rPr>
        <w:t>2</w:t>
      </w:r>
      <w:proofErr w:type="gramEnd"/>
      <w:r>
        <w:rPr>
          <w:lang w:val="fr-FR"/>
        </w:rPr>
        <w:t xml:space="preserve"> attribué pour la circulation internationale des véhicules au pays» par «le signe distinctif utilisé sur les véhicules en circulation routière internationale</w:t>
      </w:r>
      <w:r>
        <w:rPr>
          <w:b/>
          <w:vertAlign w:val="superscript"/>
          <w:lang w:val="fr-FR"/>
        </w:rPr>
        <w:t>2</w:t>
      </w:r>
      <w:r>
        <w:rPr>
          <w:lang w:val="fr-FR"/>
        </w:rPr>
        <w:t xml:space="preserve"> du pays». Modifier la note de bas de page 2 pour lire:</w:t>
      </w:r>
    </w:p>
    <w:p w:rsidR="009209F1" w:rsidRDefault="009209F1" w:rsidP="009209F1">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rPr>
          <w:i/>
          <w:lang w:val="fr-FR"/>
        </w:rPr>
      </w:pPr>
      <w:r>
        <w:rPr>
          <w:lang w:val="fr-FR"/>
        </w:rPr>
        <w:t>5.2.2.2.2</w:t>
      </w:r>
      <w:r>
        <w:rPr>
          <w:lang w:val="fr-FR"/>
        </w:rPr>
        <w:tab/>
        <w:t xml:space="preserve">Dans le titre </w:t>
      </w:r>
      <w:proofErr w:type="spellStart"/>
      <w:r>
        <w:rPr>
          <w:lang w:val="fr-FR"/>
        </w:rPr>
        <w:t>au dessus</w:t>
      </w:r>
      <w:proofErr w:type="spellEnd"/>
      <w:r>
        <w:rPr>
          <w:lang w:val="fr-FR"/>
        </w:rPr>
        <w:t xml:space="preserve"> du modèle de l’étiquette de danger No 4.1, après «matières </w:t>
      </w:r>
      <w:proofErr w:type="spellStart"/>
      <w:r>
        <w:rPr>
          <w:lang w:val="fr-FR"/>
        </w:rPr>
        <w:t>autoréactives</w:t>
      </w:r>
      <w:proofErr w:type="spellEnd"/>
      <w:r>
        <w:rPr>
          <w:lang w:val="fr-FR"/>
        </w:rPr>
        <w:t>», insérer: «, matières qui polymérisent».</w:t>
      </w:r>
      <w:r>
        <w:rPr>
          <w:i/>
          <w:lang w:val="fr-FR"/>
        </w:rPr>
        <w:t xml:space="preserve"> </w:t>
      </w:r>
    </w:p>
    <w:p w:rsidR="009209F1" w:rsidRDefault="009209F1" w:rsidP="009209F1">
      <w:pPr>
        <w:pStyle w:val="SingleTxtG"/>
        <w:ind w:left="0"/>
        <w:rPr>
          <w:i/>
          <w:lang w:val="fr-FR"/>
        </w:rPr>
      </w:pPr>
      <w:r>
        <w:rPr>
          <w:i/>
          <w:lang w:val="fr-FR"/>
        </w:rPr>
        <w:t>(Document de référence: document informel INF.7)</w:t>
      </w:r>
    </w:p>
    <w:p w:rsidR="009209F1" w:rsidRDefault="009209F1" w:rsidP="009209F1">
      <w:pPr>
        <w:pStyle w:val="H1G"/>
        <w:rPr>
          <w:sz w:val="20"/>
          <w:lang w:val="fr-FR"/>
        </w:rPr>
      </w:pPr>
      <w:r>
        <w:rPr>
          <w:sz w:val="20"/>
          <w:lang w:val="fr-FR"/>
        </w:rPr>
        <w:tab/>
      </w:r>
      <w:r>
        <w:rPr>
          <w:sz w:val="20"/>
          <w:lang w:val="fr-FR"/>
        </w:rPr>
        <w:tab/>
        <w:t>Chapitre 5.4</w:t>
      </w:r>
    </w:p>
    <w:p w:rsidR="009209F1" w:rsidRDefault="009209F1" w:rsidP="009209F1">
      <w:pPr>
        <w:pStyle w:val="SingleTxtG"/>
        <w:rPr>
          <w:lang w:val="fr-FR"/>
        </w:rPr>
      </w:pPr>
      <w:r>
        <w:rPr>
          <w:lang w:val="fr-FR"/>
        </w:rPr>
        <w:t>5.4.1.1.11</w:t>
      </w:r>
      <w:r>
        <w:rPr>
          <w:lang w:val="fr-FR"/>
        </w:rPr>
        <w:tab/>
        <w:t>Modifier pour lire comme suit:</w:t>
      </w:r>
    </w:p>
    <w:p w:rsidR="009209F1" w:rsidRDefault="009209F1" w:rsidP="009209F1">
      <w:pPr>
        <w:pStyle w:val="SingleTxtG"/>
        <w:rPr>
          <w:lang w:val="fr-FR"/>
        </w:rPr>
      </w:pPr>
      <w:r>
        <w:rPr>
          <w:lang w:val="fr-FR"/>
        </w:rPr>
        <w:t>«5.4.1.1.11</w:t>
      </w:r>
      <w:r>
        <w:rPr>
          <w:lang w:val="fr-FR"/>
        </w:rPr>
        <w:tab/>
      </w:r>
      <w:r>
        <w:rPr>
          <w:bCs/>
          <w:i/>
          <w:lang w:val="fr-FR"/>
        </w:rPr>
        <w:t>Dispositions spéciales pour le transport de GRV, de citernes, de wagons-batteries (RID) / de véhicules-batteries (ADR), de citernes mobiles et de CGEM après la date d’expiration de la validité du dernier contrôle ou de la dernière épreuve périodique</w:t>
      </w:r>
    </w:p>
    <w:p w:rsidR="009209F1" w:rsidRDefault="009209F1" w:rsidP="009209F1">
      <w:pPr>
        <w:pStyle w:val="SingleTxtG"/>
        <w:rPr>
          <w:lang w:val="fr-FR"/>
        </w:rPr>
      </w:pPr>
      <w:r>
        <w:rPr>
          <w:lang w:val="fr-FR"/>
        </w:rPr>
        <w:t>Pour les transports conformes aux 4.1.2.2 b), 4.3.2.3.7 b), 6.7.2.19.6 b), 6.7.3.15.6 b) ou 6.7.4.14.6 b), le document de transport doit porter la mention suivante:</w:t>
      </w:r>
    </w:p>
    <w:p w:rsidR="009209F1" w:rsidRDefault="009209F1" w:rsidP="009209F1">
      <w:pPr>
        <w:pStyle w:val="SingleTxtG"/>
        <w:rPr>
          <w:lang w:val="fr-FR"/>
        </w:rPr>
      </w:pPr>
      <w:r>
        <w:rPr>
          <w:lang w:val="fr-FR"/>
        </w:rPr>
        <w:t>"TRANSPORT CONFORMÉMENT AU 4.1.2.2 b)",</w:t>
      </w:r>
    </w:p>
    <w:p w:rsidR="009209F1" w:rsidRDefault="009209F1" w:rsidP="009209F1">
      <w:pPr>
        <w:pStyle w:val="SingleTxtG"/>
        <w:rPr>
          <w:lang w:val="fr-FR"/>
        </w:rPr>
      </w:pPr>
      <w:r>
        <w:rPr>
          <w:lang w:val="fr-FR"/>
        </w:rPr>
        <w:t>"TRANSPORT CONFORMÉMENT AU 4.3.2.3.7 b)",</w:t>
      </w:r>
    </w:p>
    <w:p w:rsidR="009209F1" w:rsidRDefault="009209F1" w:rsidP="009209F1">
      <w:pPr>
        <w:pStyle w:val="SingleTxtG"/>
        <w:rPr>
          <w:lang w:val="fr-FR"/>
        </w:rPr>
      </w:pPr>
      <w:r>
        <w:rPr>
          <w:lang w:val="fr-FR"/>
        </w:rPr>
        <w:t>"TRANSPORT CONFORMÉMENT AU 6.7.2.19.6 b)",</w:t>
      </w:r>
    </w:p>
    <w:p w:rsidR="009209F1" w:rsidRDefault="009209F1" w:rsidP="009209F1">
      <w:pPr>
        <w:pStyle w:val="SingleTxtG"/>
        <w:rPr>
          <w:lang w:val="fr-FR"/>
        </w:rPr>
      </w:pPr>
      <w:r>
        <w:rPr>
          <w:lang w:val="fr-FR"/>
        </w:rPr>
        <w:t>"TRANSPORT CONFORMÉMENT AU 6.7.3.15.6 b)"; ou</w:t>
      </w:r>
    </w:p>
    <w:p w:rsidR="009209F1" w:rsidRDefault="009209F1" w:rsidP="009209F1">
      <w:pPr>
        <w:pStyle w:val="SingleTxtG"/>
        <w:rPr>
          <w:lang w:val="fr-FR"/>
        </w:rPr>
      </w:pPr>
      <w:r>
        <w:rPr>
          <w:lang w:val="fr-FR"/>
        </w:rPr>
        <w:lastRenderedPageBreak/>
        <w:t>"TRANSPORT CONFORMÉMENT AU 6.7.4.14.6 b)», selon le cas.».</w:t>
      </w:r>
    </w:p>
    <w:p w:rsidR="009209F1" w:rsidRDefault="009209F1" w:rsidP="009209F1">
      <w:pPr>
        <w:pStyle w:val="SingleTxtG"/>
        <w:ind w:left="0"/>
        <w:rPr>
          <w:i/>
          <w:lang w:val="fr-FR"/>
        </w:rPr>
      </w:pPr>
      <w:r>
        <w:rPr>
          <w:i/>
          <w:lang w:val="fr-FR"/>
        </w:rPr>
        <w:t xml:space="preserve">(Documents de référence: documents informels INF.21 et INF.61) </w:t>
      </w:r>
    </w:p>
    <w:p w:rsidR="009209F1" w:rsidRDefault="009209F1" w:rsidP="009209F1">
      <w:pPr>
        <w:pStyle w:val="SingleTxtG"/>
        <w:tabs>
          <w:tab w:val="left" w:pos="1854"/>
        </w:tabs>
        <w:rPr>
          <w:lang w:val="fr-FR"/>
        </w:rPr>
      </w:pPr>
      <w:r>
        <w:rPr>
          <w:lang w:val="fr-FR"/>
        </w:rPr>
        <w:t>(RID:) 5.4.1.2.1 e)</w:t>
      </w:r>
      <w:r>
        <w:rPr>
          <w:lang w:val="fr-FR"/>
        </w:rPr>
        <w:tab/>
        <w:t>Remplacer «le signe distinctif de l’Etat utilisé pour les véhicules automobiles en circulation internationale» par «le signe distinctif de l’Etat utilisé sur les véhicules en circulation routière internationale</w:t>
      </w:r>
      <w:r>
        <w:rPr>
          <w:b/>
          <w:vertAlign w:val="superscript"/>
          <w:lang w:val="fr-FR"/>
        </w:rPr>
        <w:t>8</w:t>
      </w:r>
      <w:r>
        <w:rPr>
          <w:lang w:val="fr-FR"/>
        </w:rPr>
        <w:t>».</w:t>
      </w:r>
    </w:p>
    <w:p w:rsidR="009209F1" w:rsidRDefault="009209F1" w:rsidP="009209F1">
      <w:pPr>
        <w:pStyle w:val="SingleTxtG"/>
        <w:tabs>
          <w:tab w:val="left" w:pos="1854"/>
        </w:tabs>
        <w:rPr>
          <w:lang w:val="fr-FR"/>
        </w:rPr>
      </w:pPr>
      <w:r>
        <w:rPr>
          <w:lang w:val="fr-FR"/>
        </w:rPr>
        <w:t>Dans le Nota 2, remplacer «le signe distinctif prévu pour les véhicules dans le trafic international» par «le signe distinctif de l’Etat utilisé sur les véhicules en circulation routière internationale».</w:t>
      </w:r>
    </w:p>
    <w:p w:rsidR="009209F1" w:rsidRDefault="009209F1" w:rsidP="009209F1">
      <w:pPr>
        <w:pStyle w:val="SingleTxtG"/>
        <w:tabs>
          <w:tab w:val="left" w:pos="1854"/>
        </w:tabs>
        <w:rPr>
          <w:lang w:val="fr-FR"/>
        </w:rPr>
      </w:pPr>
      <w:r>
        <w:rPr>
          <w:lang w:val="fr-FR"/>
        </w:rPr>
        <w:t>Modifier la note de bas de page 8 pour lire:</w:t>
      </w:r>
    </w:p>
    <w:p w:rsidR="009209F1" w:rsidRDefault="009209F1" w:rsidP="009209F1">
      <w:pPr>
        <w:pStyle w:val="SingleTxtG"/>
        <w:tabs>
          <w:tab w:val="left" w:pos="1854"/>
        </w:tabs>
        <w:rPr>
          <w:lang w:val="fr-FR"/>
        </w:rPr>
      </w:pPr>
      <w:r>
        <w:rPr>
          <w:lang w:val="fr-FR"/>
        </w:rPr>
        <w:t>«</w:t>
      </w:r>
      <w:r>
        <w:rPr>
          <w:b/>
          <w:vertAlign w:val="superscript"/>
          <w:lang w:val="fr-FR"/>
        </w:rPr>
        <w:t>8</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tabs>
          <w:tab w:val="left" w:pos="1854"/>
        </w:tabs>
        <w:rPr>
          <w:lang w:val="fr-FR"/>
        </w:rPr>
      </w:pPr>
      <w:r>
        <w:rPr>
          <w:lang w:val="fr-FR"/>
        </w:rPr>
        <w:t>(ADR/ADN:) 5.4.1.2.1</w:t>
      </w:r>
      <w:r>
        <w:rPr>
          <w:lang w:val="fr-FR"/>
        </w:rPr>
        <w:tab/>
        <w:t>Dans le Nota 2, remplacer «le signe distinctif prévu pour les véhicules dans le trafic international (XX)</w:t>
      </w:r>
      <w:r>
        <w:rPr>
          <w:b/>
          <w:vertAlign w:val="superscript"/>
          <w:lang w:val="fr-FR"/>
        </w:rPr>
        <w:t xml:space="preserve"> 3</w:t>
      </w:r>
      <w:r>
        <w:rPr>
          <w:lang w:val="fr-FR"/>
        </w:rPr>
        <w:t>» par «le signe distinctif de l’Etat utilisé sur les véhicules en circulation routière internationale (XX)</w:t>
      </w:r>
      <w:r>
        <w:rPr>
          <w:b/>
          <w:vertAlign w:val="superscript"/>
          <w:lang w:val="fr-FR"/>
        </w:rPr>
        <w:t xml:space="preserve"> 3</w:t>
      </w:r>
      <w:r>
        <w:rPr>
          <w:lang w:val="fr-FR"/>
        </w:rPr>
        <w:t>».</w:t>
      </w:r>
    </w:p>
    <w:p w:rsidR="009209F1" w:rsidRDefault="009209F1" w:rsidP="009209F1">
      <w:pPr>
        <w:pStyle w:val="SingleTxtG"/>
        <w:tabs>
          <w:tab w:val="left" w:pos="1854"/>
        </w:tabs>
        <w:rPr>
          <w:lang w:val="fr-FR"/>
        </w:rPr>
      </w:pPr>
      <w:r>
        <w:rPr>
          <w:lang w:val="fr-FR"/>
        </w:rPr>
        <w:t>Modifier la note de bas de page 3 pour lire:</w:t>
      </w:r>
    </w:p>
    <w:p w:rsidR="009209F1" w:rsidRDefault="009209F1" w:rsidP="009209F1">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tabs>
          <w:tab w:val="left" w:pos="1418"/>
          <w:tab w:val="left" w:pos="1843"/>
        </w:tabs>
        <w:spacing w:before="120" w:after="120"/>
        <w:ind w:left="1134" w:right="1134"/>
        <w:jc w:val="both"/>
        <w:rPr>
          <w:lang w:val="fr-FR"/>
        </w:rPr>
      </w:pPr>
      <w:r>
        <w:rPr>
          <w:lang w:val="fr-FR"/>
        </w:rPr>
        <w:t>(RID:)</w:t>
      </w:r>
    </w:p>
    <w:p w:rsidR="009209F1" w:rsidRDefault="009209F1" w:rsidP="009209F1">
      <w:pPr>
        <w:pStyle w:val="SingleTxtG"/>
        <w:rPr>
          <w:lang w:val="fr-FR"/>
        </w:rPr>
      </w:pPr>
      <w:r>
        <w:rPr>
          <w:lang w:val="fr-FR"/>
        </w:rPr>
        <w:t>5.4.2</w:t>
      </w:r>
      <w:r>
        <w:rPr>
          <w:lang w:val="fr-FR"/>
        </w:rPr>
        <w:tab/>
        <w:t>Dans les textes adoptés par la 5e session du groupe de travail permanent de la Commission d’experts du RID (document OTIF/RID/CE/GTP/2015-A, annexe I), supprimer les crochets au 5.4.2.</w:t>
      </w:r>
    </w:p>
    <w:p w:rsidR="009209F1" w:rsidRDefault="009209F1" w:rsidP="009209F1">
      <w:pPr>
        <w:pStyle w:val="SingleTxtG"/>
        <w:ind w:left="0"/>
        <w:rPr>
          <w:i/>
          <w:lang w:val="fr-FR"/>
        </w:rPr>
      </w:pPr>
      <w:r>
        <w:rPr>
          <w:i/>
          <w:lang w:val="fr-FR"/>
        </w:rPr>
        <w:t>(Document de référence: document informel INF.5)</w:t>
      </w:r>
    </w:p>
    <w:p w:rsidR="009209F1" w:rsidRDefault="009209F1" w:rsidP="009209F1">
      <w:pPr>
        <w:tabs>
          <w:tab w:val="left" w:pos="1418"/>
          <w:tab w:val="left" w:pos="1843"/>
        </w:tabs>
        <w:spacing w:before="120" w:after="120"/>
        <w:ind w:left="1134" w:right="1134"/>
        <w:jc w:val="both"/>
        <w:rPr>
          <w:lang w:val="fr-FR"/>
        </w:rPr>
      </w:pPr>
      <w:r>
        <w:rPr>
          <w:lang w:val="fr-FR"/>
        </w:rPr>
        <w:t>(ADR:)</w:t>
      </w:r>
    </w:p>
    <w:p w:rsidR="009209F1" w:rsidRDefault="009209F1" w:rsidP="009209F1">
      <w:pPr>
        <w:pStyle w:val="SingleTxtG"/>
        <w:rPr>
          <w:lang w:val="fr-FR"/>
        </w:rPr>
      </w:pPr>
      <w:r>
        <w:rPr>
          <w:lang w:val="fr-FR"/>
        </w:rPr>
        <w:t>5.4.2</w:t>
      </w:r>
      <w:r>
        <w:rPr>
          <w:lang w:val="fr-FR"/>
        </w:rPr>
        <w:tab/>
        <w:t>Modifier le titre comme suit: «Certificat d’empotage de conteneur/véhicule».</w:t>
      </w:r>
    </w:p>
    <w:p w:rsidR="009209F1" w:rsidRDefault="009209F1" w:rsidP="009209F1">
      <w:pPr>
        <w:pStyle w:val="SingleTxtG"/>
        <w:rPr>
          <w:lang w:val="fr-FR"/>
        </w:rPr>
      </w:pPr>
      <w:r>
        <w:rPr>
          <w:lang w:val="fr-FR"/>
        </w:rPr>
        <w:t>À la fin du premier paragraphe, ajouter la nouvelle phrase suivante:</w:t>
      </w:r>
    </w:p>
    <w:p w:rsidR="009209F1" w:rsidRDefault="009209F1" w:rsidP="009209F1">
      <w:pPr>
        <w:pStyle w:val="SingleTxtG"/>
        <w:rPr>
          <w:lang w:val="fr-FR"/>
        </w:rPr>
      </w:pPr>
      <w:r>
        <w:rPr>
          <w:lang w:val="fr-FR"/>
        </w:rPr>
        <w:t>«Si un transport de marchandises dangereuses dans un véhicule précède un parcours maritime, un certificat d’empotage de conteneur/véhicule conforme à la section 5.4.2 du Code IMDG5) peut être fourni avec le document de transport.6)».</w:t>
      </w:r>
    </w:p>
    <w:p w:rsidR="009209F1" w:rsidRDefault="009209F1" w:rsidP="009209F1">
      <w:pPr>
        <w:pStyle w:val="SingleTxtG"/>
        <w:rPr>
          <w:lang w:val="fr-FR"/>
        </w:rPr>
      </w:pPr>
      <w:r>
        <w:rPr>
          <w:lang w:val="fr-FR"/>
        </w:rPr>
        <w:t>Dans le deuxième paragraphe, après «chargement du conteneur», insérer: «ou du véhicule».</w:t>
      </w:r>
    </w:p>
    <w:p w:rsidR="009209F1" w:rsidRDefault="009209F1" w:rsidP="009209F1">
      <w:pPr>
        <w:pStyle w:val="SingleTxtG"/>
        <w:ind w:left="0"/>
        <w:rPr>
          <w:i/>
          <w:lang w:val="fr-FR"/>
        </w:rPr>
      </w:pPr>
      <w:r>
        <w:rPr>
          <w:i/>
          <w:lang w:val="fr-FR"/>
        </w:rPr>
        <w:t>(Document de référence: document informel INF.5)</w:t>
      </w:r>
    </w:p>
    <w:p w:rsidR="009209F1" w:rsidRDefault="009209F1" w:rsidP="009209F1">
      <w:pPr>
        <w:tabs>
          <w:tab w:val="left" w:pos="1418"/>
          <w:tab w:val="left" w:pos="1843"/>
        </w:tabs>
        <w:spacing w:before="120" w:after="120"/>
        <w:ind w:left="1134" w:right="1134"/>
        <w:jc w:val="both"/>
        <w:rPr>
          <w:lang w:val="fr-FR"/>
        </w:rPr>
      </w:pPr>
      <w:r>
        <w:rPr>
          <w:lang w:val="fr-FR"/>
        </w:rPr>
        <w:t>(RID/ADR:)</w:t>
      </w:r>
    </w:p>
    <w:p w:rsidR="009209F1" w:rsidRDefault="009209F1" w:rsidP="009209F1">
      <w:pPr>
        <w:pStyle w:val="SingleTxtG"/>
        <w:rPr>
          <w:lang w:val="fr-FR"/>
        </w:rPr>
      </w:pPr>
      <w:r>
        <w:rPr>
          <w:lang w:val="fr-FR"/>
        </w:rPr>
        <w:t>5.4.2</w:t>
      </w:r>
      <w:r>
        <w:rPr>
          <w:lang w:val="fr-FR"/>
        </w:rPr>
        <w:tab/>
        <w:t xml:space="preserve">À la fin de la note de bas de page 11)/5), remplacer </w:t>
      </w:r>
      <w:proofErr w:type="gramStart"/>
      <w:r>
        <w:rPr>
          <w:lang w:val="fr-FR"/>
        </w:rPr>
        <w:t>«(</w:t>
      </w:r>
      <w:proofErr w:type="gramEnd"/>
      <w:r>
        <w:rPr>
          <w:lang w:val="fr-FR"/>
        </w:rPr>
        <w:t xml:space="preserve">Directive OMI/OIT/CEE-ONU sur le chargement des cargaisons dans des engins de transport)» par «(Code de bonnes pratiques OMI/OIT/CEE-ONU pour le chargement des cargaisons dans des engins de transport (Code CTU))». </w:t>
      </w:r>
    </w:p>
    <w:p w:rsidR="009209F1" w:rsidRDefault="009209F1" w:rsidP="009209F1">
      <w:pPr>
        <w:pStyle w:val="SingleTxtG"/>
        <w:ind w:left="0"/>
        <w:rPr>
          <w:i/>
          <w:lang w:val="fr-FR"/>
        </w:rPr>
      </w:pPr>
      <w:r>
        <w:rPr>
          <w:i/>
          <w:lang w:val="fr-FR"/>
        </w:rPr>
        <w:t>(Document de référence: document informel INF.19)</w:t>
      </w:r>
    </w:p>
    <w:p w:rsidR="009209F1" w:rsidRDefault="009209F1" w:rsidP="009209F1">
      <w:pPr>
        <w:pStyle w:val="SingleTxtG"/>
        <w:rPr>
          <w:lang w:val="fr-FR"/>
        </w:rPr>
      </w:pPr>
      <w:r>
        <w:rPr>
          <w:lang w:val="fr-FR"/>
        </w:rPr>
        <w:lastRenderedPageBreak/>
        <w:t>5.4.3.4</w:t>
      </w:r>
      <w:r>
        <w:rPr>
          <w:lang w:val="fr-FR"/>
        </w:rPr>
        <w:tab/>
      </w:r>
      <w:r>
        <w:rPr>
          <w:lang w:val="fr-FR"/>
        </w:rPr>
        <w:tab/>
        <w:t xml:space="preserve">Dans le modèle des consignes écrites, dans la colonne (1), au-dessus de l’étiquette de danger 4.1, après «matières </w:t>
      </w:r>
      <w:proofErr w:type="spellStart"/>
      <w:r>
        <w:rPr>
          <w:lang w:val="fr-FR"/>
        </w:rPr>
        <w:t>autoréactives</w:t>
      </w:r>
      <w:proofErr w:type="spellEnd"/>
      <w:r>
        <w:rPr>
          <w:lang w:val="fr-FR"/>
        </w:rPr>
        <w:t>», insérer: «, matières qui polymérisent».</w:t>
      </w:r>
    </w:p>
    <w:p w:rsidR="009209F1" w:rsidRDefault="009209F1" w:rsidP="009209F1">
      <w:pPr>
        <w:pStyle w:val="SingleTxtG"/>
        <w:ind w:left="0"/>
        <w:rPr>
          <w:i/>
          <w:lang w:val="fr-FR"/>
        </w:rPr>
      </w:pPr>
      <w:r>
        <w:rPr>
          <w:i/>
          <w:lang w:val="fr-FR"/>
        </w:rPr>
        <w:t>(Document de référence: document informel INF.7)</w:t>
      </w:r>
    </w:p>
    <w:p w:rsidR="009209F1" w:rsidRDefault="009209F1" w:rsidP="009209F1">
      <w:pPr>
        <w:pStyle w:val="H1G"/>
        <w:rPr>
          <w:sz w:val="20"/>
          <w:lang w:val="fr-FR"/>
        </w:rPr>
      </w:pPr>
      <w:r>
        <w:rPr>
          <w:sz w:val="20"/>
          <w:lang w:val="fr-FR"/>
        </w:rPr>
        <w:tab/>
      </w:r>
      <w:r>
        <w:rPr>
          <w:sz w:val="20"/>
          <w:lang w:val="fr-FR"/>
        </w:rPr>
        <w:tab/>
        <w:t>Chapitre 6.1</w:t>
      </w:r>
    </w:p>
    <w:p w:rsidR="009209F1" w:rsidRDefault="009209F1" w:rsidP="009209F1">
      <w:pPr>
        <w:pStyle w:val="SingleTxtG"/>
        <w:rPr>
          <w:lang w:val="fr-FR" w:eastAsia="fr-FR"/>
        </w:rPr>
      </w:pPr>
      <w:r>
        <w:rPr>
          <w:rFonts w:ascii="TimesNewRomanPSMT" w:hAnsi="TimesNewRomanPSMT" w:cs="TimesNewRomanPSMT"/>
          <w:lang w:val="fr-FR" w:eastAsia="fr-FR"/>
        </w:rPr>
        <w:t xml:space="preserve">6.1.1.1 e) </w:t>
      </w:r>
      <w:r>
        <w:rPr>
          <w:rFonts w:ascii="TimesNewRomanPSMT" w:hAnsi="TimesNewRomanPSMT" w:cs="TimesNewRomanPSMT"/>
          <w:lang w:val="fr-FR" w:eastAsia="fr-FR"/>
        </w:rPr>
        <w:tab/>
        <w:t>Dans le texte français, ajouter une virgule après «emballages combinés».</w:t>
      </w:r>
    </w:p>
    <w:p w:rsidR="009209F1" w:rsidRDefault="009209F1" w:rsidP="009209F1">
      <w:pPr>
        <w:pStyle w:val="SingleTxtG"/>
        <w:rPr>
          <w:lang w:val="fr-FR"/>
        </w:rPr>
      </w:pPr>
      <w:r>
        <w:rPr>
          <w:lang w:val="fr-FR" w:eastAsia="fr-FR"/>
        </w:rPr>
        <w:t>6.1.2.4</w:t>
      </w:r>
      <w:r>
        <w:rPr>
          <w:lang w:val="fr-FR" w:eastAsia="fr-FR"/>
        </w:rPr>
        <w:tab/>
      </w:r>
      <w:r>
        <w:rPr>
          <w:lang w:val="fr-FR" w:eastAsia="fr-FR"/>
        </w:rPr>
        <w:tab/>
        <w:t>Modifier la dernière phrase pour lire comme suit: «</w:t>
      </w:r>
      <w:r>
        <w:rPr>
          <w:lang w:val="fr-FR"/>
        </w:rPr>
        <w:t>La lettre "W" indique que l'emballage, bien qu'il soit du même type que celui qui est désigné par le code, a été fabriqué selon une spécification différente de celles du 6.1.4, mais est considéré comme équivalent au sens du  6.1.1.2.</w:t>
      </w:r>
      <w:r>
        <w:rPr>
          <w:lang w:val="fr-FR" w:eastAsia="fr-FR"/>
        </w:rPr>
        <w:t>».</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lang w:val="fr-FR"/>
        </w:rPr>
      </w:pPr>
      <w:r>
        <w:rPr>
          <w:lang w:val="fr-FR"/>
        </w:rPr>
        <w:t>6.1.3.1 f)</w:t>
      </w:r>
      <w:r>
        <w:rPr>
          <w:lang w:val="fr-FR"/>
        </w:rPr>
        <w:tab/>
        <w:t>Remplacer «le signe distinctif prévu pour les véhicules dans le trafic international</w:t>
      </w:r>
      <w:r>
        <w:rPr>
          <w:b/>
          <w:vertAlign w:val="superscript"/>
          <w:lang w:val="fr-FR"/>
        </w:rPr>
        <w:t>3</w:t>
      </w:r>
      <w:r>
        <w:rPr>
          <w:lang w:val="fr-FR"/>
        </w:rPr>
        <w:t>» par «le signe distinctif de l’Etat utilisé sur les véhicules en circulation routière internationale</w:t>
      </w:r>
      <w:r>
        <w:rPr>
          <w:b/>
          <w:vertAlign w:val="superscript"/>
          <w:lang w:val="fr-FR"/>
        </w:rPr>
        <w:t>3</w:t>
      </w:r>
      <w:r>
        <w:rPr>
          <w:lang w:val="fr-FR"/>
        </w:rPr>
        <w:t>».</w:t>
      </w:r>
    </w:p>
    <w:p w:rsidR="009209F1" w:rsidRDefault="009209F1" w:rsidP="009209F1">
      <w:pPr>
        <w:pStyle w:val="SingleTxtG"/>
        <w:tabs>
          <w:tab w:val="left" w:pos="1854"/>
        </w:tabs>
        <w:rPr>
          <w:lang w:val="fr-FR"/>
        </w:rPr>
      </w:pPr>
      <w:r>
        <w:rPr>
          <w:lang w:val="fr-FR"/>
        </w:rPr>
        <w:t>Modifier la note de bas de page 3 pour lire:</w:t>
      </w:r>
    </w:p>
    <w:p w:rsidR="009209F1" w:rsidRDefault="009209F1" w:rsidP="009209F1">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tabs>
          <w:tab w:val="left" w:pos="1854"/>
        </w:tabs>
        <w:rPr>
          <w:lang w:val="fr-FR"/>
        </w:rPr>
      </w:pPr>
      <w:r>
        <w:rPr>
          <w:lang w:val="fr-FR"/>
        </w:rPr>
        <w:t>6.1.3.8 h)</w:t>
      </w:r>
      <w:r>
        <w:rPr>
          <w:lang w:val="fr-FR"/>
        </w:rPr>
        <w:tab/>
        <w:t>Remplacer «le signe distinctif prévu pour les véhicules dans le trafic international</w:t>
      </w:r>
      <w:r>
        <w:rPr>
          <w:b/>
          <w:vertAlign w:val="superscript"/>
          <w:lang w:val="fr-FR"/>
        </w:rPr>
        <w:t>3</w:t>
      </w:r>
      <w:r>
        <w:rPr>
          <w:lang w:val="fr-FR"/>
        </w:rPr>
        <w:t>» par «le signe distinctif de l’Etat utilisé sur les véhicules en circulation routière internationale</w:t>
      </w:r>
      <w:r>
        <w:rPr>
          <w:b/>
          <w:vertAlign w:val="superscript"/>
          <w:lang w:val="fr-FR"/>
        </w:rPr>
        <w:t>3</w:t>
      </w:r>
      <w:r>
        <w:rPr>
          <w:lang w:val="fr-FR"/>
        </w:rPr>
        <w:t>».</w:t>
      </w:r>
    </w:p>
    <w:p w:rsidR="009209F1" w:rsidRDefault="009209F1" w:rsidP="009209F1">
      <w:pPr>
        <w:pStyle w:val="SingleTxtG"/>
        <w:tabs>
          <w:tab w:val="left" w:pos="1854"/>
        </w:tabs>
        <w:rPr>
          <w:lang w:val="fr-FR"/>
        </w:rPr>
      </w:pPr>
      <w:r>
        <w:rPr>
          <w:lang w:val="fr-FR"/>
        </w:rPr>
        <w:t>Modifier la note de bas de page 3 pour lire:</w:t>
      </w:r>
    </w:p>
    <w:p w:rsidR="009209F1" w:rsidRDefault="009209F1" w:rsidP="009209F1">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rPr>
          <w:lang w:val="fr-FR" w:eastAsia="fr-FR"/>
        </w:rPr>
      </w:pPr>
      <w:r>
        <w:rPr>
          <w:lang w:val="fr-FR" w:eastAsia="fr-FR"/>
        </w:rPr>
        <w:t>6.1.4.2.2</w:t>
      </w:r>
      <w:r>
        <w:rPr>
          <w:lang w:val="fr-FR" w:eastAsia="fr-FR"/>
        </w:rPr>
        <w:tab/>
        <w:t>Modifier la deuxième phrase pour lire comme suit: «Les joints des rebords, s'il y en a, doivent être renforcés par la pose de colliers de renfort séparés.».</w:t>
      </w:r>
    </w:p>
    <w:p w:rsidR="009209F1" w:rsidRDefault="009209F1" w:rsidP="009209F1">
      <w:pPr>
        <w:pStyle w:val="SingleTxtG"/>
        <w:rPr>
          <w:lang w:val="fr-FR" w:eastAsia="fr-FR"/>
        </w:rPr>
      </w:pPr>
      <w:r>
        <w:rPr>
          <w:lang w:val="fr-FR" w:eastAsia="fr-FR"/>
        </w:rPr>
        <w:t>6.1.4.3.2</w:t>
      </w:r>
      <w:r>
        <w:rPr>
          <w:lang w:val="fr-FR" w:eastAsia="fr-FR"/>
        </w:rPr>
        <w:tab/>
        <w:t>Modifier la première phrase pour lire comme suit: «</w:t>
      </w:r>
      <w:r>
        <w:rPr>
          <w:lang w:val="fr-FR"/>
        </w:rPr>
        <w:t xml:space="preserve">Les joints des rebords, s'il y en a, doivent être renforcés par la pose </w:t>
      </w:r>
      <w:r>
        <w:rPr>
          <w:lang w:val="fr-FR" w:eastAsia="fr-FR"/>
        </w:rPr>
        <w:t>de colliers de renfort séparés</w:t>
      </w:r>
      <w:r>
        <w:rPr>
          <w:lang w:val="fr-FR"/>
        </w:rPr>
        <w:t>.</w:t>
      </w:r>
      <w:r>
        <w:rPr>
          <w:lang w:val="fr-FR" w:eastAsia="fr-FR"/>
        </w:rPr>
        <w:t>».</w:t>
      </w:r>
    </w:p>
    <w:p w:rsidR="009209F1" w:rsidRDefault="009209F1" w:rsidP="009209F1">
      <w:pPr>
        <w:pStyle w:val="SingleTxtG"/>
        <w:rPr>
          <w:lang w:val="fr-FR" w:eastAsia="fr-FR"/>
        </w:rPr>
      </w:pPr>
      <w:r>
        <w:rPr>
          <w:lang w:val="fr-FR" w:eastAsia="fr-FR"/>
        </w:rPr>
        <w:t>6.1.4.4.2</w:t>
      </w:r>
      <w:r>
        <w:rPr>
          <w:lang w:val="fr-FR" w:eastAsia="fr-FR"/>
        </w:rPr>
        <w:tab/>
        <w:t>Dans le texte français, dans la dernière phrase, remplacer «Les rebords» par «Les joints des rebords».</w:t>
      </w:r>
    </w:p>
    <w:p w:rsidR="009209F1" w:rsidRDefault="009209F1" w:rsidP="009209F1">
      <w:pPr>
        <w:pStyle w:val="SingleTxtG"/>
        <w:rPr>
          <w:rFonts w:ascii="TimesNewRomanPSMT" w:hAnsi="TimesNewRomanPSMT" w:cs="TimesNewRomanPSMT"/>
          <w:lang w:val="fr-FR" w:eastAsia="fr-FR"/>
        </w:rPr>
      </w:pPr>
      <w:r>
        <w:rPr>
          <w:rFonts w:ascii="TimesNewRomanPSMT" w:hAnsi="TimesNewRomanPSMT" w:cs="TimesNewRomanPSMT"/>
          <w:lang w:val="fr-FR" w:eastAsia="fr-FR"/>
        </w:rPr>
        <w:t>6.1.4.5.4</w:t>
      </w:r>
      <w:r>
        <w:rPr>
          <w:rFonts w:ascii="TimesNewRomanPSMT" w:hAnsi="TimesNewRomanPSMT" w:cs="TimesNewRomanPSMT"/>
          <w:lang w:val="fr-FR" w:eastAsia="fr-FR"/>
        </w:rPr>
        <w:tab/>
        <w:t xml:space="preserve">Modifier pour lire comme suit :  </w:t>
      </w:r>
    </w:p>
    <w:p w:rsidR="009209F1" w:rsidRDefault="009209F1" w:rsidP="009209F1">
      <w:pPr>
        <w:pStyle w:val="SingleTxtG"/>
        <w:rPr>
          <w:lang w:val="fr-FR"/>
        </w:rPr>
      </w:pPr>
      <w:r>
        <w:rPr>
          <w:rFonts w:ascii="TimesNewRomanPSMT" w:hAnsi="TimesNewRomanPSMT" w:cs="TimesNewRomanPSMT"/>
          <w:lang w:val="fr-FR" w:eastAsia="fr-FR"/>
        </w:rPr>
        <w:t>«6.1.4.5.4</w:t>
      </w:r>
      <w:r>
        <w:rPr>
          <w:rFonts w:ascii="TimesNewRomanPSMT" w:hAnsi="TimesNewRomanPSMT" w:cs="TimesNewRomanPSMT"/>
          <w:lang w:val="fr-FR" w:eastAsia="fr-FR"/>
        </w:rPr>
        <w:tab/>
        <w:t>Pour éviter les pertes de contenu par les interstices, les couvercles doivent être doublés de papier kraft ou d'un autre matériau équivalent; ceux-ci doivent être solidement fixés sur le couvercle et s'étendre à l'extérieur sous toute sa circonférence.».</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H1G"/>
        <w:rPr>
          <w:sz w:val="20"/>
          <w:lang w:val="fr-FR"/>
        </w:rPr>
      </w:pPr>
      <w:r>
        <w:rPr>
          <w:sz w:val="20"/>
          <w:lang w:val="fr-FR"/>
        </w:rPr>
        <w:lastRenderedPageBreak/>
        <w:tab/>
      </w:r>
      <w:r>
        <w:rPr>
          <w:sz w:val="20"/>
          <w:lang w:val="fr-FR"/>
        </w:rPr>
        <w:tab/>
        <w:t>Chapitre 6.2</w:t>
      </w:r>
    </w:p>
    <w:p w:rsidR="009209F1" w:rsidRDefault="009209F1" w:rsidP="009209F1">
      <w:pPr>
        <w:tabs>
          <w:tab w:val="left" w:pos="1418"/>
          <w:tab w:val="left" w:pos="1843"/>
        </w:tabs>
        <w:spacing w:before="120" w:after="120"/>
        <w:ind w:left="1134" w:right="1134"/>
        <w:jc w:val="both"/>
        <w:rPr>
          <w:szCs w:val="24"/>
          <w:lang w:val="fr-FR"/>
        </w:rPr>
      </w:pPr>
      <w:r>
        <w:rPr>
          <w:lang w:val="fr-FR"/>
        </w:rPr>
        <w:t>6.2.1.3.6.4.4</w:t>
      </w:r>
      <w:r>
        <w:rPr>
          <w:lang w:val="fr-FR"/>
        </w:rPr>
        <w:tab/>
        <w:t>Remplacer «l’espace vapeur» par «le ciel gazeux».</w:t>
      </w:r>
    </w:p>
    <w:p w:rsidR="009209F1" w:rsidRDefault="009209F1" w:rsidP="009209F1">
      <w:pPr>
        <w:pStyle w:val="SingleTxtG"/>
        <w:ind w:left="0"/>
        <w:rPr>
          <w:i/>
          <w:lang w:val="fr-FR"/>
        </w:rPr>
      </w:pPr>
      <w:r>
        <w:rPr>
          <w:i/>
          <w:lang w:val="fr-FR"/>
        </w:rPr>
        <w:t>(Document de référence: document informel INF.61)</w:t>
      </w:r>
    </w:p>
    <w:p w:rsidR="009209F1" w:rsidRDefault="009209F1" w:rsidP="009209F1">
      <w:pPr>
        <w:tabs>
          <w:tab w:val="left" w:pos="1418"/>
          <w:tab w:val="left" w:pos="1843"/>
        </w:tabs>
        <w:spacing w:before="120" w:after="120"/>
        <w:ind w:left="1134" w:right="1134"/>
        <w:jc w:val="both"/>
        <w:rPr>
          <w:lang w:val="fr-FR"/>
        </w:rPr>
      </w:pPr>
      <w:r>
        <w:rPr>
          <w:lang w:val="fr-FR"/>
        </w:rPr>
        <w:t>6.2.2</w:t>
      </w:r>
      <w:r>
        <w:rPr>
          <w:lang w:val="fr-FR"/>
        </w:rPr>
        <w:tab/>
        <w:t>Identifier le Nota existant en tant que Nota 1.</w:t>
      </w:r>
    </w:p>
    <w:p w:rsidR="009209F1" w:rsidRDefault="009209F1" w:rsidP="009209F1">
      <w:pPr>
        <w:tabs>
          <w:tab w:val="left" w:pos="1418"/>
          <w:tab w:val="left" w:pos="1843"/>
        </w:tabs>
        <w:spacing w:before="120" w:after="120"/>
        <w:ind w:left="1134" w:right="1134"/>
        <w:jc w:val="both"/>
        <w:rPr>
          <w:lang w:val="fr-FR"/>
        </w:rPr>
      </w:pPr>
      <w:r>
        <w:rPr>
          <w:lang w:val="fr-FR"/>
        </w:rPr>
        <w:t>Insérer le nouveau Nota 2 suivant:</w:t>
      </w:r>
    </w:p>
    <w:p w:rsidR="009209F1" w:rsidRDefault="009209F1" w:rsidP="009209F1">
      <w:pPr>
        <w:tabs>
          <w:tab w:val="left" w:pos="1418"/>
          <w:tab w:val="left" w:pos="1843"/>
        </w:tabs>
        <w:spacing w:before="120" w:after="120"/>
        <w:ind w:left="1134" w:right="1134"/>
        <w:jc w:val="both"/>
        <w:rPr>
          <w:i/>
          <w:lang w:val="fr-FR"/>
        </w:rPr>
      </w:pPr>
      <w:r>
        <w:rPr>
          <w:i/>
          <w:lang w:val="fr-FR"/>
        </w:rPr>
        <w:t>«</w:t>
      </w:r>
      <w:r>
        <w:rPr>
          <w:b/>
          <w:i/>
          <w:lang w:val="fr-FR"/>
        </w:rPr>
        <w:t>NOTA 2:</w:t>
      </w:r>
      <w:r>
        <w:rPr>
          <w:i/>
          <w:lang w:val="fr-FR"/>
        </w:rPr>
        <w:tab/>
        <w:t>Lorsque des versions EN ISO des normes ISO ci-après sont disponibles, elles peuvent être utilisées pour satisfaire aux prescriptions des 6.2.2.1, 6.2.2.2, 6.2.2.3 et 6.2.2.4.».</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tabs>
          <w:tab w:val="left" w:pos="1418"/>
          <w:tab w:val="left" w:pos="1843"/>
        </w:tabs>
        <w:spacing w:before="120" w:after="120"/>
        <w:ind w:left="1134" w:right="1134"/>
        <w:jc w:val="both"/>
        <w:rPr>
          <w:lang w:val="fr-FR"/>
        </w:rPr>
      </w:pPr>
      <w:r>
        <w:rPr>
          <w:lang w:val="fr-FR"/>
        </w:rPr>
        <w:t>6.2.2.3</w:t>
      </w:r>
      <w:r>
        <w:rPr>
          <w:lang w:val="fr-FR"/>
        </w:rPr>
        <w:tab/>
        <w:t>Dans le tableau, pour la norme «ISO 10297:2006 », supprimer le Nota dans la colonne (2).</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SingleTxtG"/>
        <w:tabs>
          <w:tab w:val="left" w:pos="1854"/>
        </w:tabs>
        <w:rPr>
          <w:lang w:val="fr-FR"/>
        </w:rPr>
      </w:pPr>
      <w:r>
        <w:rPr>
          <w:lang w:val="fr-FR"/>
        </w:rPr>
        <w:t>6.2.2.7.2 c)</w:t>
      </w:r>
      <w:r>
        <w:rPr>
          <w:lang w:val="fr-FR"/>
        </w:rPr>
        <w:tab/>
        <w:t>Remplacer «aux signes distinctifs utilisés pour les véhicules automobiles en circulation routière internationale</w:t>
      </w:r>
      <w:r>
        <w:rPr>
          <w:b/>
          <w:vertAlign w:val="superscript"/>
          <w:lang w:val="fr-FR"/>
        </w:rPr>
        <w:t>3</w:t>
      </w:r>
      <w:r>
        <w:rPr>
          <w:lang w:val="fr-FR"/>
        </w:rPr>
        <w:t>» par «au signe distinctif de l’Etat utilisé sur les véhicules en circulation routière internationale</w:t>
      </w:r>
      <w:r>
        <w:rPr>
          <w:b/>
          <w:vertAlign w:val="superscript"/>
          <w:lang w:val="fr-FR"/>
        </w:rPr>
        <w:t>3</w:t>
      </w:r>
      <w:r>
        <w:rPr>
          <w:lang w:val="fr-FR"/>
        </w:rPr>
        <w:t>»</w:t>
      </w:r>
    </w:p>
    <w:p w:rsidR="009209F1" w:rsidRDefault="009209F1" w:rsidP="009209F1">
      <w:pPr>
        <w:pStyle w:val="SingleTxtG"/>
        <w:tabs>
          <w:tab w:val="left" w:pos="1854"/>
        </w:tabs>
        <w:rPr>
          <w:lang w:val="fr-FR"/>
        </w:rPr>
      </w:pPr>
      <w:r>
        <w:rPr>
          <w:lang w:val="fr-FR"/>
        </w:rPr>
        <w:t>Modifier la note de bas de page 3 pour lire:</w:t>
      </w:r>
    </w:p>
    <w:p w:rsidR="009209F1" w:rsidRDefault="009209F1" w:rsidP="009209F1">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tabs>
          <w:tab w:val="left" w:pos="1854"/>
        </w:tabs>
        <w:rPr>
          <w:lang w:val="fr-FR"/>
        </w:rPr>
      </w:pPr>
      <w:r>
        <w:rPr>
          <w:lang w:val="fr-FR"/>
        </w:rPr>
        <w:t>6.2.2.7.4 n)</w:t>
      </w:r>
      <w:r>
        <w:rPr>
          <w:lang w:val="fr-FR"/>
        </w:rPr>
        <w:tab/>
        <w:t>Remplacer «aux signes distinctifs utilisés pour les véhicules automobiles en circulation routière internationale</w:t>
      </w:r>
      <w:r>
        <w:rPr>
          <w:b/>
          <w:vertAlign w:val="superscript"/>
          <w:lang w:val="fr-FR"/>
        </w:rPr>
        <w:t>3</w:t>
      </w:r>
      <w:r>
        <w:rPr>
          <w:lang w:val="fr-FR"/>
        </w:rPr>
        <w:t>» par «au signe distinctif de l’Etat utilisé sur les véhicules en circulation routière internationale</w:t>
      </w:r>
      <w:r>
        <w:rPr>
          <w:b/>
          <w:vertAlign w:val="superscript"/>
          <w:lang w:val="fr-FR"/>
        </w:rPr>
        <w:t>3</w:t>
      </w:r>
      <w:r>
        <w:rPr>
          <w:lang w:val="fr-FR"/>
        </w:rPr>
        <w:t>»</w:t>
      </w:r>
    </w:p>
    <w:p w:rsidR="009209F1" w:rsidRDefault="009209F1" w:rsidP="009209F1">
      <w:pPr>
        <w:pStyle w:val="SingleTxtG"/>
        <w:tabs>
          <w:tab w:val="left" w:pos="1854"/>
        </w:tabs>
        <w:rPr>
          <w:lang w:val="fr-FR"/>
        </w:rPr>
      </w:pPr>
      <w:r>
        <w:rPr>
          <w:lang w:val="fr-FR"/>
        </w:rPr>
        <w:t>Modifier la note de bas de page 3 pour lire:</w:t>
      </w:r>
    </w:p>
    <w:p w:rsidR="009209F1" w:rsidRDefault="009209F1" w:rsidP="009209F1">
      <w:pPr>
        <w:pStyle w:val="SingleTxtG"/>
        <w:tabs>
          <w:tab w:val="left" w:pos="1854"/>
        </w:tabs>
        <w:rPr>
          <w:lang w:val="fr-FR"/>
        </w:rPr>
      </w:pPr>
      <w:r>
        <w:rPr>
          <w:lang w:val="fr-FR"/>
        </w:rPr>
        <w:t>«</w:t>
      </w:r>
      <w:r>
        <w:rPr>
          <w:b/>
          <w:vertAlign w:val="superscript"/>
          <w:lang w:val="fr-FR"/>
        </w:rPr>
        <w:t>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tabs>
          <w:tab w:val="left" w:pos="1854"/>
        </w:tabs>
        <w:rPr>
          <w:lang w:val="fr-FR"/>
        </w:rPr>
      </w:pPr>
      <w:r>
        <w:rPr>
          <w:lang w:val="fr-FR"/>
        </w:rPr>
        <w:t>6.2.2.7.7 a)</w:t>
      </w:r>
      <w:r>
        <w:rPr>
          <w:lang w:val="fr-FR"/>
        </w:rPr>
        <w:tab/>
        <w:t>Remplacer «aux signes distinctifs utilisés pour les véhicules automobiles en circulation routière internationale</w:t>
      </w:r>
      <w:r>
        <w:rPr>
          <w:b/>
          <w:vertAlign w:val="superscript"/>
          <w:lang w:val="fr-FR"/>
        </w:rPr>
        <w:t>4/3</w:t>
      </w:r>
      <w:r>
        <w:rPr>
          <w:lang w:val="fr-FR"/>
        </w:rPr>
        <w:t>» par «au signe distinctif de l’Etat utilisé sur les véhicules en circulation routière internationale</w:t>
      </w:r>
      <w:r>
        <w:rPr>
          <w:b/>
          <w:vertAlign w:val="superscript"/>
          <w:lang w:val="fr-FR"/>
        </w:rPr>
        <w:t>4/3</w:t>
      </w:r>
      <w:r>
        <w:rPr>
          <w:lang w:val="fr-FR"/>
        </w:rPr>
        <w:t>»</w:t>
      </w:r>
    </w:p>
    <w:p w:rsidR="009209F1" w:rsidRDefault="009209F1" w:rsidP="009209F1">
      <w:pPr>
        <w:pStyle w:val="SingleTxtG"/>
        <w:tabs>
          <w:tab w:val="left" w:pos="1854"/>
        </w:tabs>
        <w:rPr>
          <w:lang w:val="fr-FR"/>
        </w:rPr>
      </w:pPr>
      <w:r>
        <w:rPr>
          <w:lang w:val="fr-FR"/>
        </w:rPr>
        <w:t>Modifier la note de bas de page 4/3 pour lire:</w:t>
      </w:r>
    </w:p>
    <w:p w:rsidR="009209F1" w:rsidRDefault="009209F1" w:rsidP="009209F1">
      <w:pPr>
        <w:pStyle w:val="SingleTxtG"/>
        <w:tabs>
          <w:tab w:val="left" w:pos="1854"/>
        </w:tabs>
        <w:rPr>
          <w:lang w:val="fr-FR"/>
        </w:rPr>
      </w:pPr>
      <w:r>
        <w:rPr>
          <w:lang w:val="fr-FR"/>
        </w:rPr>
        <w:t>«</w:t>
      </w:r>
      <w:r>
        <w:rPr>
          <w:b/>
          <w:vertAlign w:val="superscript"/>
          <w:lang w:val="fr-FR"/>
        </w:rPr>
        <w:t>4/3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tabs>
          <w:tab w:val="left" w:pos="1854"/>
        </w:tabs>
        <w:rPr>
          <w:lang w:val="fr-FR"/>
        </w:rPr>
      </w:pPr>
      <w:proofErr w:type="gramStart"/>
      <w:r>
        <w:rPr>
          <w:lang w:val="fr-FR"/>
        </w:rPr>
        <w:t>6.2.2.9.2 c</w:t>
      </w:r>
      <w:proofErr w:type="gramEnd"/>
      <w:r>
        <w:rPr>
          <w:lang w:val="fr-FR"/>
        </w:rPr>
        <w:t>) et h)</w:t>
      </w:r>
      <w:r>
        <w:rPr>
          <w:lang w:val="fr-FR"/>
        </w:rPr>
        <w:tab/>
        <w:t>Remplacer «aux signes distinctifs utilisés pour les véhicules automobiles en circulation routière internationale</w:t>
      </w:r>
      <w:r>
        <w:rPr>
          <w:b/>
          <w:vertAlign w:val="superscript"/>
          <w:lang w:val="fr-FR"/>
        </w:rPr>
        <w:t>6/3</w:t>
      </w:r>
      <w:r>
        <w:rPr>
          <w:lang w:val="fr-FR"/>
        </w:rPr>
        <w:t>» par «au signe distinctif de l’Etat utilisé sur les véhicules en circulation routière internationale</w:t>
      </w:r>
      <w:r>
        <w:rPr>
          <w:b/>
          <w:vertAlign w:val="superscript"/>
          <w:lang w:val="fr-FR"/>
        </w:rPr>
        <w:t>6/3</w:t>
      </w:r>
      <w:r>
        <w:rPr>
          <w:lang w:val="fr-FR"/>
        </w:rPr>
        <w:t>»</w:t>
      </w:r>
    </w:p>
    <w:p w:rsidR="009209F1" w:rsidRDefault="009209F1" w:rsidP="009209F1">
      <w:pPr>
        <w:pStyle w:val="SingleTxtG"/>
        <w:tabs>
          <w:tab w:val="left" w:pos="1854"/>
        </w:tabs>
        <w:rPr>
          <w:lang w:val="fr-FR"/>
        </w:rPr>
      </w:pPr>
      <w:r>
        <w:rPr>
          <w:lang w:val="fr-FR"/>
        </w:rPr>
        <w:lastRenderedPageBreak/>
        <w:t>Modifier la note de bas de page 6/3 pour lire:</w:t>
      </w:r>
    </w:p>
    <w:p w:rsidR="009209F1" w:rsidRDefault="009209F1" w:rsidP="009209F1">
      <w:pPr>
        <w:pStyle w:val="SingleTxtG"/>
        <w:tabs>
          <w:tab w:val="left" w:pos="1854"/>
        </w:tabs>
        <w:rPr>
          <w:lang w:val="fr-FR"/>
        </w:rPr>
      </w:pPr>
      <w:r>
        <w:rPr>
          <w:lang w:val="fr-FR"/>
        </w:rPr>
        <w:t>«</w:t>
      </w:r>
      <w:r>
        <w:rPr>
          <w:b/>
          <w:vertAlign w:val="superscript"/>
          <w:lang w:val="fr-FR"/>
        </w:rPr>
        <w:t>6/3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tabs>
          <w:tab w:val="left" w:pos="1854"/>
        </w:tabs>
        <w:rPr>
          <w:lang w:val="fr-FR"/>
        </w:rPr>
      </w:pPr>
      <w:r>
        <w:rPr>
          <w:lang w:val="fr-FR"/>
        </w:rPr>
        <w:t>6.2.2.9.4 a)</w:t>
      </w:r>
      <w:r>
        <w:rPr>
          <w:lang w:val="fr-FR"/>
        </w:rPr>
        <w:tab/>
        <w:t>Remplacer «aux signes distinctifs utilisés pour les véhicules automobiles en circulation routière internationale</w:t>
      </w:r>
      <w:r>
        <w:rPr>
          <w:b/>
          <w:vertAlign w:val="superscript"/>
          <w:lang w:val="fr-FR"/>
        </w:rPr>
        <w:t>6/3</w:t>
      </w:r>
      <w:r>
        <w:rPr>
          <w:lang w:val="fr-FR"/>
        </w:rPr>
        <w:t>» par «au signe distinctif de l’Etat utilisé sur les véhicules en circulation routière internationale</w:t>
      </w:r>
      <w:r>
        <w:rPr>
          <w:b/>
          <w:vertAlign w:val="superscript"/>
          <w:lang w:val="fr-FR"/>
        </w:rPr>
        <w:t>6/3</w:t>
      </w:r>
      <w:r>
        <w:rPr>
          <w:lang w:val="fr-FR"/>
        </w:rPr>
        <w:t>».</w:t>
      </w:r>
    </w:p>
    <w:p w:rsidR="009209F1" w:rsidRDefault="009209F1" w:rsidP="009209F1">
      <w:pPr>
        <w:pStyle w:val="SingleTxtG"/>
        <w:tabs>
          <w:tab w:val="left" w:pos="1854"/>
        </w:tabs>
        <w:rPr>
          <w:lang w:val="fr-FR"/>
        </w:rPr>
      </w:pPr>
      <w:r>
        <w:rPr>
          <w:lang w:val="fr-FR"/>
        </w:rPr>
        <w:t>Modifier la note de bas de page 6/3 pour lire:</w:t>
      </w:r>
    </w:p>
    <w:p w:rsidR="009209F1" w:rsidRDefault="009209F1" w:rsidP="009209F1">
      <w:pPr>
        <w:pStyle w:val="SingleTxtG"/>
        <w:tabs>
          <w:tab w:val="left" w:pos="1854"/>
        </w:tabs>
        <w:rPr>
          <w:lang w:val="fr-FR"/>
        </w:rPr>
      </w:pPr>
      <w:r>
        <w:rPr>
          <w:lang w:val="fr-FR"/>
        </w:rPr>
        <w:t>«</w:t>
      </w:r>
      <w:r>
        <w:rPr>
          <w:b/>
          <w:vertAlign w:val="superscript"/>
          <w:lang w:val="fr-FR"/>
        </w:rPr>
        <w:t>6/3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rPr>
          <w:lang w:val="fr-FR"/>
        </w:rPr>
      </w:pPr>
      <w:r>
        <w:rPr>
          <w:lang w:val="fr-FR"/>
        </w:rPr>
        <w:t>6.2.2.10.2</w:t>
      </w:r>
      <w:r>
        <w:rPr>
          <w:lang w:val="fr-FR"/>
        </w:rPr>
        <w:tab/>
        <w:t>Dans la première phrase, remplacer «Les récipients à pression rechargeables "UN"» par «Les cadres des bouteilles rechargeables "UN"».</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tabs>
          <w:tab w:val="left" w:pos="1418"/>
          <w:tab w:val="left" w:pos="1843"/>
        </w:tabs>
        <w:spacing w:before="120" w:after="120"/>
        <w:ind w:left="1134" w:right="1134"/>
        <w:jc w:val="both"/>
        <w:rPr>
          <w:lang w:val="fr-FR"/>
        </w:rPr>
      </w:pPr>
      <w:r>
        <w:rPr>
          <w:lang w:val="fr-FR"/>
        </w:rPr>
        <w:t>6.2.3.5.1</w:t>
      </w:r>
      <w:r>
        <w:rPr>
          <w:lang w:val="fr-FR"/>
        </w:rPr>
        <w:tab/>
      </w:r>
      <w:r>
        <w:rPr>
          <w:lang w:val="fr-FR"/>
        </w:rPr>
        <w:tab/>
        <w:t>Identifier le Nota existant en tant que Nota 1. Insérer les nouveaux Notas 2 et 3 suivants:</w:t>
      </w:r>
    </w:p>
    <w:p w:rsidR="009209F1" w:rsidRDefault="009209F1" w:rsidP="009209F1">
      <w:pPr>
        <w:tabs>
          <w:tab w:val="left" w:pos="1418"/>
          <w:tab w:val="left" w:pos="1843"/>
        </w:tabs>
        <w:spacing w:before="120" w:after="120"/>
        <w:ind w:left="1134" w:right="1134"/>
        <w:jc w:val="both"/>
        <w:rPr>
          <w:i/>
          <w:lang w:val="fr-FR"/>
        </w:rPr>
      </w:pPr>
      <w:r>
        <w:rPr>
          <w:lang w:val="fr-FR"/>
        </w:rPr>
        <w:t>«</w:t>
      </w:r>
      <w:r>
        <w:rPr>
          <w:b/>
          <w:i/>
          <w:lang w:val="fr-FR"/>
        </w:rPr>
        <w:t>NOTA 2:</w:t>
      </w:r>
      <w:r>
        <w:rPr>
          <w:i/>
          <w:lang w:val="fr-FR"/>
        </w:rPr>
        <w:tab/>
        <w:t>Pour les bouteilles et tubes en acier sans soudure, le contrôle du 6.2.1.6.1 b) et l’épreuve de pression hydraulique du 6.2.1.6.1 d) peuvent être remplacés par une procédure conforme à la norme EN ISO 16148</w:t>
      </w:r>
      <w:proofErr w:type="gramStart"/>
      <w:r>
        <w:rPr>
          <w:i/>
          <w:lang w:val="fr-FR"/>
        </w:rPr>
        <w:t>:[</w:t>
      </w:r>
      <w:proofErr w:type="gramEnd"/>
      <w:r>
        <w:rPr>
          <w:i/>
          <w:lang w:val="fr-FR"/>
        </w:rPr>
        <w:t>2016] « Bouteilles à gaz - Bouteilles à gaz rechargeables en acier sans soudure et tubes - Essais d’émission acoustique et examen ultrasonique complémentaire pour l’inspection périodique et l’essai».</w:t>
      </w:r>
    </w:p>
    <w:p w:rsidR="009209F1" w:rsidRDefault="009209F1" w:rsidP="009209F1">
      <w:pPr>
        <w:tabs>
          <w:tab w:val="left" w:pos="1418"/>
          <w:tab w:val="left" w:pos="1843"/>
        </w:tabs>
        <w:spacing w:before="120" w:after="120"/>
        <w:ind w:left="1134" w:right="1134"/>
        <w:jc w:val="both"/>
        <w:rPr>
          <w:i/>
          <w:lang w:val="fr-FR"/>
        </w:rPr>
      </w:pPr>
      <w:r>
        <w:rPr>
          <w:b/>
          <w:i/>
          <w:lang w:val="fr-FR"/>
        </w:rPr>
        <w:t>NOTA 3:</w:t>
      </w:r>
      <w:r>
        <w:rPr>
          <w:i/>
          <w:lang w:val="fr-FR"/>
        </w:rPr>
        <w:tab/>
        <w:t>Le contrôle du 6.2.1.6.1 b) et l’épreuve de pression hydraulique du 6.2.1.6.1 d) peuvent être remplacés par un examen ultrasonique réalisé conformément à la norme EN 1802:2002 pour les bouteilles à gaz sans soudure en alliages d’aluminium et à la norme EN 1968:2002 + A1:2005 pour les bouteilles à gaz sans soudure en acier.</w:t>
      </w:r>
      <w:r>
        <w:rPr>
          <w:lang w:val="fr-FR"/>
        </w:rPr>
        <w:t>».</w:t>
      </w:r>
      <w:r>
        <w:rPr>
          <w:i/>
          <w:lang w:val="fr-FR"/>
        </w:rPr>
        <w:t xml:space="preserve"> </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SingleTxtG"/>
        <w:tabs>
          <w:tab w:val="left" w:pos="1854"/>
        </w:tabs>
        <w:rPr>
          <w:lang w:val="fr-FR"/>
        </w:rPr>
      </w:pPr>
      <w:r>
        <w:rPr>
          <w:lang w:val="fr-FR"/>
        </w:rPr>
        <w:t>6.2.3.9.7.3 a)</w:t>
      </w:r>
      <w:r>
        <w:rPr>
          <w:lang w:val="fr-FR"/>
        </w:rPr>
        <w:tab/>
        <w:t>Remplacer «aux signes distinctifs utilisés pour les véhicules automobiles en circulation routière internationale</w:t>
      </w:r>
      <w:r>
        <w:rPr>
          <w:b/>
          <w:vertAlign w:val="superscript"/>
          <w:lang w:val="fr-FR"/>
        </w:rPr>
        <w:t>7/3</w:t>
      </w:r>
      <w:r>
        <w:rPr>
          <w:lang w:val="fr-FR"/>
        </w:rPr>
        <w:t>» par «au signe distinctif de l’Etat utilisé sur les véhicules en circulation routière internationale</w:t>
      </w:r>
      <w:r>
        <w:rPr>
          <w:b/>
          <w:vertAlign w:val="superscript"/>
          <w:lang w:val="fr-FR"/>
        </w:rPr>
        <w:t>7/3</w:t>
      </w:r>
      <w:r>
        <w:rPr>
          <w:lang w:val="fr-FR"/>
        </w:rPr>
        <w:t>»</w:t>
      </w:r>
    </w:p>
    <w:p w:rsidR="009209F1" w:rsidRDefault="009209F1" w:rsidP="009209F1">
      <w:pPr>
        <w:pStyle w:val="SingleTxtG"/>
        <w:tabs>
          <w:tab w:val="left" w:pos="1854"/>
        </w:tabs>
        <w:rPr>
          <w:lang w:val="fr-FR"/>
        </w:rPr>
      </w:pPr>
      <w:r>
        <w:rPr>
          <w:lang w:val="fr-FR"/>
        </w:rPr>
        <w:t>Modifier la note de bas de page 7/3 pour lire:</w:t>
      </w:r>
    </w:p>
    <w:p w:rsidR="009209F1" w:rsidRDefault="009209F1" w:rsidP="009209F1">
      <w:pPr>
        <w:pStyle w:val="SingleTxtG"/>
        <w:tabs>
          <w:tab w:val="left" w:pos="1854"/>
        </w:tabs>
        <w:rPr>
          <w:lang w:val="fr-FR"/>
        </w:rPr>
      </w:pPr>
      <w:r>
        <w:rPr>
          <w:lang w:val="fr-FR"/>
        </w:rPr>
        <w:t>«</w:t>
      </w:r>
      <w:r>
        <w:rPr>
          <w:b/>
          <w:vertAlign w:val="superscript"/>
          <w:lang w:val="fr-FR"/>
        </w:rPr>
        <w:t>7/3</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tabs>
          <w:tab w:val="left" w:pos="1418"/>
        </w:tabs>
        <w:spacing w:before="120" w:after="120"/>
        <w:ind w:left="1134" w:right="1134"/>
        <w:jc w:val="both"/>
        <w:rPr>
          <w:lang w:val="fr-FR"/>
        </w:rPr>
      </w:pPr>
      <w:r>
        <w:rPr>
          <w:lang w:val="fr-FR"/>
        </w:rPr>
        <w:t>6.2.4.1</w:t>
      </w:r>
      <w:r>
        <w:rPr>
          <w:lang w:val="fr-FR"/>
        </w:rPr>
        <w:tab/>
      </w:r>
      <w:r>
        <w:rPr>
          <w:lang w:val="fr-FR"/>
        </w:rPr>
        <w:tab/>
      </w:r>
      <w:r>
        <w:rPr>
          <w:rFonts w:cs="Arial"/>
          <w:szCs w:val="22"/>
          <w:lang w:val="fr-FR"/>
        </w:rPr>
        <w:t xml:space="preserve">Dans le </w:t>
      </w:r>
      <w:r>
        <w:rPr>
          <w:lang w:val="fr-FR"/>
        </w:rPr>
        <w:t>tableau</w:t>
      </w:r>
      <w:r>
        <w:rPr>
          <w:rFonts w:cs="Arial"/>
          <w:szCs w:val="22"/>
          <w:lang w:val="fr-FR"/>
        </w:rPr>
        <w:t>, sous «</w:t>
      </w:r>
      <w:r>
        <w:rPr>
          <w:rFonts w:cs="Arial"/>
          <w:i/>
          <w:szCs w:val="22"/>
          <w:lang w:val="fr-FR"/>
        </w:rPr>
        <w:t>Pour la conception et la fabrication</w:t>
      </w:r>
      <w:r>
        <w:rPr>
          <w:rFonts w:cs="Arial"/>
          <w:szCs w:val="22"/>
          <w:lang w:val="fr-FR"/>
        </w:rPr>
        <w:t>»:</w:t>
      </w:r>
    </w:p>
    <w:p w:rsidR="009209F1" w:rsidRDefault="009209F1" w:rsidP="009209F1">
      <w:pPr>
        <w:widowControl w:val="0"/>
        <w:tabs>
          <w:tab w:val="left" w:pos="1418"/>
        </w:tabs>
        <w:spacing w:before="120" w:after="120"/>
        <w:ind w:left="1134" w:right="1134"/>
        <w:jc w:val="both"/>
        <w:rPr>
          <w:rFonts w:cs="Arial"/>
          <w:szCs w:val="22"/>
          <w:lang w:val="fr-FR"/>
        </w:rPr>
      </w:pPr>
      <w:r>
        <w:rPr>
          <w:rFonts w:cs="Arial"/>
          <w:szCs w:val="22"/>
          <w:lang w:val="fr-FR"/>
        </w:rPr>
        <w:t>–</w:t>
      </w:r>
      <w:r>
        <w:rPr>
          <w:rFonts w:cs="Arial"/>
          <w:szCs w:val="22"/>
          <w:lang w:val="fr-FR"/>
        </w:rPr>
        <w:tab/>
        <w:t>Pour la norme «EN 12205:2001», dans la colonne (4), remplacer «Jusqu’à nouvel ordre» par «Entre le 1er janvier 2005 et le 31 décembre 2017».</w:t>
      </w:r>
    </w:p>
    <w:p w:rsidR="009209F1" w:rsidRDefault="009209F1" w:rsidP="009209F1">
      <w:pPr>
        <w:widowControl w:val="0"/>
        <w:tabs>
          <w:tab w:val="left" w:pos="1418"/>
        </w:tabs>
        <w:spacing w:before="120" w:after="120"/>
        <w:ind w:left="1134" w:right="1134"/>
        <w:jc w:val="both"/>
        <w:rPr>
          <w:rFonts w:cs="Arial"/>
          <w:szCs w:val="22"/>
          <w:lang w:val="fr-FR"/>
        </w:rPr>
      </w:pPr>
      <w:r>
        <w:rPr>
          <w:rFonts w:cs="Arial"/>
          <w:szCs w:val="22"/>
          <w:lang w:val="fr-FR"/>
        </w:rPr>
        <w:t>–</w:t>
      </w:r>
      <w:r>
        <w:rPr>
          <w:rFonts w:cs="Arial"/>
          <w:szCs w:val="22"/>
          <w:lang w:val="fr-FR"/>
        </w:rPr>
        <w:tab/>
        <w:t>Pour la norme «EN 12205:2001», dans la colonne (5), insérer: «31 décembre 2018».</w:t>
      </w:r>
    </w:p>
    <w:p w:rsidR="009209F1" w:rsidRDefault="009209F1" w:rsidP="009209F1">
      <w:pPr>
        <w:widowControl w:val="0"/>
        <w:tabs>
          <w:tab w:val="left" w:pos="1418"/>
        </w:tabs>
        <w:spacing w:before="120" w:after="120"/>
        <w:ind w:left="1134" w:right="1134"/>
        <w:jc w:val="both"/>
        <w:rPr>
          <w:rFonts w:cs="Arial"/>
          <w:szCs w:val="22"/>
          <w:lang w:val="fr-FR"/>
        </w:rPr>
      </w:pPr>
      <w:r>
        <w:rPr>
          <w:rFonts w:cs="Arial"/>
          <w:szCs w:val="22"/>
          <w:lang w:val="fr-FR"/>
        </w:rPr>
        <w:lastRenderedPageBreak/>
        <w:t>–</w:t>
      </w:r>
      <w:r>
        <w:rPr>
          <w:rFonts w:cs="Arial"/>
          <w:szCs w:val="22"/>
          <w:lang w:val="fr-FR"/>
        </w:rPr>
        <w:tab/>
      </w:r>
      <w:r>
        <w:rPr>
          <w:bCs/>
          <w:lang w:val="fr-FR"/>
        </w:rPr>
        <w:t>Après la norme «</w:t>
      </w:r>
      <w:r>
        <w:rPr>
          <w:rFonts w:cs="Arial"/>
          <w:szCs w:val="22"/>
          <w:lang w:val="fr-FR"/>
        </w:rPr>
        <w:t>EN 12205:2001</w:t>
      </w:r>
      <w:r>
        <w:rPr>
          <w:bCs/>
          <w:lang w:val="fr-FR"/>
        </w:rPr>
        <w:t>», insérer la nouvelle norme suivante:</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544"/>
        <w:gridCol w:w="1437"/>
        <w:gridCol w:w="956"/>
        <w:gridCol w:w="664"/>
      </w:tblGrid>
      <w:tr w:rsidR="009209F1" w:rsidTr="009209F1">
        <w:trPr>
          <w:cantSplit/>
        </w:trPr>
        <w:tc>
          <w:tcPr>
            <w:tcW w:w="1679"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lang w:val="fr-FR"/>
              </w:rPr>
            </w:pPr>
            <w:r>
              <w:rPr>
                <w:rFonts w:cs="Arial"/>
                <w:lang w:val="fr-FR"/>
              </w:rPr>
              <w:t>EN ISO 11118:2015</w:t>
            </w:r>
          </w:p>
        </w:tc>
        <w:tc>
          <w:tcPr>
            <w:tcW w:w="3544"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lang w:val="fr-FR"/>
              </w:rPr>
            </w:pPr>
            <w:r>
              <w:rPr>
                <w:rFonts w:cs="Arial"/>
                <w:bCs/>
                <w:lang w:val="fr-FR"/>
              </w:rPr>
              <w:t>Bouteilles à gaz - Bouteilles à gaz métalliques non rechargeables - Spécifications et méthodes d'essai</w:t>
            </w:r>
          </w:p>
        </w:tc>
        <w:tc>
          <w:tcPr>
            <w:tcW w:w="1437"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lang w:val="fr-FR"/>
              </w:rPr>
            </w:pPr>
            <w:r>
              <w:rPr>
                <w:rFonts w:cs="Arial"/>
                <w:lang w:val="fr-FR"/>
              </w:rPr>
              <w:t>6.2.3.1, 6.2.3.3 et 6.2.3.4</w:t>
            </w:r>
          </w:p>
        </w:tc>
        <w:tc>
          <w:tcPr>
            <w:tcW w:w="956"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lang w:val="fr-FR"/>
              </w:rPr>
            </w:pPr>
            <w:r>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9209F1" w:rsidRDefault="009209F1">
            <w:pPr>
              <w:widowControl w:val="0"/>
              <w:rPr>
                <w:rFonts w:cs="Arial"/>
                <w:sz w:val="18"/>
                <w:szCs w:val="18"/>
                <w:lang w:val="fr-FR"/>
              </w:rPr>
            </w:pPr>
          </w:p>
        </w:tc>
      </w:tr>
    </w:tbl>
    <w:p w:rsidR="009209F1" w:rsidRDefault="009209F1" w:rsidP="009209F1">
      <w:pPr>
        <w:widowControl w:val="0"/>
        <w:spacing w:before="120" w:after="120"/>
        <w:ind w:left="1134" w:right="1134"/>
        <w:jc w:val="both"/>
        <w:rPr>
          <w:rFonts w:cs="Arial"/>
          <w:szCs w:val="22"/>
          <w:lang w:val="fr-FR"/>
        </w:rPr>
      </w:pPr>
      <w:r>
        <w:rPr>
          <w:rFonts w:cs="Arial"/>
          <w:szCs w:val="22"/>
          <w:lang w:val="fr-FR"/>
        </w:rPr>
        <w:t xml:space="preserve">Dans le </w:t>
      </w:r>
      <w:r>
        <w:rPr>
          <w:lang w:val="fr-FR"/>
        </w:rPr>
        <w:t>tableau</w:t>
      </w:r>
      <w:r>
        <w:rPr>
          <w:rFonts w:cs="Arial"/>
          <w:szCs w:val="22"/>
          <w:lang w:val="fr-FR"/>
        </w:rPr>
        <w:t>, sous «</w:t>
      </w:r>
      <w:r>
        <w:rPr>
          <w:rFonts w:cs="Arial"/>
          <w:i/>
          <w:szCs w:val="22"/>
          <w:lang w:val="fr-FR"/>
        </w:rPr>
        <w:t>pour les fermetures</w:t>
      </w:r>
      <w:r>
        <w:rPr>
          <w:rFonts w:cs="Arial"/>
          <w:szCs w:val="22"/>
          <w:lang w:val="fr-FR"/>
        </w:rPr>
        <w:t>»:</w:t>
      </w:r>
    </w:p>
    <w:p w:rsidR="009209F1" w:rsidRDefault="009209F1" w:rsidP="009209F1">
      <w:pPr>
        <w:widowControl w:val="0"/>
        <w:spacing w:before="120" w:after="120"/>
        <w:ind w:left="1134" w:right="1134"/>
        <w:jc w:val="both"/>
        <w:rPr>
          <w:rFonts w:cs="Arial"/>
          <w:szCs w:val="22"/>
          <w:lang w:val="fr-FR"/>
        </w:rPr>
      </w:pPr>
      <w:r>
        <w:rPr>
          <w:rFonts w:cs="Arial"/>
          <w:szCs w:val="22"/>
          <w:lang w:val="fr-FR"/>
        </w:rPr>
        <w:t>–</w:t>
      </w:r>
      <w:r>
        <w:rPr>
          <w:rFonts w:cs="Arial"/>
          <w:szCs w:val="22"/>
          <w:lang w:val="fr-FR"/>
        </w:rPr>
        <w:tab/>
      </w:r>
      <w:r>
        <w:rPr>
          <w:lang w:val="fr-FR"/>
        </w:rPr>
        <w:t>Pour</w:t>
      </w:r>
      <w:r>
        <w:rPr>
          <w:bCs/>
          <w:lang w:val="fr-FR"/>
        </w:rPr>
        <w:t xml:space="preserve"> la norme «</w:t>
      </w:r>
      <w:r>
        <w:rPr>
          <w:rFonts w:cs="Arial"/>
          <w:szCs w:val="22"/>
          <w:lang w:val="fr-FR"/>
        </w:rPr>
        <w:t>EN ISO 13340:2001</w:t>
      </w:r>
      <w:r>
        <w:rPr>
          <w:bCs/>
          <w:lang w:val="fr-FR"/>
        </w:rPr>
        <w:t xml:space="preserve">», dans la colonne (4), remplacer «Jusqu’à nouvel ordre» par </w:t>
      </w:r>
      <w:r>
        <w:rPr>
          <w:rFonts w:cs="Arial"/>
          <w:szCs w:val="22"/>
          <w:lang w:val="fr-FR"/>
        </w:rPr>
        <w:t>«Entre le 1</w:t>
      </w:r>
      <w:r>
        <w:rPr>
          <w:rFonts w:cs="Arial"/>
          <w:szCs w:val="22"/>
          <w:vertAlign w:val="superscript"/>
          <w:lang w:val="fr-FR"/>
        </w:rPr>
        <w:t>er</w:t>
      </w:r>
      <w:r>
        <w:rPr>
          <w:rFonts w:cs="Arial"/>
          <w:szCs w:val="22"/>
          <w:lang w:val="fr-FR"/>
        </w:rPr>
        <w:t> janvier 2011 et le 31 décembre 2017».</w:t>
      </w:r>
    </w:p>
    <w:p w:rsidR="009209F1" w:rsidRDefault="009209F1" w:rsidP="009209F1">
      <w:pPr>
        <w:widowControl w:val="0"/>
        <w:spacing w:before="120" w:after="120"/>
        <w:ind w:left="1134" w:right="1134"/>
        <w:jc w:val="both"/>
        <w:rPr>
          <w:rFonts w:cs="Arial"/>
          <w:szCs w:val="22"/>
          <w:lang w:val="fr-FR"/>
        </w:rPr>
      </w:pPr>
      <w:r>
        <w:rPr>
          <w:rFonts w:cs="Arial"/>
          <w:szCs w:val="22"/>
          <w:lang w:val="fr-FR"/>
        </w:rPr>
        <w:t>–</w:t>
      </w:r>
      <w:r>
        <w:rPr>
          <w:rFonts w:cs="Arial"/>
          <w:szCs w:val="22"/>
          <w:lang w:val="fr-FR"/>
        </w:rPr>
        <w:tab/>
      </w:r>
      <w:r>
        <w:rPr>
          <w:lang w:val="fr-FR"/>
        </w:rPr>
        <w:t>Pour</w:t>
      </w:r>
      <w:r>
        <w:rPr>
          <w:bCs/>
          <w:lang w:val="fr-FR"/>
        </w:rPr>
        <w:t xml:space="preserve"> la norme «</w:t>
      </w:r>
      <w:r>
        <w:rPr>
          <w:rFonts w:cs="Arial"/>
          <w:szCs w:val="22"/>
          <w:lang w:val="fr-FR"/>
        </w:rPr>
        <w:t>EN ISO 13340:2001</w:t>
      </w:r>
      <w:r>
        <w:rPr>
          <w:bCs/>
          <w:lang w:val="fr-FR"/>
        </w:rPr>
        <w:t xml:space="preserve">», dans la colonne (5), insérer: </w:t>
      </w:r>
      <w:r>
        <w:rPr>
          <w:rFonts w:cs="Arial"/>
          <w:szCs w:val="22"/>
          <w:lang w:val="fr-FR"/>
        </w:rPr>
        <w:t>«31 décembre 2018».</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spacing w:before="120" w:after="120" w:line="240" w:lineRule="auto"/>
        <w:ind w:left="709" w:right="1134"/>
        <w:jc w:val="both"/>
        <w:rPr>
          <w:lang w:val="fr-FR"/>
        </w:rPr>
      </w:pPr>
      <w:r>
        <w:rPr>
          <w:rFonts w:cs="Arial"/>
          <w:szCs w:val="22"/>
          <w:lang w:val="fr-FR"/>
        </w:rPr>
        <w:t>6.2.4.2</w:t>
      </w:r>
      <w:r>
        <w:rPr>
          <w:rFonts w:cs="Arial"/>
          <w:szCs w:val="22"/>
          <w:lang w:val="fr-FR"/>
        </w:rPr>
        <w:tab/>
      </w:r>
      <w:r>
        <w:rPr>
          <w:lang w:val="fr-FR"/>
        </w:rPr>
        <w:t>Dans le tableau:</w:t>
      </w:r>
    </w:p>
    <w:p w:rsidR="009209F1" w:rsidRDefault="009209F1" w:rsidP="009209F1">
      <w:pPr>
        <w:widowControl w:val="0"/>
        <w:spacing w:before="120" w:after="120"/>
        <w:ind w:left="1134" w:right="1134" w:hanging="425"/>
        <w:jc w:val="both"/>
        <w:rPr>
          <w:rFonts w:cs="Arial"/>
          <w:szCs w:val="22"/>
          <w:lang w:val="fr-FR"/>
        </w:rPr>
      </w:pPr>
      <w:r>
        <w:rPr>
          <w:rFonts w:cs="Arial"/>
          <w:szCs w:val="22"/>
          <w:lang w:val="fr-FR"/>
        </w:rPr>
        <w:t>–</w:t>
      </w:r>
      <w:r>
        <w:rPr>
          <w:rFonts w:cs="Arial"/>
          <w:szCs w:val="22"/>
          <w:lang w:val="fr-FR"/>
        </w:rPr>
        <w:tab/>
      </w:r>
      <w:r>
        <w:rPr>
          <w:lang w:val="fr-FR"/>
        </w:rPr>
        <w:t>Supprimer la ligne pour</w:t>
      </w:r>
      <w:r>
        <w:rPr>
          <w:bCs/>
          <w:lang w:val="fr-FR"/>
        </w:rPr>
        <w:t xml:space="preserve"> la norme «EN 12863:2002 + A1:2005».</w:t>
      </w:r>
    </w:p>
    <w:p w:rsidR="009209F1" w:rsidRDefault="009209F1" w:rsidP="009209F1">
      <w:pPr>
        <w:widowControl w:val="0"/>
        <w:spacing w:before="120" w:after="120"/>
        <w:ind w:left="1134" w:right="1134" w:hanging="425"/>
        <w:jc w:val="both"/>
        <w:rPr>
          <w:rFonts w:cs="Arial"/>
          <w:szCs w:val="22"/>
          <w:lang w:val="fr-FR"/>
        </w:rPr>
      </w:pPr>
      <w:r>
        <w:rPr>
          <w:rFonts w:cs="Arial"/>
          <w:szCs w:val="22"/>
          <w:lang w:val="fr-FR"/>
        </w:rPr>
        <w:t>–</w:t>
      </w:r>
      <w:r>
        <w:rPr>
          <w:rFonts w:cs="Arial"/>
          <w:szCs w:val="22"/>
          <w:lang w:val="fr-FR"/>
        </w:rPr>
        <w:tab/>
        <w:t>Pour la norme «EN ISO 10462:2013», dans la dernière colonne, remplacer «Obligatoirement à partir du 1er janvier 2017» par «Jusqu’à nouvel ordre».</w:t>
      </w:r>
    </w:p>
    <w:p w:rsidR="009209F1" w:rsidRDefault="009209F1" w:rsidP="009209F1">
      <w:pPr>
        <w:widowControl w:val="0"/>
        <w:spacing w:before="120" w:after="120"/>
        <w:ind w:left="1134" w:right="1134" w:hanging="425"/>
        <w:jc w:val="both"/>
        <w:rPr>
          <w:rFonts w:cs="Arial"/>
          <w:szCs w:val="22"/>
          <w:lang w:val="fr-FR"/>
        </w:rPr>
      </w:pPr>
      <w:r>
        <w:rPr>
          <w:rFonts w:cs="Arial"/>
          <w:szCs w:val="22"/>
          <w:lang w:val="fr-FR"/>
        </w:rPr>
        <w:t>–</w:t>
      </w:r>
      <w:r>
        <w:rPr>
          <w:rFonts w:cs="Arial"/>
          <w:szCs w:val="22"/>
          <w:lang w:val="fr-FR"/>
        </w:rPr>
        <w:tab/>
        <w:t>Pour la norme «EN ISO 11623:2002 (sauf article 4)», dans la dernière colonne, remplacer «Jusqu’à nouvel ordre» par «Jusqu’au 31 décembre 2018».</w:t>
      </w:r>
    </w:p>
    <w:p w:rsidR="009209F1" w:rsidRDefault="009209F1" w:rsidP="009209F1">
      <w:pPr>
        <w:widowControl w:val="0"/>
        <w:spacing w:before="120" w:after="120"/>
        <w:ind w:left="1134" w:right="1134" w:hanging="425"/>
        <w:jc w:val="both"/>
        <w:rPr>
          <w:rFonts w:cs="Arial"/>
          <w:szCs w:val="22"/>
          <w:lang w:val="fr-FR"/>
        </w:rPr>
      </w:pPr>
      <w:r>
        <w:rPr>
          <w:rFonts w:cs="Arial"/>
          <w:szCs w:val="22"/>
          <w:lang w:val="fr-FR"/>
        </w:rPr>
        <w:t>–</w:t>
      </w:r>
      <w:r>
        <w:rPr>
          <w:rFonts w:cs="Arial"/>
          <w:szCs w:val="22"/>
          <w:lang w:val="fr-FR"/>
        </w:rPr>
        <w:tab/>
        <w:t>Après la norme «EN ISO 11623:2002 (sauf article 4)», insérer la nouvelle norme suivante:</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370"/>
        <w:gridCol w:w="1530"/>
      </w:tblGrid>
      <w:tr w:rsidR="009209F1" w:rsidTr="009209F1">
        <w:tc>
          <w:tcPr>
            <w:tcW w:w="1440"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lang w:val="fr-FR"/>
              </w:rPr>
            </w:pPr>
            <w:r>
              <w:rPr>
                <w:rFonts w:cs="Arial"/>
                <w:szCs w:val="22"/>
                <w:lang w:val="fr-FR"/>
              </w:rPr>
              <w:t>EN ISO</w:t>
            </w:r>
            <w:r>
              <w:rPr>
                <w:rFonts w:cs="Arial"/>
                <w:szCs w:val="22"/>
                <w:lang w:val="fr-FR"/>
              </w:rPr>
              <w:br/>
              <w:t>11623:2015</w:t>
            </w:r>
          </w:p>
        </w:tc>
        <w:tc>
          <w:tcPr>
            <w:tcW w:w="5371"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highlight w:val="yellow"/>
                <w:lang w:val="fr-FR"/>
              </w:rPr>
            </w:pPr>
            <w:r>
              <w:rPr>
                <w:rFonts w:cs="Arial"/>
                <w:lang w:val="fr-FR"/>
              </w:rPr>
              <w:t>Bouteilles à gaz - Construction composite - Contrôles et essais périodiques</w:t>
            </w:r>
          </w:p>
        </w:tc>
        <w:tc>
          <w:tcPr>
            <w:tcW w:w="1530"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jc w:val="center"/>
              <w:rPr>
                <w:rFonts w:cs="Arial"/>
                <w:lang w:val="fr-FR"/>
              </w:rPr>
            </w:pPr>
            <w:r>
              <w:rPr>
                <w:rFonts w:cs="Arial"/>
                <w:lang w:val="fr-FR"/>
              </w:rPr>
              <w:t>Obligatoirement</w:t>
            </w:r>
          </w:p>
          <w:p w:rsidR="009209F1" w:rsidRDefault="009209F1">
            <w:pPr>
              <w:widowControl w:val="0"/>
              <w:jc w:val="center"/>
              <w:rPr>
                <w:rFonts w:cs="Arial"/>
                <w:lang w:val="fr-FR"/>
              </w:rPr>
            </w:pPr>
            <w:r>
              <w:rPr>
                <w:rFonts w:cs="Arial"/>
                <w:lang w:val="fr-FR"/>
              </w:rPr>
              <w:t>à partir du</w:t>
            </w:r>
          </w:p>
          <w:p w:rsidR="009209F1" w:rsidRDefault="009209F1">
            <w:pPr>
              <w:widowControl w:val="0"/>
              <w:jc w:val="center"/>
              <w:rPr>
                <w:rFonts w:cs="Arial"/>
                <w:lang w:val="fr-FR"/>
              </w:rPr>
            </w:pPr>
            <w:r>
              <w:rPr>
                <w:rFonts w:cs="Arial"/>
                <w:lang w:val="fr-FR"/>
              </w:rPr>
              <w:t>1</w:t>
            </w:r>
            <w:r>
              <w:rPr>
                <w:rFonts w:cs="Arial"/>
                <w:vertAlign w:val="superscript"/>
                <w:lang w:val="fr-FR"/>
              </w:rPr>
              <w:t>er</w:t>
            </w:r>
            <w:r>
              <w:rPr>
                <w:rFonts w:cs="Arial"/>
                <w:lang w:val="fr-FR"/>
              </w:rPr>
              <w:t xml:space="preserve"> janvier 2019</w:t>
            </w:r>
          </w:p>
        </w:tc>
      </w:tr>
    </w:tbl>
    <w:p w:rsidR="009209F1" w:rsidRDefault="009209F1" w:rsidP="009209F1">
      <w:pPr>
        <w:widowControl w:val="0"/>
        <w:spacing w:before="120" w:after="120"/>
        <w:ind w:left="1134" w:right="1134"/>
        <w:rPr>
          <w:rFonts w:cs="Arial"/>
          <w:szCs w:val="22"/>
          <w:lang w:val="fr-FR"/>
        </w:rPr>
      </w:pPr>
      <w:r>
        <w:rPr>
          <w:rFonts w:cs="Arial"/>
          <w:szCs w:val="22"/>
          <w:lang w:val="fr-FR"/>
        </w:rPr>
        <w:t>–</w:t>
      </w:r>
      <w:r>
        <w:rPr>
          <w:rFonts w:cs="Arial"/>
          <w:szCs w:val="22"/>
          <w:lang w:val="fr-FR"/>
        </w:rPr>
        <w:tab/>
        <w:t>Pour la norme «EN 1440:2008 + A1:2012 (sauf annexes G et H)», dans la dernière colonne, remplacer «Jusqu’à nouvel ordre» par «Jusqu’au 31 décembre 2018».</w:t>
      </w:r>
    </w:p>
    <w:p w:rsidR="009209F1" w:rsidRDefault="009209F1" w:rsidP="009209F1">
      <w:pPr>
        <w:widowControl w:val="0"/>
        <w:spacing w:before="120" w:after="120"/>
        <w:ind w:left="1134" w:right="1134"/>
        <w:rPr>
          <w:rFonts w:cs="Arial"/>
          <w:bCs/>
          <w:szCs w:val="22"/>
          <w:lang w:val="fr-FR"/>
        </w:rPr>
      </w:pPr>
      <w:r>
        <w:rPr>
          <w:rFonts w:cs="Arial"/>
          <w:szCs w:val="22"/>
          <w:lang w:val="fr-FR"/>
        </w:rPr>
        <w:t>–</w:t>
      </w:r>
      <w:r>
        <w:rPr>
          <w:rFonts w:cs="Arial"/>
          <w:szCs w:val="22"/>
          <w:lang w:val="fr-FR"/>
        </w:rPr>
        <w:tab/>
        <w:t>Après la norme «EN 1440:2008 + A1:2012 (sauf annexes G et H)», insérer les nouvelles normes suivantes:</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
        <w:gridCol w:w="5244"/>
        <w:gridCol w:w="1530"/>
      </w:tblGrid>
      <w:tr w:rsidR="009209F1" w:rsidTr="009209F1">
        <w:tc>
          <w:tcPr>
            <w:tcW w:w="1566"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lang w:val="fr-FR"/>
              </w:rPr>
            </w:pPr>
            <w:r>
              <w:rPr>
                <w:rFonts w:cs="Arial"/>
                <w:szCs w:val="22"/>
                <w:lang w:val="fr-FR"/>
              </w:rPr>
              <w:t>EN 1440:2016 (sauf annexe C)</w:t>
            </w:r>
          </w:p>
        </w:tc>
        <w:tc>
          <w:tcPr>
            <w:tcW w:w="5245"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lang w:val="fr-FR"/>
              </w:rPr>
            </w:pPr>
            <w:r>
              <w:rPr>
                <w:rFonts w:cs="Arial"/>
                <w:bCs/>
                <w:szCs w:val="18"/>
                <w:lang w:val="fr-FR"/>
              </w:rPr>
              <w:t>Équipement pour GPL et leurs accessoires - Bouteilles transportables et rechargeables pour GPL en acier soudé et brasé - Contrôle périodique</w:t>
            </w:r>
          </w:p>
        </w:tc>
        <w:tc>
          <w:tcPr>
            <w:tcW w:w="1530"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jc w:val="center"/>
              <w:rPr>
                <w:rFonts w:cs="Arial"/>
                <w:lang w:val="fr-FR"/>
              </w:rPr>
            </w:pPr>
            <w:r>
              <w:rPr>
                <w:rFonts w:cs="Arial"/>
                <w:lang w:val="fr-FR"/>
              </w:rPr>
              <w:t>Obligatoirement</w:t>
            </w:r>
          </w:p>
          <w:p w:rsidR="009209F1" w:rsidRDefault="009209F1">
            <w:pPr>
              <w:widowControl w:val="0"/>
              <w:jc w:val="center"/>
              <w:rPr>
                <w:rFonts w:cs="Arial"/>
                <w:lang w:val="fr-FR"/>
              </w:rPr>
            </w:pPr>
            <w:r>
              <w:rPr>
                <w:rFonts w:cs="Arial"/>
                <w:lang w:val="fr-FR"/>
              </w:rPr>
              <w:t>à partir du</w:t>
            </w:r>
          </w:p>
          <w:p w:rsidR="009209F1" w:rsidRDefault="009209F1">
            <w:pPr>
              <w:widowControl w:val="0"/>
              <w:jc w:val="center"/>
              <w:rPr>
                <w:rFonts w:cs="Arial"/>
                <w:lang w:val="fr-FR"/>
              </w:rPr>
            </w:pPr>
            <w:r>
              <w:rPr>
                <w:rFonts w:cs="Arial"/>
                <w:lang w:val="fr-FR"/>
              </w:rPr>
              <w:t>1</w:t>
            </w:r>
            <w:r>
              <w:rPr>
                <w:rFonts w:cs="Arial"/>
                <w:vertAlign w:val="superscript"/>
                <w:lang w:val="fr-FR"/>
              </w:rPr>
              <w:t>er</w:t>
            </w:r>
            <w:r>
              <w:rPr>
                <w:rFonts w:cs="Arial"/>
                <w:lang w:val="fr-FR"/>
              </w:rPr>
              <w:t xml:space="preserve"> janvier 2019</w:t>
            </w:r>
          </w:p>
        </w:tc>
      </w:tr>
      <w:tr w:rsidR="009209F1" w:rsidTr="009209F1">
        <w:tc>
          <w:tcPr>
            <w:tcW w:w="1566"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lang w:val="fr-FR"/>
              </w:rPr>
            </w:pPr>
            <w:r>
              <w:rPr>
                <w:rFonts w:cs="Arial"/>
                <w:lang w:val="fr-FR"/>
              </w:rPr>
              <w:t>EN 16728:2016 (sauf article 3.5, annexe F et annexe G)</w:t>
            </w:r>
          </w:p>
        </w:tc>
        <w:tc>
          <w:tcPr>
            <w:tcW w:w="5245"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rPr>
                <w:rFonts w:cs="Arial"/>
                <w:lang w:val="fr-FR"/>
              </w:rPr>
            </w:pPr>
            <w:r>
              <w:rPr>
                <w:rFonts w:cs="Arial"/>
                <w:bCs/>
                <w:szCs w:val="18"/>
                <w:lang w:val="fr-FR"/>
              </w:rPr>
              <w:t>Équipement pour GPL et leurs accessoires - Bouteilles transportables et rechargeables pour GPL autres que celles en acier soudé et brasé - Contrôle périodique</w:t>
            </w:r>
          </w:p>
        </w:tc>
        <w:tc>
          <w:tcPr>
            <w:tcW w:w="1530" w:type="dxa"/>
            <w:tcBorders>
              <w:top w:val="single" w:sz="4" w:space="0" w:color="auto"/>
              <w:left w:val="single" w:sz="4" w:space="0" w:color="auto"/>
              <w:bottom w:val="single" w:sz="4" w:space="0" w:color="auto"/>
              <w:right w:val="single" w:sz="4" w:space="0" w:color="auto"/>
            </w:tcBorders>
            <w:hideMark/>
          </w:tcPr>
          <w:p w:rsidR="009209F1" w:rsidRDefault="009209F1">
            <w:pPr>
              <w:widowControl w:val="0"/>
              <w:jc w:val="center"/>
              <w:rPr>
                <w:rFonts w:cs="Arial"/>
                <w:lang w:val="fr-FR"/>
              </w:rPr>
            </w:pPr>
            <w:r>
              <w:rPr>
                <w:rFonts w:cs="Arial"/>
                <w:lang w:val="fr-FR"/>
              </w:rPr>
              <w:t>Obligatoirement</w:t>
            </w:r>
          </w:p>
          <w:p w:rsidR="009209F1" w:rsidRDefault="009209F1">
            <w:pPr>
              <w:widowControl w:val="0"/>
              <w:jc w:val="center"/>
              <w:rPr>
                <w:rFonts w:cs="Arial"/>
                <w:lang w:val="fr-FR"/>
              </w:rPr>
            </w:pPr>
            <w:r>
              <w:rPr>
                <w:rFonts w:cs="Arial"/>
                <w:lang w:val="fr-FR"/>
              </w:rPr>
              <w:t>à partir du</w:t>
            </w:r>
          </w:p>
          <w:p w:rsidR="009209F1" w:rsidRDefault="009209F1">
            <w:pPr>
              <w:widowControl w:val="0"/>
              <w:jc w:val="center"/>
              <w:rPr>
                <w:rFonts w:cs="Arial"/>
                <w:lang w:val="fr-FR"/>
              </w:rPr>
            </w:pPr>
            <w:r>
              <w:rPr>
                <w:rFonts w:cs="Arial"/>
                <w:lang w:val="fr-FR"/>
              </w:rPr>
              <w:t>1</w:t>
            </w:r>
            <w:r>
              <w:rPr>
                <w:rFonts w:cs="Arial"/>
                <w:vertAlign w:val="superscript"/>
                <w:lang w:val="fr-FR"/>
              </w:rPr>
              <w:t>er</w:t>
            </w:r>
            <w:r>
              <w:rPr>
                <w:rFonts w:cs="Arial"/>
                <w:lang w:val="fr-FR"/>
              </w:rPr>
              <w:t xml:space="preserve"> janvier 2019</w:t>
            </w:r>
          </w:p>
        </w:tc>
      </w:tr>
    </w:tbl>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H1G"/>
        <w:rPr>
          <w:sz w:val="20"/>
          <w:lang w:val="fr-FR"/>
        </w:rPr>
      </w:pPr>
      <w:r>
        <w:rPr>
          <w:sz w:val="20"/>
          <w:lang w:val="fr-FR"/>
        </w:rPr>
        <w:tab/>
      </w:r>
      <w:r>
        <w:rPr>
          <w:sz w:val="20"/>
          <w:lang w:val="fr-FR"/>
        </w:rPr>
        <w:tab/>
        <w:t>Chapitre 6.3</w:t>
      </w:r>
    </w:p>
    <w:p w:rsidR="009209F1" w:rsidRDefault="009209F1" w:rsidP="009209F1">
      <w:pPr>
        <w:pStyle w:val="SingleTxtG"/>
        <w:rPr>
          <w:lang w:val="fr-FR"/>
        </w:rPr>
      </w:pPr>
      <w:r>
        <w:rPr>
          <w:lang w:val="fr-FR"/>
        </w:rPr>
        <w:t>6.3.1.1</w:t>
      </w:r>
      <w:r>
        <w:rPr>
          <w:lang w:val="fr-FR"/>
        </w:rPr>
        <w:tab/>
      </w:r>
      <w:r>
        <w:rPr>
          <w:lang w:val="fr-FR"/>
        </w:rPr>
        <w:tab/>
        <w:t>Remplacer «Le présent chapitre» par «Les prescriptions du présent chapitre».</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SingleTxtG"/>
        <w:tabs>
          <w:tab w:val="left" w:pos="1854"/>
        </w:tabs>
        <w:rPr>
          <w:lang w:val="fr-FR"/>
        </w:rPr>
      </w:pPr>
      <w:r>
        <w:rPr>
          <w:lang w:val="fr-FR"/>
        </w:rPr>
        <w:t>6.3.4.2 e)</w:t>
      </w:r>
      <w:r>
        <w:rPr>
          <w:lang w:val="fr-FR"/>
        </w:rPr>
        <w:tab/>
        <w:t>Remplacer «le signe distinctif prévu pour les automobiles dans le trafic international</w:t>
      </w:r>
      <w:r>
        <w:rPr>
          <w:b/>
          <w:vertAlign w:val="superscript"/>
          <w:lang w:val="fr-FR"/>
        </w:rPr>
        <w:t>2</w:t>
      </w:r>
      <w:r>
        <w:rPr>
          <w:lang w:val="fr-FR"/>
        </w:rPr>
        <w:t>» par «le signe distinctif utilisé sur les véhicules en circulation routière internationale</w:t>
      </w:r>
      <w:r>
        <w:rPr>
          <w:b/>
          <w:vertAlign w:val="superscript"/>
          <w:lang w:val="fr-FR"/>
        </w:rPr>
        <w:t>2</w:t>
      </w:r>
      <w:r>
        <w:rPr>
          <w:lang w:val="fr-FR"/>
        </w:rPr>
        <w:t>».</w:t>
      </w:r>
    </w:p>
    <w:p w:rsidR="009209F1" w:rsidRDefault="009209F1" w:rsidP="009209F1">
      <w:pPr>
        <w:pStyle w:val="SingleTxtG"/>
        <w:tabs>
          <w:tab w:val="left" w:pos="1854"/>
        </w:tabs>
        <w:rPr>
          <w:lang w:val="fr-FR"/>
        </w:rPr>
      </w:pPr>
      <w:r>
        <w:rPr>
          <w:lang w:val="fr-FR"/>
        </w:rPr>
        <w:t>Modifier la note de bas de page 2 pour lire:</w:t>
      </w:r>
    </w:p>
    <w:p w:rsidR="009209F1" w:rsidRDefault="009209F1" w:rsidP="009209F1">
      <w:pPr>
        <w:pStyle w:val="SingleTxtG"/>
        <w:tabs>
          <w:tab w:val="left" w:pos="1854"/>
        </w:tabs>
        <w:rPr>
          <w:lang w:val="fr-FR"/>
        </w:rPr>
      </w:pPr>
      <w:r>
        <w:rPr>
          <w:lang w:val="fr-FR"/>
        </w:rPr>
        <w:t>«</w:t>
      </w:r>
      <w:r>
        <w:rPr>
          <w:b/>
          <w:vertAlign w:val="superscript"/>
          <w:lang w:val="fr-FR"/>
        </w:rPr>
        <w:t>2</w:t>
      </w:r>
      <w:r>
        <w:rPr>
          <w:lang w:val="fr-FR"/>
        </w:rPr>
        <w:tab/>
      </w:r>
      <w:r>
        <w:rPr>
          <w:i/>
          <w:lang w:val="fr-FR"/>
        </w:rPr>
        <w:t xml:space="preserve">Signe distinctif de l’Etat d’immatriculation utilisé sur les automobiles et les remorques en circulation routière internationale, par exemple en vertu de la Convention de </w:t>
      </w:r>
      <w:r>
        <w:rPr>
          <w:i/>
          <w:lang w:val="fr-FR"/>
        </w:rPr>
        <w:lastRenderedPageBreak/>
        <w:t>Genève sur la circulation routière de 1949 ou de la Convention de Vienne sur la circulation routière de 1968.».</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H1G"/>
        <w:rPr>
          <w:sz w:val="20"/>
          <w:lang w:val="fr-FR"/>
        </w:rPr>
      </w:pPr>
      <w:r>
        <w:rPr>
          <w:sz w:val="20"/>
          <w:lang w:val="fr-FR"/>
        </w:rPr>
        <w:tab/>
      </w:r>
      <w:r>
        <w:rPr>
          <w:sz w:val="20"/>
          <w:lang w:val="fr-FR"/>
        </w:rPr>
        <w:tab/>
        <w:t>Chapitre 6.4</w:t>
      </w:r>
    </w:p>
    <w:p w:rsidR="009209F1" w:rsidRDefault="009209F1" w:rsidP="009209F1">
      <w:pPr>
        <w:pStyle w:val="SingleTxtG"/>
        <w:rPr>
          <w:lang w:val="fr-FR"/>
        </w:rPr>
      </w:pPr>
      <w:r>
        <w:rPr>
          <w:rFonts w:ascii="TimesNewRomanPSMT" w:hAnsi="TimesNewRomanPSMT" w:cs="TimesNewRomanPSMT"/>
          <w:lang w:val="fr-FR" w:eastAsia="fr-FR"/>
        </w:rPr>
        <w:t>6.4.5.4.4 c)</w:t>
      </w:r>
      <w:r>
        <w:rPr>
          <w:lang w:val="fr-FR"/>
        </w:rPr>
        <w:tab/>
      </w:r>
      <w:r>
        <w:rPr>
          <w:rFonts w:ascii="TimesNewRomanPSMT" w:hAnsi="TimesNewRomanPSMT" w:cs="TimesNewRomanPSMT"/>
          <w:lang w:val="fr-FR" w:eastAsia="fr-FR"/>
        </w:rPr>
        <w:t xml:space="preserve">Dans le texte français, </w:t>
      </w:r>
      <w:proofErr w:type="gramStart"/>
      <w:r>
        <w:rPr>
          <w:rFonts w:ascii="TimesNewRomanPSMT" w:hAnsi="TimesNewRomanPSMT" w:cs="TimesNewRomanPSMT"/>
          <w:lang w:val="fr-FR" w:eastAsia="fr-FR"/>
        </w:rPr>
        <w:t>remplacer</w:t>
      </w:r>
      <w:proofErr w:type="gramEnd"/>
      <w:r>
        <w:rPr>
          <w:rFonts w:ascii="TimesNewRomanPSMT" w:hAnsi="TimesNewRomanPSMT" w:cs="TimesNewRomanPSMT"/>
          <w:lang w:val="fr-FR" w:eastAsia="fr-FR"/>
        </w:rPr>
        <w:t xml:space="preserve"> «</w:t>
      </w:r>
      <w:r>
        <w:rPr>
          <w:lang w:val="fr-FR"/>
        </w:rPr>
        <w:t>pendant les transports courants</w:t>
      </w:r>
      <w:r>
        <w:rPr>
          <w:rFonts w:ascii="TimesNewRomanPSMT" w:hAnsi="TimesNewRomanPSMT" w:cs="TimesNewRomanPSMT"/>
          <w:lang w:val="fr-FR" w:eastAsia="fr-FR"/>
        </w:rPr>
        <w:t>» par «</w:t>
      </w:r>
      <w:r>
        <w:rPr>
          <w:lang w:val="fr-FR"/>
        </w:rPr>
        <w:t>dans des conditions de transport de routine</w:t>
      </w:r>
      <w:r>
        <w:rPr>
          <w:rFonts w:ascii="TimesNewRomanPSMT" w:hAnsi="TimesNewRomanPSMT" w:cs="TimesNewRomanPSMT"/>
          <w:lang w:val="fr-FR" w:eastAsia="fr-FR"/>
        </w:rPr>
        <w:t>».</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lang w:val="fr-FR"/>
        </w:rPr>
      </w:pPr>
      <w:r>
        <w:rPr>
          <w:lang w:val="fr-FR"/>
        </w:rPr>
        <w:t>6.4.23.11 a)</w:t>
      </w:r>
      <w:r>
        <w:rPr>
          <w:lang w:val="fr-FR"/>
        </w:rPr>
        <w:tab/>
        <w:t xml:space="preserve">Modifier pour lire comme suit: </w:t>
      </w:r>
    </w:p>
    <w:p w:rsidR="009209F1" w:rsidRDefault="009209F1" w:rsidP="009209F1">
      <w:pPr>
        <w:pStyle w:val="SingleTxtG"/>
        <w:tabs>
          <w:tab w:val="left" w:pos="1854"/>
        </w:tabs>
        <w:rPr>
          <w:lang w:val="fr-FR"/>
        </w:rPr>
      </w:pPr>
      <w:r>
        <w:rPr>
          <w:lang w:val="fr-FR"/>
        </w:rPr>
        <w:t>«a)</w:t>
      </w:r>
      <w:r>
        <w:rPr>
          <w:lang w:val="fr-FR"/>
        </w:rPr>
        <w:tab/>
        <w:t>Sous réserve des prescriptions du 6.4.23.12 b), l'indicatif de pays est le signe distinctif utilisé sur les véhicules en circulation routière internationale</w:t>
      </w:r>
      <w:r>
        <w:rPr>
          <w:b/>
          <w:vertAlign w:val="superscript"/>
          <w:lang w:val="fr-FR"/>
        </w:rPr>
        <w:t>1</w:t>
      </w:r>
      <w:r>
        <w:rPr>
          <w:lang w:val="fr-FR"/>
        </w:rPr>
        <w:t xml:space="preserve"> pour le pays qui délivre le certificat».</w:t>
      </w:r>
    </w:p>
    <w:p w:rsidR="009209F1" w:rsidRDefault="009209F1" w:rsidP="009209F1">
      <w:pPr>
        <w:pStyle w:val="SingleTxtG"/>
        <w:tabs>
          <w:tab w:val="left" w:pos="1854"/>
        </w:tabs>
        <w:rPr>
          <w:lang w:val="fr-FR"/>
        </w:rPr>
      </w:pPr>
      <w:r>
        <w:rPr>
          <w:lang w:val="fr-FR"/>
        </w:rPr>
        <w:t>Modifier la note de bas de page 1 pour lire:</w:t>
      </w:r>
    </w:p>
    <w:p w:rsidR="009209F1" w:rsidRDefault="009209F1" w:rsidP="009209F1">
      <w:pPr>
        <w:pStyle w:val="SingleTxtG"/>
        <w:tabs>
          <w:tab w:val="left" w:pos="1854"/>
        </w:tabs>
        <w:rPr>
          <w:lang w:val="fr-FR"/>
        </w:rPr>
      </w:pPr>
      <w:r>
        <w:rPr>
          <w:lang w:val="fr-FR"/>
        </w:rPr>
        <w:t>«</w:t>
      </w:r>
      <w:r>
        <w:rPr>
          <w:b/>
          <w:vertAlign w:val="superscript"/>
          <w:lang w:val="fr-FR"/>
        </w:rPr>
        <w:t>1</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H1G"/>
        <w:rPr>
          <w:sz w:val="20"/>
          <w:lang w:val="fr-FR"/>
        </w:rPr>
      </w:pPr>
      <w:r>
        <w:rPr>
          <w:sz w:val="20"/>
          <w:lang w:val="fr-FR"/>
        </w:rPr>
        <w:tab/>
      </w:r>
      <w:r>
        <w:rPr>
          <w:sz w:val="20"/>
          <w:lang w:val="fr-FR"/>
        </w:rPr>
        <w:tab/>
        <w:t>Chapitre 6.5</w:t>
      </w:r>
    </w:p>
    <w:p w:rsidR="009209F1" w:rsidRDefault="009209F1" w:rsidP="009209F1">
      <w:pPr>
        <w:pStyle w:val="SingleTxtG"/>
        <w:rPr>
          <w:lang w:val="fr-FR"/>
        </w:rPr>
      </w:pPr>
      <w:r>
        <w:rPr>
          <w:lang w:val="fr-FR" w:eastAsia="fr-FR"/>
        </w:rPr>
        <w:t>6.5.1.4.4</w:t>
      </w:r>
      <w:r>
        <w:rPr>
          <w:lang w:val="fr-FR"/>
        </w:rPr>
        <w:tab/>
      </w:r>
      <w:r>
        <w:rPr>
          <w:lang w:val="fr-FR" w:eastAsia="fr-FR"/>
        </w:rPr>
        <w:t>Modifier la deuxième phrase pour lire comme suit: «</w:t>
      </w:r>
      <w:r>
        <w:rPr>
          <w:lang w:val="fr-FR"/>
        </w:rPr>
        <w:t>La lettre "W" indique que le GRV, bien qu'il soit du même type que celui désigné par le code, a été fabriqué selon une spécification différente de celles du 6.5.5, mais est considéré comme équivalent au sens du 6.5.1.1.2.».</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lang w:val="fr-FR"/>
        </w:rPr>
      </w:pPr>
      <w:r>
        <w:rPr>
          <w:lang w:val="fr-FR"/>
        </w:rPr>
        <w:t>6.5.2.1.1 e)</w:t>
      </w:r>
      <w:r>
        <w:rPr>
          <w:lang w:val="fr-FR"/>
        </w:rPr>
        <w:tab/>
        <w:t>Remplacer «du signe distinctif utilisé pour les véhicules automobiles en circulation routière internationale</w:t>
      </w:r>
      <w:r>
        <w:rPr>
          <w:b/>
          <w:vertAlign w:val="superscript"/>
          <w:lang w:val="fr-FR"/>
        </w:rPr>
        <w:t>2</w:t>
      </w:r>
      <w:r>
        <w:rPr>
          <w:lang w:val="fr-FR"/>
        </w:rPr>
        <w:t>» par «du signe distinctif utilisé sur les véhicules en circulation routière internationale</w:t>
      </w:r>
      <w:r>
        <w:rPr>
          <w:b/>
          <w:vertAlign w:val="superscript"/>
          <w:lang w:val="fr-FR"/>
        </w:rPr>
        <w:t>2</w:t>
      </w:r>
      <w:r>
        <w:rPr>
          <w:lang w:val="fr-FR"/>
        </w:rPr>
        <w:t>».</w:t>
      </w:r>
    </w:p>
    <w:p w:rsidR="009209F1" w:rsidRDefault="009209F1" w:rsidP="009209F1">
      <w:pPr>
        <w:pStyle w:val="SingleTxtG"/>
        <w:tabs>
          <w:tab w:val="left" w:pos="1854"/>
        </w:tabs>
        <w:rPr>
          <w:lang w:val="fr-FR"/>
        </w:rPr>
      </w:pPr>
      <w:r>
        <w:rPr>
          <w:lang w:val="fr-FR"/>
        </w:rPr>
        <w:t>Modifier la note de bas de page 2 pour lire:</w:t>
      </w:r>
    </w:p>
    <w:p w:rsidR="009209F1" w:rsidRDefault="009209F1" w:rsidP="009209F1">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tabs>
          <w:tab w:val="left" w:pos="1418"/>
          <w:tab w:val="left" w:pos="1843"/>
        </w:tabs>
        <w:spacing w:before="120" w:after="120"/>
        <w:ind w:left="1134" w:right="1134"/>
        <w:jc w:val="both"/>
        <w:rPr>
          <w:szCs w:val="24"/>
          <w:lang w:val="fr-FR"/>
        </w:rPr>
      </w:pPr>
      <w:r>
        <w:rPr>
          <w:szCs w:val="24"/>
          <w:lang w:val="fr-FR"/>
        </w:rPr>
        <w:t>6.5.5.1.7</w:t>
      </w:r>
      <w:r>
        <w:rPr>
          <w:lang w:val="fr-FR"/>
        </w:rPr>
        <w:tab/>
      </w:r>
      <w:r>
        <w:rPr>
          <w:lang w:val="fr-FR"/>
        </w:rPr>
        <w:tab/>
        <w:t>Remplacer «de ce chapitre» par «de la présente section». Remplacer «dans la phase vapeur» par «dans le ciel gazeux».</w:t>
      </w:r>
    </w:p>
    <w:p w:rsidR="009209F1" w:rsidRDefault="009209F1" w:rsidP="009209F1">
      <w:pPr>
        <w:pStyle w:val="SingleTxtG"/>
        <w:ind w:left="0"/>
        <w:rPr>
          <w:i/>
          <w:lang w:val="fr-FR"/>
        </w:rPr>
      </w:pPr>
      <w:r>
        <w:rPr>
          <w:i/>
          <w:lang w:val="fr-FR"/>
        </w:rPr>
        <w:t>(Document de référence: document informel INF.61)</w:t>
      </w:r>
    </w:p>
    <w:p w:rsidR="009209F1" w:rsidRDefault="009209F1" w:rsidP="009209F1">
      <w:pPr>
        <w:pStyle w:val="SingleTxtG"/>
        <w:rPr>
          <w:lang w:val="fr-FR"/>
        </w:rPr>
      </w:pPr>
      <w:r>
        <w:rPr>
          <w:lang w:val="fr-FR" w:eastAsia="fr-FR"/>
        </w:rPr>
        <w:t>(ADR:) 6.5.5.4.17 et 6.5.5.5.3</w:t>
      </w:r>
      <w:r>
        <w:rPr>
          <w:lang w:val="fr-FR" w:eastAsia="fr-FR"/>
        </w:rPr>
        <w:tab/>
        <w:t>Remplacer «</w:t>
      </w:r>
      <w:r>
        <w:rPr>
          <w:rFonts w:ascii="TimesNewRomanPSMT" w:hAnsi="TimesNewRomanPSMT" w:cs="TimesNewRomanPSMT"/>
          <w:lang w:val="fr-FR" w:eastAsia="fr-FR"/>
        </w:rPr>
        <w:t>Le matériau doit avoir des caractéristiques</w:t>
      </w:r>
      <w:r>
        <w:rPr>
          <w:lang w:val="fr-FR" w:eastAsia="fr-FR"/>
        </w:rPr>
        <w:t>» par «</w:t>
      </w:r>
      <w:r>
        <w:rPr>
          <w:rFonts w:ascii="TimesNewRomanPSMT" w:hAnsi="TimesNewRomanPSMT" w:cs="TimesNewRomanPSMT"/>
          <w:lang w:val="fr-FR" w:eastAsia="fr-FR"/>
        </w:rPr>
        <w:t>Le carton doit avoir des caractéristiques</w:t>
      </w:r>
      <w:r>
        <w:rPr>
          <w:lang w:val="fr-FR" w:eastAsia="fr-FR"/>
        </w:rPr>
        <w:t>».</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H1G"/>
        <w:rPr>
          <w:sz w:val="20"/>
          <w:lang w:val="fr-FR"/>
        </w:rPr>
      </w:pPr>
      <w:r>
        <w:rPr>
          <w:sz w:val="20"/>
          <w:lang w:val="fr-FR"/>
        </w:rPr>
        <w:lastRenderedPageBreak/>
        <w:tab/>
      </w:r>
      <w:r>
        <w:rPr>
          <w:sz w:val="20"/>
          <w:lang w:val="fr-FR"/>
        </w:rPr>
        <w:tab/>
        <w:t>Chapitre 6.6</w:t>
      </w:r>
    </w:p>
    <w:p w:rsidR="009209F1" w:rsidRDefault="009209F1" w:rsidP="009209F1">
      <w:pPr>
        <w:pStyle w:val="SingleTxtG"/>
        <w:tabs>
          <w:tab w:val="left" w:pos="1854"/>
        </w:tabs>
        <w:rPr>
          <w:lang w:val="fr-FR"/>
        </w:rPr>
      </w:pPr>
      <w:r>
        <w:rPr>
          <w:lang w:val="fr-FR"/>
        </w:rPr>
        <w:t>6.6.3.1 e)</w:t>
      </w:r>
      <w:r>
        <w:rPr>
          <w:lang w:val="fr-FR"/>
        </w:rPr>
        <w:tab/>
        <w:t>Remplacer «du signe distinctif utilisé pour les véhicules routiers en circulation internationale</w:t>
      </w:r>
      <w:r>
        <w:rPr>
          <w:b/>
          <w:vertAlign w:val="superscript"/>
          <w:lang w:val="fr-FR"/>
        </w:rPr>
        <w:t>2</w:t>
      </w:r>
      <w:r>
        <w:rPr>
          <w:lang w:val="fr-FR"/>
        </w:rPr>
        <w:t>» par «du signe distinctif utilisé sur les véhicules en circulation routière internationale</w:t>
      </w:r>
      <w:r>
        <w:rPr>
          <w:b/>
          <w:vertAlign w:val="superscript"/>
          <w:lang w:val="fr-FR"/>
        </w:rPr>
        <w:t>2</w:t>
      </w:r>
      <w:r>
        <w:rPr>
          <w:lang w:val="fr-FR"/>
        </w:rPr>
        <w:t xml:space="preserve">». </w:t>
      </w:r>
    </w:p>
    <w:p w:rsidR="009209F1" w:rsidRDefault="009209F1" w:rsidP="009209F1">
      <w:pPr>
        <w:pStyle w:val="SingleTxtG"/>
        <w:tabs>
          <w:tab w:val="left" w:pos="1854"/>
        </w:tabs>
        <w:rPr>
          <w:lang w:val="fr-FR"/>
        </w:rPr>
      </w:pPr>
      <w:r>
        <w:rPr>
          <w:lang w:val="fr-FR"/>
        </w:rPr>
        <w:t>Modifier la note de bas de page 2 pour lire:</w:t>
      </w:r>
    </w:p>
    <w:p w:rsidR="009209F1" w:rsidRDefault="009209F1" w:rsidP="009209F1">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ind w:left="0"/>
        <w:rPr>
          <w:i/>
          <w:lang w:val="fr-FR"/>
        </w:rPr>
      </w:pPr>
      <w:r>
        <w:rPr>
          <w:i/>
          <w:lang w:val="fr-FR"/>
        </w:rPr>
        <w:t>(Document de référence: document informel INF.41)</w:t>
      </w:r>
    </w:p>
    <w:p w:rsidR="009209F1" w:rsidRPr="006C5949" w:rsidRDefault="009209F1" w:rsidP="009209F1">
      <w:pPr>
        <w:pStyle w:val="SingleTxtG"/>
        <w:rPr>
          <w:lang w:val="en-GB"/>
        </w:rPr>
      </w:pPr>
      <w:r w:rsidRPr="006C5949">
        <w:rPr>
          <w:lang w:val="en-GB"/>
        </w:rPr>
        <w:t>6.6.5.1.7</w:t>
      </w:r>
      <w:r w:rsidRPr="006C5949">
        <w:rPr>
          <w:lang w:val="en-GB"/>
        </w:rPr>
        <w:tab/>
        <w:t xml:space="preserve">The </w:t>
      </w:r>
      <w:proofErr w:type="spellStart"/>
      <w:r w:rsidRPr="006C5949">
        <w:rPr>
          <w:lang w:val="en-GB"/>
        </w:rPr>
        <w:t>Amendement</w:t>
      </w:r>
      <w:proofErr w:type="spellEnd"/>
      <w:r w:rsidRPr="006C5949">
        <w:rPr>
          <w:lang w:val="en-GB"/>
        </w:rPr>
        <w:t xml:space="preserve"> does not apply to the English text.</w:t>
      </w:r>
    </w:p>
    <w:p w:rsidR="009209F1" w:rsidRDefault="009209F1" w:rsidP="009209F1">
      <w:pPr>
        <w:pStyle w:val="SingleTxtG"/>
        <w:ind w:left="0"/>
        <w:rPr>
          <w:i/>
          <w:lang w:val="fr-FR"/>
        </w:rPr>
      </w:pPr>
      <w:r>
        <w:rPr>
          <w:i/>
          <w:lang w:val="fr-FR"/>
        </w:rPr>
        <w:t>(Document de référence: document informel INF.15)</w:t>
      </w:r>
    </w:p>
    <w:p w:rsidR="009209F1" w:rsidRDefault="009209F1" w:rsidP="009209F1">
      <w:pPr>
        <w:pStyle w:val="H1G"/>
        <w:rPr>
          <w:sz w:val="20"/>
          <w:lang w:val="fr-FR"/>
        </w:rPr>
      </w:pPr>
      <w:r>
        <w:rPr>
          <w:sz w:val="20"/>
          <w:lang w:val="fr-FR"/>
        </w:rPr>
        <w:tab/>
      </w:r>
      <w:r>
        <w:rPr>
          <w:sz w:val="20"/>
          <w:lang w:val="fr-FR"/>
        </w:rPr>
        <w:tab/>
        <w:t>Chapitre 6.7</w:t>
      </w:r>
    </w:p>
    <w:p w:rsidR="009209F1" w:rsidRDefault="009209F1" w:rsidP="009209F1">
      <w:pPr>
        <w:pStyle w:val="SingleTxtG"/>
        <w:rPr>
          <w:lang w:val="fr-FR" w:eastAsia="fr-FR"/>
        </w:rPr>
      </w:pPr>
      <w:r>
        <w:rPr>
          <w:lang w:val="fr-FR" w:eastAsia="fr-FR"/>
        </w:rPr>
        <w:t>6.7.2.2.1</w:t>
      </w:r>
      <w:r>
        <w:rPr>
          <w:lang w:val="fr-FR" w:eastAsia="fr-FR"/>
        </w:rPr>
        <w:tab/>
        <w:t>Dans la première phrase, remplacer «</w:t>
      </w:r>
      <w:r>
        <w:rPr>
          <w:bCs/>
          <w:iCs/>
          <w:lang w:val="fr-FR"/>
        </w:rPr>
        <w:t>code pour récipients à pression</w:t>
      </w:r>
      <w:r>
        <w:rPr>
          <w:lang w:val="fr-FR"/>
        </w:rPr>
        <w:t xml:space="preserve"> agréé par l'autorité compétente</w:t>
      </w:r>
      <w:r>
        <w:rPr>
          <w:lang w:val="fr-FR" w:eastAsia="fr-FR"/>
        </w:rPr>
        <w:t>» par «</w:t>
      </w:r>
      <w:r>
        <w:rPr>
          <w:bCs/>
          <w:iCs/>
          <w:lang w:val="fr-FR"/>
        </w:rPr>
        <w:t>code pour appareils à pression</w:t>
      </w:r>
      <w:r>
        <w:rPr>
          <w:lang w:val="fr-FR" w:eastAsia="fr-FR"/>
        </w:rPr>
        <w:t xml:space="preserve"> reconnu par l’autorité compétente». Dans la cinquième phrase, </w:t>
      </w:r>
      <w:proofErr w:type="gramStart"/>
      <w:r>
        <w:rPr>
          <w:lang w:val="fr-FR" w:eastAsia="fr-FR"/>
        </w:rPr>
        <w:t>remplacer</w:t>
      </w:r>
      <w:proofErr w:type="gramEnd"/>
      <w:r>
        <w:rPr>
          <w:lang w:val="fr-FR" w:eastAsia="fr-FR"/>
        </w:rPr>
        <w:t xml:space="preserve"> «</w:t>
      </w:r>
      <w:r>
        <w:rPr>
          <w:lang w:val="fr-FR"/>
        </w:rPr>
        <w:t>Les joints de soudure doivent être faits</w:t>
      </w:r>
      <w:r>
        <w:rPr>
          <w:lang w:val="fr-FR" w:eastAsia="fr-FR"/>
        </w:rPr>
        <w:t>» par «Les soudures doivent être faites».</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rPr>
          <w:lang w:val="fr-FR" w:eastAsia="fr-FR"/>
        </w:rPr>
      </w:pPr>
      <w:r>
        <w:rPr>
          <w:lang w:val="fr-FR" w:eastAsia="fr-FR"/>
        </w:rPr>
        <w:t>6.7.2.2.7</w:t>
      </w:r>
      <w:r>
        <w:rPr>
          <w:lang w:val="fr-FR" w:eastAsia="fr-FR"/>
        </w:rPr>
        <w:tab/>
        <w:t>Remplacer «</w:t>
      </w:r>
      <w:r>
        <w:rPr>
          <w:lang w:val="fr-FR"/>
        </w:rPr>
        <w:t>les matières qui doivent être transportées</w:t>
      </w:r>
      <w:r>
        <w:rPr>
          <w:lang w:val="fr-FR" w:eastAsia="fr-FR"/>
        </w:rPr>
        <w:t>» par «</w:t>
      </w:r>
      <w:r>
        <w:rPr>
          <w:lang w:val="fr-FR"/>
        </w:rPr>
        <w:t>les matières destinées à être transportées</w:t>
      </w:r>
      <w:r>
        <w:rPr>
          <w:lang w:val="fr-FR" w:eastAsia="fr-FR"/>
        </w:rPr>
        <w:t>».</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rPr>
          <w:lang w:val="fr-FR" w:eastAsia="fr-FR"/>
        </w:rPr>
      </w:pPr>
      <w:r>
        <w:rPr>
          <w:lang w:val="fr-FR" w:eastAsia="fr-FR"/>
        </w:rPr>
        <w:t>6.7.2.4.1 b)</w:t>
      </w:r>
      <w:r>
        <w:rPr>
          <w:lang w:val="fr-FR" w:eastAsia="fr-FR"/>
        </w:rPr>
        <w:tab/>
        <w:t>Modifier pour lire comme suit:</w:t>
      </w:r>
    </w:p>
    <w:p w:rsidR="009209F1" w:rsidRDefault="009209F1" w:rsidP="009209F1">
      <w:pPr>
        <w:pStyle w:val="SingleTxtG"/>
        <w:tabs>
          <w:tab w:val="left" w:pos="1854"/>
        </w:tabs>
        <w:rPr>
          <w:lang w:val="fr-FR"/>
        </w:rPr>
      </w:pPr>
      <w:r>
        <w:rPr>
          <w:lang w:val="fr-FR" w:eastAsia="fr-FR"/>
        </w:rPr>
        <w:t>«</w:t>
      </w:r>
      <w:proofErr w:type="gramStart"/>
      <w:r>
        <w:rPr>
          <w:lang w:val="fr-FR" w:eastAsia="fr-FR"/>
        </w:rPr>
        <w:t>b</w:t>
      </w:r>
      <w:proofErr w:type="gramEnd"/>
      <w:r>
        <w:rPr>
          <w:lang w:val="fr-FR" w:eastAsia="fr-FR"/>
        </w:rPr>
        <w:t>)</w:t>
      </w:r>
      <w:r>
        <w:rPr>
          <w:lang w:val="fr-FR" w:eastAsia="fr-FR"/>
        </w:rPr>
        <w:tab/>
      </w:r>
      <w:r>
        <w:rPr>
          <w:lang w:val="fr-FR"/>
        </w:rPr>
        <w:t>l'épaisseur minimale déterminée conformément au code reconnu pour appareils à pression, compte tenu des prescriptions du 6.7.2.3; et».</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rPr>
          <w:highlight w:val="yellow"/>
          <w:lang w:val="fr-FR" w:eastAsia="fr-FR"/>
        </w:rPr>
      </w:pPr>
      <w:r>
        <w:rPr>
          <w:lang w:val="fr-FR" w:eastAsia="fr-FR"/>
        </w:rPr>
        <w:t>6.7.2.10.1</w:t>
      </w:r>
      <w:r>
        <w:rPr>
          <w:lang w:val="fr-FR" w:eastAsia="fr-FR"/>
        </w:rPr>
        <w:tab/>
      </w:r>
      <w:r>
        <w:rPr>
          <w:lang w:val="fr-FR"/>
        </w:rPr>
        <w:t>Remplacer «dans la phase vapeur» par «dans le ciel gazeux».</w:t>
      </w:r>
    </w:p>
    <w:p w:rsidR="009209F1" w:rsidRDefault="009209F1" w:rsidP="009209F1">
      <w:pPr>
        <w:pStyle w:val="SingleTxtG"/>
        <w:ind w:left="0"/>
        <w:rPr>
          <w:i/>
          <w:lang w:val="fr-FR"/>
        </w:rPr>
      </w:pPr>
      <w:r>
        <w:rPr>
          <w:i/>
          <w:lang w:val="fr-FR"/>
        </w:rPr>
        <w:t>(Document de référence: document informel INF.61)</w:t>
      </w:r>
    </w:p>
    <w:p w:rsidR="009209F1" w:rsidRDefault="009209F1" w:rsidP="009209F1">
      <w:pPr>
        <w:pStyle w:val="SingleTxtG"/>
        <w:rPr>
          <w:lang w:val="fr-FR" w:eastAsia="fr-FR"/>
        </w:rPr>
      </w:pPr>
      <w:r>
        <w:rPr>
          <w:lang w:val="fr-FR" w:eastAsia="fr-FR"/>
        </w:rPr>
        <w:t>6.7.2.15.1</w:t>
      </w:r>
      <w:r>
        <w:rPr>
          <w:lang w:val="fr-FR" w:eastAsia="fr-FR"/>
        </w:rPr>
        <w:tab/>
        <w:t>Remplacer «dans la phase gazeuse» par «dans le ciel gazeux».</w:t>
      </w:r>
    </w:p>
    <w:p w:rsidR="009209F1" w:rsidRDefault="009209F1" w:rsidP="009209F1">
      <w:pPr>
        <w:pStyle w:val="SingleTxtG"/>
        <w:ind w:left="0"/>
        <w:rPr>
          <w:i/>
          <w:lang w:val="fr-FR"/>
        </w:rPr>
      </w:pPr>
      <w:r>
        <w:rPr>
          <w:i/>
          <w:lang w:val="fr-FR"/>
        </w:rPr>
        <w:t>(Document de référence : document informel INF.61)</w:t>
      </w:r>
    </w:p>
    <w:p w:rsidR="009209F1" w:rsidRDefault="009209F1" w:rsidP="009209F1">
      <w:pPr>
        <w:pStyle w:val="SingleTxtG"/>
        <w:tabs>
          <w:tab w:val="left" w:pos="1854"/>
        </w:tabs>
        <w:rPr>
          <w:lang w:val="fr-FR"/>
        </w:rPr>
      </w:pPr>
      <w:r>
        <w:rPr>
          <w:lang w:val="fr-FR"/>
        </w:rPr>
        <w:t>6.7.2.18.1</w:t>
      </w:r>
      <w:r>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Pr>
          <w:b/>
          <w:vertAlign w:val="superscript"/>
          <w:lang w:val="fr-FR"/>
        </w:rPr>
        <w:t>2</w:t>
      </w:r>
      <w:r>
        <w:rPr>
          <w:lang w:val="fr-FR"/>
        </w:rPr>
        <w:t>»</w:t>
      </w:r>
    </w:p>
    <w:p w:rsidR="009209F1" w:rsidRDefault="009209F1" w:rsidP="009209F1">
      <w:pPr>
        <w:pStyle w:val="SingleTxtG"/>
        <w:tabs>
          <w:tab w:val="left" w:pos="1854"/>
        </w:tabs>
        <w:rPr>
          <w:lang w:val="fr-FR"/>
        </w:rPr>
      </w:pPr>
      <w:r>
        <w:rPr>
          <w:lang w:val="fr-FR"/>
        </w:rPr>
        <w:t>La note de bas de page 2 se lit comme suit:</w:t>
      </w:r>
    </w:p>
    <w:p w:rsidR="009209F1" w:rsidRDefault="009209F1" w:rsidP="009209F1">
      <w:pPr>
        <w:pStyle w:val="SingleTxtG"/>
        <w:tabs>
          <w:tab w:val="left" w:pos="1854"/>
        </w:tabs>
        <w:rPr>
          <w:lang w:val="fr-FR"/>
        </w:rPr>
      </w:pPr>
      <w:r>
        <w:rPr>
          <w:lang w:val="fr-FR"/>
        </w:rPr>
        <w:t>«</w:t>
      </w:r>
      <w:r>
        <w:rPr>
          <w:b/>
          <w:vertAlign w:val="superscript"/>
          <w:lang w:val="fr-FR"/>
        </w:rPr>
        <w:t>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tabs>
          <w:tab w:val="left" w:pos="1854"/>
        </w:tabs>
        <w:rPr>
          <w:lang w:val="fr-FR"/>
        </w:rPr>
      </w:pPr>
      <w:r>
        <w:rPr>
          <w:lang w:val="fr-FR"/>
        </w:rPr>
        <w:t>(RID:) Renuméroter les notes de bas de page 2 à 6 actuelles en tant que 3 à 7.</w:t>
      </w:r>
    </w:p>
    <w:p w:rsidR="009209F1" w:rsidRDefault="009209F1" w:rsidP="009209F1">
      <w:pPr>
        <w:pStyle w:val="SingleTxtG"/>
        <w:tabs>
          <w:tab w:val="left" w:pos="1854"/>
        </w:tabs>
        <w:rPr>
          <w:lang w:val="fr-FR"/>
        </w:rPr>
      </w:pPr>
      <w:r>
        <w:rPr>
          <w:lang w:val="fr-FR"/>
        </w:rPr>
        <w:lastRenderedPageBreak/>
        <w:t>(ADR:)</w:t>
      </w:r>
      <w:r>
        <w:rPr>
          <w:lang w:val="fr-FR"/>
        </w:rPr>
        <w:tab/>
        <w:t>Renuméroter les notes de bas de page suivantes en conséquence.</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rPr>
          <w:lang w:val="fr-FR" w:eastAsia="fr-FR"/>
        </w:rPr>
      </w:pPr>
      <w:r>
        <w:rPr>
          <w:lang w:val="fr-FR" w:eastAsia="fr-FR"/>
        </w:rPr>
        <w:t>6.7.2.19.10</w:t>
      </w:r>
      <w:r>
        <w:rPr>
          <w:lang w:val="fr-FR" w:eastAsia="fr-FR"/>
        </w:rPr>
        <w:tab/>
        <w:t>Remplacer «</w:t>
      </w:r>
      <w:r>
        <w:rPr>
          <w:lang w:val="fr-FR"/>
        </w:rPr>
        <w:t>code pour récipients sous pression</w:t>
      </w:r>
      <w:r>
        <w:rPr>
          <w:lang w:val="fr-FR" w:eastAsia="fr-FR"/>
        </w:rPr>
        <w:t>» par «code pour appareils à pression»</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rPr>
          <w:lang w:val="fr-FR" w:eastAsia="fr-FR"/>
        </w:rPr>
      </w:pPr>
      <w:r>
        <w:rPr>
          <w:lang w:val="fr-FR" w:eastAsia="fr-FR"/>
        </w:rPr>
        <w:t>6.7.2.20.1</w:t>
      </w:r>
      <w:r>
        <w:rPr>
          <w:lang w:val="fr-FR" w:eastAsia="fr-FR"/>
        </w:rPr>
        <w:tab/>
      </w:r>
      <w:r>
        <w:rPr>
          <w:lang w:val="fr-FR" w:eastAsia="fr-FR"/>
        </w:rPr>
        <w:tab/>
        <w:t>Dans le paragraphe avant les alinéas et à l’alinéa c) vi), remplacer «</w:t>
      </w:r>
      <w:r>
        <w:rPr>
          <w:bCs/>
          <w:iCs/>
          <w:lang w:val="fr-FR"/>
        </w:rPr>
        <w:t>code pour récipients à pression</w:t>
      </w:r>
      <w:r>
        <w:rPr>
          <w:lang w:val="fr-FR" w:eastAsia="fr-FR"/>
        </w:rPr>
        <w:t>» par «code pour appareils à pression».</w:t>
      </w:r>
    </w:p>
    <w:p w:rsidR="009209F1" w:rsidRDefault="009209F1" w:rsidP="009209F1">
      <w:pPr>
        <w:pStyle w:val="SingleTxtG"/>
        <w:tabs>
          <w:tab w:val="left" w:pos="1854"/>
        </w:tabs>
        <w:rPr>
          <w:lang w:val="fr-FR" w:eastAsia="fr-FR"/>
        </w:rPr>
      </w:pPr>
      <w:r>
        <w:rPr>
          <w:lang w:val="fr-FR" w:eastAsia="fr-FR"/>
        </w:rPr>
        <w:t>Figure 6.7.2.20.1</w:t>
      </w:r>
      <w:r>
        <w:rPr>
          <w:lang w:val="fr-FR" w:eastAsia="fr-FR"/>
        </w:rPr>
        <w:tab/>
      </w:r>
      <w:r>
        <w:rPr>
          <w:lang w:val="fr-FR" w:eastAsia="fr-FR"/>
        </w:rPr>
        <w:tab/>
        <w:t>Remplacer «</w:t>
      </w:r>
      <w:r>
        <w:rPr>
          <w:bCs/>
          <w:iCs/>
          <w:lang w:val="fr-FR"/>
        </w:rPr>
        <w:t>code pour récipients à pression</w:t>
      </w:r>
      <w:r>
        <w:rPr>
          <w:lang w:val="fr-FR" w:eastAsia="fr-FR"/>
        </w:rPr>
        <w:t>» par «code pour appareils à pression».</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lang w:val="fr-FR" w:eastAsia="fr-FR"/>
        </w:rPr>
      </w:pPr>
      <w:r>
        <w:rPr>
          <w:lang w:val="fr-FR" w:eastAsia="fr-FR"/>
        </w:rPr>
        <w:t>6.7.3.1</w:t>
      </w:r>
      <w:r>
        <w:rPr>
          <w:lang w:val="fr-FR" w:eastAsia="fr-FR"/>
        </w:rPr>
        <w:tab/>
        <w:t>Placer les définitions dans l’ordre alphabétique.</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rPr>
          <w:lang w:val="fr-FR" w:eastAsia="fr-FR"/>
        </w:rPr>
      </w:pPr>
      <w:r>
        <w:rPr>
          <w:lang w:val="fr-FR" w:eastAsia="fr-FR"/>
        </w:rPr>
        <w:t>6.7.3.2.1</w:t>
      </w:r>
      <w:r>
        <w:rPr>
          <w:lang w:val="fr-FR" w:eastAsia="fr-FR"/>
        </w:rPr>
        <w:tab/>
        <w:t>Dans la première phrase, remplacer «</w:t>
      </w:r>
      <w:r>
        <w:rPr>
          <w:bCs/>
          <w:iCs/>
          <w:lang w:val="fr-FR"/>
        </w:rPr>
        <w:t>code pour récipients à pression</w:t>
      </w:r>
      <w:r>
        <w:rPr>
          <w:lang w:val="fr-FR"/>
        </w:rPr>
        <w:t xml:space="preserve"> agréé par l'autorité compétente</w:t>
      </w:r>
      <w:r>
        <w:rPr>
          <w:lang w:val="fr-FR" w:eastAsia="fr-FR"/>
        </w:rPr>
        <w:t>» par «</w:t>
      </w:r>
      <w:r>
        <w:rPr>
          <w:bCs/>
          <w:iCs/>
          <w:lang w:val="fr-FR"/>
        </w:rPr>
        <w:t>code pour appareils à pression</w:t>
      </w:r>
      <w:r>
        <w:rPr>
          <w:lang w:val="fr-FR" w:eastAsia="fr-FR"/>
        </w:rPr>
        <w:t xml:space="preserve"> reconnu par l’autorité compétente». Dans la cinquième phrase, </w:t>
      </w:r>
      <w:proofErr w:type="gramStart"/>
      <w:r>
        <w:rPr>
          <w:lang w:val="fr-FR" w:eastAsia="fr-FR"/>
        </w:rPr>
        <w:t>remplacer</w:t>
      </w:r>
      <w:proofErr w:type="gramEnd"/>
      <w:r>
        <w:rPr>
          <w:lang w:val="fr-FR" w:eastAsia="fr-FR"/>
        </w:rPr>
        <w:t xml:space="preserve"> «</w:t>
      </w:r>
      <w:r>
        <w:rPr>
          <w:lang w:val="fr-FR"/>
        </w:rPr>
        <w:t>Les joints de soudure doivent être faits</w:t>
      </w:r>
      <w:r>
        <w:rPr>
          <w:lang w:val="fr-FR" w:eastAsia="fr-FR"/>
        </w:rPr>
        <w:t>» par «Les soudures doivent être faites».</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i/>
          <w:lang w:val="fr-FR"/>
        </w:rPr>
      </w:pPr>
      <w:r>
        <w:rPr>
          <w:lang w:val="fr-FR" w:eastAsia="fr-FR"/>
        </w:rPr>
        <w:t>6.7.3.4.1 b)</w:t>
      </w:r>
      <w:r>
        <w:rPr>
          <w:lang w:val="fr-FR" w:eastAsia="fr-FR"/>
        </w:rPr>
        <w:tab/>
        <w:t>Remplacer «</w:t>
      </w:r>
      <w:r>
        <w:rPr>
          <w:lang w:val="fr-FR"/>
        </w:rPr>
        <w:t>au code agréé pour récipients sous pression» par «au code reconnu pour appareils à pression».</w:t>
      </w:r>
      <w:r>
        <w:rPr>
          <w:i/>
          <w:lang w:val="fr-FR"/>
        </w:rPr>
        <w:t xml:space="preserve"> </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rPr>
          <w:lang w:val="fr-FR" w:eastAsia="fr-FR"/>
        </w:rPr>
      </w:pPr>
      <w:r>
        <w:rPr>
          <w:lang w:val="fr-FR" w:eastAsia="fr-FR"/>
        </w:rPr>
        <w:t>6.7.3.11.1</w:t>
      </w:r>
      <w:r>
        <w:rPr>
          <w:lang w:val="fr-FR" w:eastAsia="fr-FR"/>
        </w:rPr>
        <w:tab/>
        <w:t>Remplacer «dans la phase gazeuse» par «dans le ciel gazeux».</w:t>
      </w:r>
    </w:p>
    <w:p w:rsidR="009209F1" w:rsidRDefault="009209F1" w:rsidP="009209F1">
      <w:pPr>
        <w:pStyle w:val="SingleTxtG"/>
        <w:ind w:left="0"/>
        <w:rPr>
          <w:i/>
          <w:lang w:val="fr-FR"/>
        </w:rPr>
      </w:pPr>
      <w:r>
        <w:rPr>
          <w:i/>
          <w:lang w:val="fr-FR"/>
        </w:rPr>
        <w:t>(Document de référence : document informel INF.61)</w:t>
      </w:r>
    </w:p>
    <w:p w:rsidR="009209F1" w:rsidRDefault="009209F1" w:rsidP="009209F1">
      <w:pPr>
        <w:pStyle w:val="SingleTxtG"/>
        <w:tabs>
          <w:tab w:val="left" w:pos="1854"/>
        </w:tabs>
        <w:rPr>
          <w:lang w:val="fr-FR"/>
        </w:rPr>
      </w:pPr>
      <w:r>
        <w:rPr>
          <w:lang w:val="fr-FR"/>
        </w:rPr>
        <w:t>6.7.3.14.1</w:t>
      </w:r>
      <w:r>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Pr>
          <w:b/>
          <w:vertAlign w:val="superscript"/>
          <w:lang w:val="fr-FR"/>
        </w:rPr>
        <w:t>8/2</w:t>
      </w:r>
      <w:r>
        <w:rPr>
          <w:lang w:val="fr-FR"/>
        </w:rPr>
        <w:t>»</w:t>
      </w:r>
    </w:p>
    <w:p w:rsidR="009209F1" w:rsidRDefault="009209F1" w:rsidP="009209F1">
      <w:pPr>
        <w:pStyle w:val="SingleTxtG"/>
        <w:tabs>
          <w:tab w:val="left" w:pos="1854"/>
        </w:tabs>
        <w:rPr>
          <w:lang w:val="fr-FR"/>
        </w:rPr>
      </w:pPr>
      <w:r>
        <w:rPr>
          <w:lang w:val="fr-FR"/>
        </w:rPr>
        <w:t>La note de bas de page 8/2 se lit comme suit:</w:t>
      </w:r>
    </w:p>
    <w:p w:rsidR="009209F1" w:rsidRDefault="009209F1" w:rsidP="009209F1">
      <w:pPr>
        <w:pStyle w:val="SingleTxtG"/>
        <w:tabs>
          <w:tab w:val="left" w:pos="1854"/>
        </w:tabs>
        <w:rPr>
          <w:lang w:val="fr-FR"/>
        </w:rPr>
      </w:pPr>
      <w:r>
        <w:rPr>
          <w:lang w:val="fr-FR"/>
        </w:rPr>
        <w:t>«</w:t>
      </w:r>
      <w:r>
        <w:rPr>
          <w:b/>
          <w:vertAlign w:val="superscript"/>
          <w:lang w:val="fr-FR"/>
        </w:rPr>
        <w:t>8/2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tabs>
          <w:tab w:val="left" w:pos="1854"/>
        </w:tabs>
        <w:rPr>
          <w:lang w:val="fr-FR"/>
        </w:rPr>
      </w:pPr>
      <w:r>
        <w:rPr>
          <w:lang w:val="fr-FR"/>
        </w:rPr>
        <w:t>(RID:) Renuméroter les notes de bas de page 7 à 11 actuelles en tant que 9 à 13.</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rPr>
          <w:lang w:val="fr-FR" w:eastAsia="fr-FR"/>
        </w:rPr>
      </w:pPr>
      <w:r>
        <w:rPr>
          <w:lang w:val="fr-FR" w:eastAsia="fr-FR"/>
        </w:rPr>
        <w:t>6.7.3.15.10</w:t>
      </w:r>
      <w:r>
        <w:rPr>
          <w:lang w:val="fr-FR" w:eastAsia="fr-FR"/>
        </w:rPr>
        <w:tab/>
        <w:t>Remplacer «</w:t>
      </w:r>
      <w:r>
        <w:rPr>
          <w:lang w:val="fr-FR"/>
        </w:rPr>
        <w:t>code pour récipients sous pression</w:t>
      </w:r>
      <w:r>
        <w:rPr>
          <w:lang w:val="fr-FR" w:eastAsia="fr-FR"/>
        </w:rPr>
        <w:t>» par «code pour appareils à pression»</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rPr>
          <w:lang w:val="fr-FR" w:eastAsia="fr-FR"/>
        </w:rPr>
      </w:pPr>
      <w:r>
        <w:rPr>
          <w:lang w:val="fr-FR" w:eastAsia="fr-FR"/>
        </w:rPr>
        <w:t>6.7.3.16.1</w:t>
      </w:r>
      <w:r>
        <w:rPr>
          <w:lang w:val="fr-FR" w:eastAsia="fr-FR"/>
        </w:rPr>
        <w:tab/>
        <w:t>Dans le paragraphe avant les alinéas et à l’alinéa c) vi), remplacer «</w:t>
      </w:r>
      <w:r>
        <w:rPr>
          <w:bCs/>
          <w:iCs/>
          <w:lang w:val="fr-FR"/>
        </w:rPr>
        <w:t>code pour récipients à pression</w:t>
      </w:r>
      <w:r>
        <w:rPr>
          <w:lang w:val="fr-FR" w:eastAsia="fr-FR"/>
        </w:rPr>
        <w:t>» par «code pour appareils à pression».</w:t>
      </w:r>
    </w:p>
    <w:p w:rsidR="009209F1" w:rsidRDefault="009209F1" w:rsidP="009209F1">
      <w:pPr>
        <w:pStyle w:val="SingleTxtG"/>
        <w:tabs>
          <w:tab w:val="left" w:pos="1854"/>
        </w:tabs>
        <w:rPr>
          <w:lang w:val="fr-FR" w:eastAsia="fr-FR"/>
        </w:rPr>
      </w:pPr>
      <w:r>
        <w:rPr>
          <w:lang w:val="fr-FR" w:eastAsia="fr-FR"/>
        </w:rPr>
        <w:t>Figure 6.7.3.16.1</w:t>
      </w:r>
      <w:r>
        <w:rPr>
          <w:lang w:val="fr-FR" w:eastAsia="fr-FR"/>
        </w:rPr>
        <w:tab/>
      </w:r>
      <w:r>
        <w:rPr>
          <w:lang w:val="fr-FR" w:eastAsia="fr-FR"/>
        </w:rPr>
        <w:tab/>
        <w:t>Remplacer «</w:t>
      </w:r>
      <w:r>
        <w:rPr>
          <w:bCs/>
          <w:iCs/>
          <w:lang w:val="fr-FR"/>
        </w:rPr>
        <w:t>code pour récipients à pression</w:t>
      </w:r>
      <w:r>
        <w:rPr>
          <w:lang w:val="fr-FR" w:eastAsia="fr-FR"/>
        </w:rPr>
        <w:t>» par «code pour appareils à pression».</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lang w:val="fr-FR" w:eastAsia="fr-FR"/>
        </w:rPr>
      </w:pPr>
      <w:r>
        <w:rPr>
          <w:lang w:val="fr-FR" w:eastAsia="fr-FR"/>
        </w:rPr>
        <w:lastRenderedPageBreak/>
        <w:t>6.7.4.1</w:t>
      </w:r>
      <w:r>
        <w:rPr>
          <w:lang w:val="fr-FR" w:eastAsia="fr-FR"/>
        </w:rPr>
        <w:tab/>
        <w:t>Placer les définitions dans l’ordre alphabétique.</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lang w:val="fr-FR" w:eastAsia="fr-FR"/>
        </w:rPr>
      </w:pPr>
      <w:r>
        <w:rPr>
          <w:lang w:val="fr-FR" w:eastAsia="fr-FR"/>
        </w:rPr>
        <w:t>6.7.4.2.1</w:t>
      </w:r>
      <w:r>
        <w:rPr>
          <w:lang w:val="fr-FR" w:eastAsia="fr-FR"/>
        </w:rPr>
        <w:tab/>
        <w:t>Dans la première phrase, remplacer «</w:t>
      </w:r>
      <w:r>
        <w:rPr>
          <w:lang w:val="fr-FR"/>
        </w:rPr>
        <w:t>code pour récipients sous pression agréé par l'autorité compétente</w:t>
      </w:r>
      <w:r>
        <w:rPr>
          <w:lang w:val="fr-FR" w:eastAsia="fr-FR"/>
        </w:rPr>
        <w:t xml:space="preserve">» par «code pour appareils à pression reconnu par l’autorité compétente». Dans la septième phrase, </w:t>
      </w:r>
      <w:proofErr w:type="gramStart"/>
      <w:r>
        <w:rPr>
          <w:lang w:val="fr-FR" w:eastAsia="fr-FR"/>
        </w:rPr>
        <w:t>remplacer</w:t>
      </w:r>
      <w:proofErr w:type="gramEnd"/>
      <w:r>
        <w:rPr>
          <w:lang w:val="fr-FR" w:eastAsia="fr-FR"/>
        </w:rPr>
        <w:t xml:space="preserve"> «</w:t>
      </w:r>
      <w:r>
        <w:rPr>
          <w:lang w:val="fr-FR"/>
        </w:rPr>
        <w:t>Les joints de soudure doivent être faits</w:t>
      </w:r>
      <w:r>
        <w:rPr>
          <w:lang w:val="fr-FR" w:eastAsia="fr-FR"/>
        </w:rPr>
        <w:t>» par «Les soudures doivent être faites».</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i/>
          <w:lang w:val="fr-FR"/>
        </w:rPr>
      </w:pPr>
      <w:r>
        <w:rPr>
          <w:lang w:val="fr-FR" w:eastAsia="fr-FR"/>
        </w:rPr>
        <w:t>6.7.4.4.1 b)</w:t>
      </w:r>
      <w:r>
        <w:rPr>
          <w:lang w:val="fr-FR" w:eastAsia="fr-FR"/>
        </w:rPr>
        <w:tab/>
        <w:t>Remplacer «</w:t>
      </w:r>
      <w:r>
        <w:rPr>
          <w:lang w:val="fr-FR"/>
        </w:rPr>
        <w:t>au code agréé pour récipients sous pression» par «au code reconnu pour appareils à pression».</w:t>
      </w:r>
      <w:r>
        <w:rPr>
          <w:i/>
          <w:lang w:val="fr-FR"/>
        </w:rPr>
        <w:t xml:space="preserve"> </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rPr>
          <w:lang w:val="fr-FR" w:eastAsia="fr-FR"/>
        </w:rPr>
      </w:pPr>
      <w:r>
        <w:rPr>
          <w:lang w:val="fr-FR" w:eastAsia="fr-FR"/>
        </w:rPr>
        <w:t>6.7.4.10.1</w:t>
      </w:r>
      <w:r>
        <w:rPr>
          <w:lang w:val="fr-FR" w:eastAsia="fr-FR"/>
        </w:rPr>
        <w:tab/>
        <w:t>Remplacer «dans la phase gazeuse» par «dans le ciel gazeux».</w:t>
      </w:r>
    </w:p>
    <w:p w:rsidR="009209F1" w:rsidRDefault="009209F1" w:rsidP="009209F1">
      <w:pPr>
        <w:pStyle w:val="SingleTxtG"/>
        <w:ind w:left="0"/>
        <w:rPr>
          <w:i/>
          <w:lang w:val="fr-FR"/>
        </w:rPr>
      </w:pPr>
      <w:r>
        <w:rPr>
          <w:i/>
          <w:lang w:val="fr-FR"/>
        </w:rPr>
        <w:t>(Document de référence : document informel INF.61)</w:t>
      </w:r>
    </w:p>
    <w:p w:rsidR="009209F1" w:rsidRDefault="009209F1" w:rsidP="009209F1">
      <w:pPr>
        <w:pStyle w:val="SingleTxtG"/>
        <w:tabs>
          <w:tab w:val="left" w:pos="1854"/>
        </w:tabs>
        <w:rPr>
          <w:lang w:val="fr-FR"/>
        </w:rPr>
      </w:pPr>
      <w:r>
        <w:rPr>
          <w:lang w:val="fr-FR"/>
        </w:rPr>
        <w:t>6.7.4.13.1</w:t>
      </w:r>
      <w:r>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Pr>
          <w:b/>
          <w:vertAlign w:val="superscript"/>
          <w:lang w:val="fr-FR"/>
        </w:rPr>
        <w:t>14/2</w:t>
      </w:r>
      <w:r>
        <w:rPr>
          <w:lang w:val="fr-FR"/>
        </w:rPr>
        <w:t>»</w:t>
      </w:r>
    </w:p>
    <w:p w:rsidR="009209F1" w:rsidRDefault="009209F1" w:rsidP="009209F1">
      <w:pPr>
        <w:pStyle w:val="SingleTxtG"/>
        <w:tabs>
          <w:tab w:val="left" w:pos="1854"/>
        </w:tabs>
        <w:rPr>
          <w:lang w:val="fr-FR"/>
        </w:rPr>
      </w:pPr>
      <w:r>
        <w:rPr>
          <w:lang w:val="fr-FR"/>
        </w:rPr>
        <w:t>La note de bas de page 14/2 se lit comme suit:</w:t>
      </w:r>
    </w:p>
    <w:p w:rsidR="009209F1" w:rsidRDefault="009209F1" w:rsidP="009209F1">
      <w:pPr>
        <w:pStyle w:val="SingleTxtG"/>
        <w:tabs>
          <w:tab w:val="left" w:pos="1854"/>
        </w:tabs>
        <w:rPr>
          <w:lang w:val="fr-FR"/>
        </w:rPr>
      </w:pPr>
      <w:r>
        <w:rPr>
          <w:lang w:val="fr-FR"/>
        </w:rPr>
        <w:t>«</w:t>
      </w:r>
      <w:r>
        <w:rPr>
          <w:b/>
          <w:vertAlign w:val="superscript"/>
          <w:lang w:val="fr-FR"/>
        </w:rPr>
        <w:t>14/2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tabs>
          <w:tab w:val="left" w:pos="1854"/>
        </w:tabs>
        <w:rPr>
          <w:lang w:val="fr-FR"/>
        </w:rPr>
      </w:pPr>
      <w:r>
        <w:rPr>
          <w:lang w:val="fr-FR"/>
        </w:rPr>
        <w:t>(RID:) Renuméroter les notes de bas de page 12 à 14 actuelles en tant que 15 à 17.</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rPr>
          <w:lang w:val="fr-FR" w:eastAsia="fr-FR"/>
        </w:rPr>
      </w:pPr>
      <w:r>
        <w:rPr>
          <w:lang w:val="fr-FR" w:eastAsia="fr-FR"/>
        </w:rPr>
        <w:t>6.7.4.14.11</w:t>
      </w:r>
      <w:r>
        <w:rPr>
          <w:lang w:val="fr-FR" w:eastAsia="fr-FR"/>
        </w:rPr>
        <w:tab/>
        <w:t>Remplacer «</w:t>
      </w:r>
      <w:r>
        <w:rPr>
          <w:lang w:val="fr-FR"/>
        </w:rPr>
        <w:t>code pour récipients sous pression</w:t>
      </w:r>
      <w:r>
        <w:rPr>
          <w:lang w:val="fr-FR" w:eastAsia="fr-FR"/>
        </w:rPr>
        <w:t>» par «code pour appareils à pression»</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rPr>
          <w:lang w:val="fr-FR" w:eastAsia="fr-FR"/>
        </w:rPr>
      </w:pPr>
      <w:r>
        <w:rPr>
          <w:lang w:val="fr-FR" w:eastAsia="fr-FR"/>
        </w:rPr>
        <w:t>6.7.4.15.1</w:t>
      </w:r>
      <w:r>
        <w:rPr>
          <w:lang w:val="fr-FR" w:eastAsia="fr-FR"/>
        </w:rPr>
        <w:tab/>
      </w:r>
      <w:r>
        <w:rPr>
          <w:lang w:val="fr-FR" w:eastAsia="fr-FR"/>
        </w:rPr>
        <w:tab/>
        <w:t>Dans le paragraphe avant les alinéas et à l’alinéa c) vi), remplacer «</w:t>
      </w:r>
      <w:r>
        <w:rPr>
          <w:bCs/>
          <w:iCs/>
          <w:lang w:val="fr-FR"/>
        </w:rPr>
        <w:t>code pour récipients à pression</w:t>
      </w:r>
      <w:r>
        <w:rPr>
          <w:lang w:val="fr-FR" w:eastAsia="fr-FR"/>
        </w:rPr>
        <w:t>» par «code pour appareils à pression».</w:t>
      </w:r>
    </w:p>
    <w:p w:rsidR="009209F1" w:rsidRDefault="009209F1" w:rsidP="009209F1">
      <w:pPr>
        <w:pStyle w:val="SingleTxtG"/>
        <w:tabs>
          <w:tab w:val="left" w:pos="1854"/>
        </w:tabs>
        <w:rPr>
          <w:lang w:val="fr-FR" w:eastAsia="fr-FR"/>
        </w:rPr>
      </w:pPr>
      <w:r>
        <w:rPr>
          <w:lang w:val="fr-FR" w:eastAsia="fr-FR"/>
        </w:rPr>
        <w:t>Figure 6.7.4.15.1</w:t>
      </w:r>
      <w:r>
        <w:rPr>
          <w:lang w:val="fr-FR" w:eastAsia="fr-FR"/>
        </w:rPr>
        <w:tab/>
      </w:r>
      <w:r>
        <w:rPr>
          <w:lang w:val="fr-FR" w:eastAsia="fr-FR"/>
        </w:rPr>
        <w:tab/>
        <w:t>Remplacer «</w:t>
      </w:r>
      <w:r>
        <w:rPr>
          <w:bCs/>
          <w:iCs/>
          <w:lang w:val="fr-FR"/>
        </w:rPr>
        <w:t>code pour récipients à pression</w:t>
      </w:r>
      <w:r>
        <w:rPr>
          <w:lang w:val="fr-FR" w:eastAsia="fr-FR"/>
        </w:rPr>
        <w:t>» par «code pour appareils à pression».</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lang w:val="fr-FR" w:eastAsia="fr-FR"/>
        </w:rPr>
      </w:pPr>
      <w:r>
        <w:rPr>
          <w:lang w:val="fr-FR" w:eastAsia="fr-FR"/>
        </w:rPr>
        <w:t>6.7.5.3.2</w:t>
      </w:r>
      <w:r>
        <w:rPr>
          <w:lang w:val="fr-FR" w:eastAsia="fr-FR"/>
        </w:rPr>
        <w:tab/>
      </w:r>
      <w:r>
        <w:rPr>
          <w:lang w:val="fr-FR" w:eastAsia="fr-FR"/>
        </w:rPr>
        <w:tab/>
        <w:t>Modifier la première phrase pour lire comme suit: «</w:t>
      </w:r>
      <w:r>
        <w:rPr>
          <w:lang w:val="fr-FR"/>
        </w:rPr>
        <w:t>Chaque élément conçu pour le transport de gaz toxiques (gaz des groupes T, TF, TC, TO TFC et TOC) doit être équipé d’un robinet.</w:t>
      </w:r>
      <w:r>
        <w:rPr>
          <w:lang w:val="fr-FR" w:eastAsia="fr-FR"/>
        </w:rPr>
        <w:t>».</w:t>
      </w:r>
    </w:p>
    <w:p w:rsidR="009209F1" w:rsidRDefault="009209F1" w:rsidP="009209F1">
      <w:pPr>
        <w:pStyle w:val="SingleTxtG"/>
        <w:ind w:left="0"/>
        <w:rPr>
          <w:i/>
          <w:lang w:val="fr-FR"/>
        </w:rPr>
      </w:pPr>
      <w:r>
        <w:rPr>
          <w:i/>
          <w:lang w:val="fr-FR"/>
        </w:rPr>
        <w:t>(Document de référence: document informel INF.44)</w:t>
      </w:r>
    </w:p>
    <w:p w:rsidR="009209F1" w:rsidRDefault="009209F1" w:rsidP="009209F1">
      <w:pPr>
        <w:pStyle w:val="SingleTxtG"/>
        <w:tabs>
          <w:tab w:val="left" w:pos="1854"/>
        </w:tabs>
        <w:rPr>
          <w:lang w:val="fr-FR"/>
        </w:rPr>
      </w:pPr>
      <w:r>
        <w:rPr>
          <w:lang w:val="fr-FR"/>
        </w:rPr>
        <w:t>6.7.5.8.1</w:t>
      </w:r>
      <w:r>
        <w:rPr>
          <w:lang w:val="fr-FR"/>
        </w:rPr>
        <w:tab/>
      </w:r>
      <w:r>
        <w:rPr>
          <w:lang w:val="fr-FR"/>
        </w:rPr>
        <w:tab/>
        <w:t>Remplacer «l’espace vapeur» par «le ciel gazeux».</w:t>
      </w:r>
    </w:p>
    <w:p w:rsidR="009209F1" w:rsidRDefault="009209F1" w:rsidP="009209F1">
      <w:pPr>
        <w:pStyle w:val="SingleTxtG"/>
        <w:ind w:left="0"/>
        <w:rPr>
          <w:i/>
          <w:lang w:val="fr-FR"/>
        </w:rPr>
      </w:pPr>
      <w:r>
        <w:rPr>
          <w:i/>
          <w:lang w:val="fr-FR"/>
        </w:rPr>
        <w:t>(Document de référence: document informel INF.61)</w:t>
      </w:r>
    </w:p>
    <w:p w:rsidR="009209F1" w:rsidRDefault="009209F1" w:rsidP="009209F1">
      <w:pPr>
        <w:pStyle w:val="SingleTxtG"/>
        <w:tabs>
          <w:tab w:val="left" w:pos="1854"/>
        </w:tabs>
        <w:rPr>
          <w:lang w:val="fr-FR"/>
        </w:rPr>
      </w:pPr>
      <w:r>
        <w:rPr>
          <w:lang w:val="fr-FR"/>
        </w:rPr>
        <w:t>6.7.5.11.1</w:t>
      </w:r>
      <w:r>
        <w:rPr>
          <w:lang w:val="fr-FR"/>
        </w:rPr>
        <w:tab/>
        <w:t>Dans la cinquième phrase, remplacer «c’est-à-dire du symbole des véhicules en circulation routière internationale prévu par la Convention de Vienne sur la circulation routière (Vienne 1968)» par «indiqué par le signe distinctif utilisé sur les véhicules en circulation routière internationale</w:t>
      </w:r>
      <w:r>
        <w:rPr>
          <w:b/>
          <w:vertAlign w:val="superscript"/>
          <w:lang w:val="fr-FR"/>
        </w:rPr>
        <w:t>18/2</w:t>
      </w:r>
      <w:r>
        <w:rPr>
          <w:lang w:val="fr-FR"/>
        </w:rPr>
        <w:t>»</w:t>
      </w:r>
    </w:p>
    <w:p w:rsidR="009209F1" w:rsidRDefault="009209F1" w:rsidP="009209F1">
      <w:pPr>
        <w:pStyle w:val="SingleTxtG"/>
        <w:tabs>
          <w:tab w:val="left" w:pos="1854"/>
        </w:tabs>
        <w:rPr>
          <w:lang w:val="fr-FR"/>
        </w:rPr>
      </w:pPr>
      <w:r>
        <w:rPr>
          <w:lang w:val="fr-FR"/>
        </w:rPr>
        <w:t>La note de bas de page 18/2 se lit comme suit:</w:t>
      </w:r>
    </w:p>
    <w:p w:rsidR="009209F1" w:rsidRDefault="009209F1" w:rsidP="009209F1">
      <w:pPr>
        <w:pStyle w:val="SingleTxtG"/>
        <w:tabs>
          <w:tab w:val="left" w:pos="1854"/>
        </w:tabs>
        <w:rPr>
          <w:lang w:val="fr-FR"/>
        </w:rPr>
      </w:pPr>
      <w:r>
        <w:rPr>
          <w:lang w:val="fr-FR"/>
        </w:rPr>
        <w:lastRenderedPageBreak/>
        <w:t>«</w:t>
      </w:r>
      <w:r>
        <w:rPr>
          <w:b/>
          <w:vertAlign w:val="superscript"/>
          <w:lang w:val="fr-FR"/>
        </w:rPr>
        <w:t>18/2</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Pr>
          <w:lang w:val="fr-FR"/>
        </w:rPr>
        <w:t xml:space="preserve"> </w:t>
      </w:r>
    </w:p>
    <w:p w:rsidR="009209F1" w:rsidRDefault="009209F1" w:rsidP="009209F1">
      <w:pPr>
        <w:pStyle w:val="SingleTxtG"/>
        <w:tabs>
          <w:tab w:val="left" w:pos="1854"/>
        </w:tabs>
        <w:rPr>
          <w:lang w:val="fr-FR"/>
        </w:rPr>
      </w:pPr>
      <w:r>
        <w:rPr>
          <w:lang w:val="fr-FR"/>
        </w:rPr>
        <w:t>(RID:) Renuméroter les notes de bas de page 15 et 16 actuelles en tant que 19 et 20.</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H1G"/>
        <w:rPr>
          <w:sz w:val="20"/>
          <w:lang w:val="fr-FR"/>
        </w:rPr>
      </w:pPr>
      <w:r>
        <w:rPr>
          <w:sz w:val="20"/>
          <w:lang w:val="fr-FR"/>
        </w:rPr>
        <w:tab/>
      </w:r>
      <w:r>
        <w:rPr>
          <w:sz w:val="20"/>
          <w:lang w:val="fr-FR"/>
        </w:rPr>
        <w:tab/>
        <w:t>Chapitre 6.8</w:t>
      </w:r>
    </w:p>
    <w:p w:rsidR="009209F1" w:rsidRDefault="009209F1" w:rsidP="009209F1">
      <w:pPr>
        <w:pStyle w:val="SingleTxtG"/>
        <w:rPr>
          <w:lang w:val="fr-FR"/>
        </w:rPr>
      </w:pPr>
      <w:r>
        <w:rPr>
          <w:lang w:val="fr-FR"/>
        </w:rPr>
        <w:t>6.8.2.1.23</w:t>
      </w:r>
      <w:r>
        <w:rPr>
          <w:lang w:val="fr-FR"/>
        </w:rPr>
        <w:tab/>
        <w:t>Modifier pour lire comme suit:</w:t>
      </w:r>
    </w:p>
    <w:p w:rsidR="009209F1" w:rsidRDefault="009209F1" w:rsidP="009209F1">
      <w:pPr>
        <w:pStyle w:val="SingleTxtG"/>
        <w:rPr>
          <w:lang w:val="fr-FR"/>
        </w:rPr>
      </w:pPr>
      <w:r>
        <w:rPr>
          <w:lang w:val="fr-FR"/>
        </w:rPr>
        <w:t>«6.8.2.1.23</w:t>
      </w:r>
      <w:r>
        <w:rPr>
          <w:lang w:val="fr-FR"/>
        </w:rPr>
        <w:tab/>
        <w:t>L'aptitude du constructeur à réaliser des travaux de soudure doit être vérifiée et confirmée par l'autorité compétente ou par l’organisme désigné par elle, qui délivre l’agrément de type. Un système d’assurance qualité du soudage doit être mis en place par le constructeur. Les travaux de soudage doivent être exécutés par des soudeurs qualifiés utilisant des modes opératoires de soudage qualifiés, dont l’efficacité (y compris les traitements thermiques qui pourraient être nécessaires) a été démontrée par des essais. Des contrôles non destructifs doivent être effectués par radiographie ou par ultrasons et doivent confirmer que la qualité des soudures correspond aux sollicitations.</w:t>
      </w:r>
    </w:p>
    <w:p w:rsidR="009209F1" w:rsidRDefault="009209F1" w:rsidP="009209F1">
      <w:pPr>
        <w:pStyle w:val="SingleTxtG"/>
        <w:rPr>
          <w:lang w:val="fr-FR"/>
        </w:rPr>
      </w:pPr>
      <w:r>
        <w:rPr>
          <w:lang w:val="fr-FR"/>
        </w:rPr>
        <w:t xml:space="preserve">Les contrôles suivants doivent être effectués pour les soudures réalisées selon chaque mode opératoire de soudage utilisé par le constructeur, en tenant compte de la valeur du coefficient </w:t>
      </w:r>
      <w:r>
        <w:rPr>
          <w:lang w:val="fr-FR"/>
        </w:rPr>
        <w:sym w:font="Symbol" w:char="F06C"/>
      </w:r>
      <w:r>
        <w:rPr>
          <w:lang w:val="fr-FR"/>
        </w:rPr>
        <w:t xml:space="preserve"> utilisée pour la détermination de l'épaisseur du réservoir au 6.8.2.1.17 :</w:t>
      </w:r>
    </w:p>
    <w:p w:rsidR="009209F1" w:rsidRDefault="009209F1" w:rsidP="009209F1">
      <w:pPr>
        <w:pStyle w:val="SingleTxtG"/>
        <w:ind w:left="1985" w:hanging="851"/>
        <w:rPr>
          <w:lang w:val="fr-FR"/>
        </w:rPr>
      </w:pPr>
      <w:r>
        <w:rPr>
          <w:lang w:val="fr-FR"/>
        </w:rPr>
        <w:sym w:font="Symbol" w:char="F06C"/>
      </w:r>
      <w:r>
        <w:rPr>
          <w:lang w:val="fr-FR"/>
        </w:rPr>
        <w:t xml:space="preserve"> = 0,8:</w:t>
      </w:r>
      <w:r>
        <w:rPr>
          <w:lang w:val="fr-FR"/>
        </w:rPr>
        <w:tab/>
        <w:t>tous les cordons de soudure doivent être vérifiés autant que possible visuellement sur les deux faces et doivent être soumis à des contrôles non destructifs. Les contrôles non destructifs doivent comprendre tous les nœuds de soudure en «T» et les inserts utilisés pour éviter des soudures en croix. La longueur totale de cordons à contrôler ne doit pas être inférieure à:</w:t>
      </w:r>
    </w:p>
    <w:p w:rsidR="009209F1" w:rsidRDefault="009209F1" w:rsidP="009209F1">
      <w:pPr>
        <w:pStyle w:val="SingleTxtG"/>
        <w:ind w:left="1985" w:hanging="851"/>
        <w:rPr>
          <w:lang w:val="fr-FR"/>
        </w:rPr>
      </w:pPr>
      <w:r>
        <w:rPr>
          <w:lang w:val="fr-FR"/>
        </w:rPr>
        <w:tab/>
        <w:t>10% de la longueur de toutes les soudures longitudinales,</w:t>
      </w:r>
    </w:p>
    <w:p w:rsidR="009209F1" w:rsidRDefault="009209F1" w:rsidP="009209F1">
      <w:pPr>
        <w:pStyle w:val="SingleTxtG"/>
        <w:ind w:left="1985" w:hanging="851"/>
        <w:rPr>
          <w:lang w:val="fr-FR"/>
        </w:rPr>
      </w:pPr>
      <w:r>
        <w:rPr>
          <w:lang w:val="fr-FR"/>
        </w:rPr>
        <w:tab/>
        <w:t xml:space="preserve">10% de la longueur de toutes les soudures circulaires, </w:t>
      </w:r>
    </w:p>
    <w:p w:rsidR="009209F1" w:rsidRDefault="009209F1" w:rsidP="009209F1">
      <w:pPr>
        <w:pStyle w:val="SingleTxtG"/>
        <w:ind w:left="1985" w:hanging="851"/>
        <w:rPr>
          <w:lang w:val="fr-FR"/>
        </w:rPr>
      </w:pPr>
      <w:r>
        <w:rPr>
          <w:lang w:val="fr-FR"/>
        </w:rPr>
        <w:tab/>
        <w:t>10% de la longueur de toutes les soudures circulaires dans les fonds de la citerne; et</w:t>
      </w:r>
    </w:p>
    <w:p w:rsidR="009209F1" w:rsidRDefault="009209F1" w:rsidP="009209F1">
      <w:pPr>
        <w:pStyle w:val="SingleTxtG"/>
        <w:ind w:left="1985" w:hanging="851"/>
        <w:rPr>
          <w:lang w:val="fr-FR"/>
        </w:rPr>
      </w:pPr>
      <w:r>
        <w:rPr>
          <w:lang w:val="fr-FR"/>
        </w:rPr>
        <w:tab/>
        <w:t>10% de la longueur de toutes les soudures radiales dans les fonds de la citerne.</w:t>
      </w:r>
    </w:p>
    <w:p w:rsidR="009209F1" w:rsidRDefault="009209F1" w:rsidP="009209F1">
      <w:pPr>
        <w:pStyle w:val="SingleTxtG"/>
        <w:ind w:left="1985" w:hanging="851"/>
        <w:rPr>
          <w:lang w:val="fr-FR"/>
        </w:rPr>
      </w:pPr>
      <w:r>
        <w:rPr>
          <w:lang w:val="fr-FR"/>
        </w:rPr>
        <w:sym w:font="Symbol" w:char="F06C"/>
      </w:r>
      <w:r>
        <w:rPr>
          <w:lang w:val="fr-FR"/>
        </w:rPr>
        <w:t xml:space="preserve"> = 0,9:</w:t>
      </w:r>
      <w:r>
        <w:rPr>
          <w:lang w:val="fr-FR"/>
        </w:rPr>
        <w:tab/>
        <w:t>tous les cordons de soudure doivent être vérifiés autant que possible visuellement sur les deux faces et doivent être soumis à des contrôles non destructifs. Les contrôles non destructifs doivent comprendre tous les nœuds de soudure, les inserts utilisés pour éviter des soudures en croix et les soudures d'assemblage d'équipements de diamètre important. La longueur totale de cordon à contrôler ne doit pas être inférieure à:</w:t>
      </w:r>
    </w:p>
    <w:p w:rsidR="009209F1" w:rsidRDefault="009209F1" w:rsidP="009209F1">
      <w:pPr>
        <w:pStyle w:val="SingleTxtG"/>
        <w:ind w:left="1985" w:hanging="851"/>
        <w:rPr>
          <w:lang w:val="fr-FR"/>
        </w:rPr>
      </w:pPr>
      <w:r>
        <w:rPr>
          <w:lang w:val="fr-FR"/>
        </w:rPr>
        <w:tab/>
        <w:t>100% de la longueur de toutes les soudures longitudinales,</w:t>
      </w:r>
    </w:p>
    <w:p w:rsidR="009209F1" w:rsidRDefault="009209F1" w:rsidP="009209F1">
      <w:pPr>
        <w:pStyle w:val="SingleTxtG"/>
        <w:ind w:left="1985" w:hanging="851"/>
        <w:rPr>
          <w:lang w:val="fr-FR"/>
        </w:rPr>
      </w:pPr>
      <w:r>
        <w:rPr>
          <w:lang w:val="fr-FR"/>
        </w:rPr>
        <w:tab/>
        <w:t xml:space="preserve">25% de la longueur de toutes les soudures circulaires, </w:t>
      </w:r>
    </w:p>
    <w:p w:rsidR="009209F1" w:rsidRDefault="009209F1" w:rsidP="009209F1">
      <w:pPr>
        <w:pStyle w:val="SingleTxtG"/>
        <w:ind w:left="1985" w:hanging="851"/>
        <w:rPr>
          <w:lang w:val="fr-FR"/>
        </w:rPr>
      </w:pPr>
      <w:r>
        <w:rPr>
          <w:lang w:val="fr-FR"/>
        </w:rPr>
        <w:tab/>
        <w:t>25% de la longueur de toutes les soudures circulaires dans les fonds de la citerne; et</w:t>
      </w:r>
    </w:p>
    <w:p w:rsidR="009209F1" w:rsidRDefault="009209F1" w:rsidP="009209F1">
      <w:pPr>
        <w:pStyle w:val="SingleTxtG"/>
        <w:ind w:left="1985" w:hanging="851"/>
        <w:rPr>
          <w:lang w:val="fr-FR"/>
        </w:rPr>
      </w:pPr>
      <w:r>
        <w:rPr>
          <w:lang w:val="fr-FR"/>
        </w:rPr>
        <w:tab/>
        <w:t>25% de la longueur de toutes les soudures radiales dans les fonds de la citerne.</w:t>
      </w:r>
    </w:p>
    <w:p w:rsidR="009209F1" w:rsidRDefault="009209F1" w:rsidP="009209F1">
      <w:pPr>
        <w:pStyle w:val="SingleTxtG"/>
        <w:ind w:left="1985" w:hanging="851"/>
        <w:rPr>
          <w:lang w:val="fr-FR"/>
        </w:rPr>
      </w:pPr>
      <w:r>
        <w:rPr>
          <w:lang w:val="fr-FR"/>
        </w:rPr>
        <w:sym w:font="Symbol" w:char="F06C"/>
      </w:r>
      <w:r>
        <w:rPr>
          <w:lang w:val="fr-FR"/>
        </w:rPr>
        <w:t xml:space="preserve"> = 1:</w:t>
      </w:r>
      <w:r>
        <w:rPr>
          <w:lang w:val="fr-FR"/>
        </w:rPr>
        <w:tab/>
        <w:t>tous les cordons de soudure sur toute leur longueur doivent être l'objet de contrôles non destructifs et doivent être vérifiés autant que possible visuellement sur les deux faces. Un prélèvement d'éprouvette de soudure doit être effectué.</w:t>
      </w:r>
    </w:p>
    <w:p w:rsidR="009209F1" w:rsidRDefault="009209F1" w:rsidP="009209F1">
      <w:pPr>
        <w:pStyle w:val="SingleTxtG"/>
        <w:rPr>
          <w:lang w:val="fr-FR"/>
        </w:rPr>
      </w:pPr>
      <w:r>
        <w:rPr>
          <w:lang w:val="fr-FR"/>
        </w:rPr>
        <w:lastRenderedPageBreak/>
        <w:t xml:space="preserve">Dans le cas des coefficients </w:t>
      </w:r>
      <w:r>
        <w:rPr>
          <w:lang w:val="fr-FR"/>
        </w:rPr>
        <w:sym w:font="Symbol" w:char="F06C"/>
      </w:r>
      <w:r>
        <w:rPr>
          <w:lang w:val="fr-FR"/>
        </w:rPr>
        <w:t xml:space="preserve"> = 0,8 ou </w:t>
      </w:r>
      <w:r>
        <w:rPr>
          <w:lang w:val="fr-FR"/>
        </w:rPr>
        <w:sym w:font="Symbol" w:char="F06C"/>
      </w:r>
      <w:r>
        <w:rPr>
          <w:lang w:val="fr-FR"/>
        </w:rPr>
        <w:t xml:space="preserve"> = 0,9, lorsque la présence d’un défaut inacceptable est constatée dans une partie d’une soudure le contrôle doit être étendu à une partie de la soudure de longueur au moins égale de chaque côté de celle qui contient un défaut. Si ce contrôle non destructif donne lieu à l’observation d’un nouveau défaut inacceptable, le contrôle doit être étendu à la totalité des soudures du même mode opératoire de soudage.</w:t>
      </w:r>
    </w:p>
    <w:p w:rsidR="009209F1" w:rsidRDefault="009209F1" w:rsidP="009209F1">
      <w:pPr>
        <w:pStyle w:val="SingleTxtG"/>
        <w:rPr>
          <w:rFonts w:cs="Arial"/>
          <w:lang w:val="fr-FR"/>
        </w:rPr>
      </w:pPr>
      <w:r>
        <w:rPr>
          <w:lang w:val="fr-FR"/>
        </w:rPr>
        <w:t xml:space="preserve">Lorsque l'autorité compétente ou l’organisme désigné par elle, a des doutes sur la qualité des soudures, y compris les soudures faites pour réparer tout défaut révélé par des contrôles </w:t>
      </w:r>
      <w:r w:rsidR="006C5949">
        <w:rPr>
          <w:lang w:val="fr-FR"/>
        </w:rPr>
        <w:t xml:space="preserve">non destructifs, elle ou </w:t>
      </w:r>
      <w:r w:rsidRPr="009209F1">
        <w:rPr>
          <w:lang w:val="fr-FR"/>
        </w:rPr>
        <w:t>il peut ordonner des contrôles supplémentaires.».</w:t>
      </w:r>
    </w:p>
    <w:p w:rsidR="009209F1" w:rsidRDefault="009209F1" w:rsidP="009209F1">
      <w:pPr>
        <w:pStyle w:val="SingleTxtG"/>
        <w:ind w:left="0"/>
        <w:rPr>
          <w:i/>
          <w:lang w:val="fr-FR"/>
        </w:rPr>
      </w:pPr>
      <w:r>
        <w:rPr>
          <w:i/>
          <w:lang w:val="fr-FR"/>
        </w:rPr>
        <w:t>(Documents de référence: ECE/TRANS/WP.15/AC.1/2016/13, documents informels INF.17, INF.49 et INF.61)</w:t>
      </w:r>
    </w:p>
    <w:p w:rsidR="009209F1" w:rsidRDefault="009209F1" w:rsidP="009209F1">
      <w:pPr>
        <w:tabs>
          <w:tab w:val="left" w:pos="1418"/>
        </w:tabs>
        <w:spacing w:before="120" w:after="120"/>
        <w:ind w:left="1134" w:right="1134"/>
        <w:jc w:val="both"/>
        <w:rPr>
          <w:lang w:val="fr-FR"/>
        </w:rPr>
      </w:pPr>
      <w:r>
        <w:rPr>
          <w:lang w:val="fr-FR"/>
        </w:rPr>
        <w:t>(RID:)</w:t>
      </w:r>
    </w:p>
    <w:p w:rsidR="009209F1" w:rsidRDefault="009209F1" w:rsidP="009209F1">
      <w:pPr>
        <w:tabs>
          <w:tab w:val="left" w:pos="1418"/>
        </w:tabs>
        <w:spacing w:before="120" w:after="120"/>
        <w:ind w:left="1134" w:right="1134"/>
        <w:jc w:val="both"/>
        <w:rPr>
          <w:lang w:val="fr-FR"/>
        </w:rPr>
      </w:pPr>
      <w:r>
        <w:rPr>
          <w:lang w:val="fr-FR"/>
        </w:rPr>
        <w:t>6.8.2.1.29</w:t>
      </w:r>
      <w:r>
        <w:rPr>
          <w:lang w:val="fr-FR"/>
        </w:rPr>
        <w:tab/>
        <w:t>Dans la note de bas de page 6, remplacer «EN 15273-2:2009» par «EN 15273-2:2013».</w:t>
      </w:r>
    </w:p>
    <w:p w:rsidR="009209F1" w:rsidRDefault="009209F1" w:rsidP="009209F1">
      <w:pPr>
        <w:pStyle w:val="SingleTxtG"/>
        <w:tabs>
          <w:tab w:val="left" w:pos="1854"/>
        </w:tabs>
        <w:rPr>
          <w:lang w:val="fr-FR"/>
        </w:rPr>
      </w:pPr>
      <w:r>
        <w:rPr>
          <w:lang w:val="fr-FR"/>
        </w:rPr>
        <w:t>6.8.2.3.1</w:t>
      </w:r>
      <w:r>
        <w:rPr>
          <w:lang w:val="fr-FR"/>
        </w:rPr>
        <w:tab/>
      </w:r>
      <w:r>
        <w:rPr>
          <w:lang w:val="fr-FR"/>
        </w:rPr>
        <w:tab/>
        <w:t>Au deuxième tiret, dans la colonne de droite, remplacer «sigle distinctif</w:t>
      </w:r>
      <w:r>
        <w:rPr>
          <w:b/>
          <w:vertAlign w:val="superscript"/>
          <w:lang w:val="fr-FR"/>
        </w:rPr>
        <w:t>9/8</w:t>
      </w:r>
      <w:r>
        <w:rPr>
          <w:lang w:val="fr-FR"/>
        </w:rPr>
        <w:t xml:space="preserve"> de l’Etat» par «signe distinctif utilisé sur les véhicules en circulation routière internationale</w:t>
      </w:r>
      <w:r>
        <w:rPr>
          <w:b/>
          <w:vertAlign w:val="superscript"/>
          <w:lang w:val="fr-FR"/>
        </w:rPr>
        <w:t>9/8</w:t>
      </w:r>
      <w:r>
        <w:rPr>
          <w:lang w:val="fr-FR"/>
        </w:rPr>
        <w:t xml:space="preserve"> pour l’Etat».</w:t>
      </w:r>
    </w:p>
    <w:p w:rsidR="009209F1" w:rsidRDefault="009209F1" w:rsidP="009209F1">
      <w:pPr>
        <w:pStyle w:val="SingleTxtG"/>
        <w:tabs>
          <w:tab w:val="left" w:pos="1854"/>
        </w:tabs>
        <w:rPr>
          <w:lang w:val="fr-FR"/>
        </w:rPr>
      </w:pPr>
      <w:r>
        <w:rPr>
          <w:lang w:val="fr-FR"/>
        </w:rPr>
        <w:t>Modifier la note de bas de page 9/8 pour lire:</w:t>
      </w:r>
    </w:p>
    <w:p w:rsidR="009209F1" w:rsidRDefault="009209F1" w:rsidP="009209F1">
      <w:pPr>
        <w:tabs>
          <w:tab w:val="left" w:pos="1418"/>
        </w:tabs>
        <w:spacing w:before="120" w:after="120"/>
        <w:ind w:left="1134" w:right="1134"/>
        <w:jc w:val="both"/>
        <w:rPr>
          <w:lang w:val="fr-FR"/>
        </w:rPr>
      </w:pPr>
      <w:r>
        <w:rPr>
          <w:lang w:val="fr-FR"/>
        </w:rPr>
        <w:t>«</w:t>
      </w:r>
      <w:r>
        <w:rPr>
          <w:b/>
          <w:vertAlign w:val="superscript"/>
          <w:lang w:val="fr-FR"/>
        </w:rPr>
        <w:t>9/8</w:t>
      </w:r>
      <w:r>
        <w:rPr>
          <w:lang w:val="fr-FR"/>
        </w:rPr>
        <w:tab/>
      </w:r>
      <w:r>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9209F1" w:rsidRDefault="009209F1" w:rsidP="009209F1">
      <w:pPr>
        <w:pStyle w:val="SingleTxtG"/>
        <w:ind w:left="0"/>
        <w:rPr>
          <w:i/>
          <w:lang w:val="fr-FR"/>
        </w:rPr>
      </w:pPr>
      <w:r>
        <w:rPr>
          <w:i/>
          <w:lang w:val="fr-FR"/>
        </w:rPr>
        <w:t>(Document de référence: document informel INF.41)</w:t>
      </w:r>
    </w:p>
    <w:p w:rsidR="009209F1" w:rsidRDefault="009209F1" w:rsidP="009209F1">
      <w:pPr>
        <w:pStyle w:val="SingleTxtG"/>
        <w:rPr>
          <w:lang w:val="fr-FR"/>
        </w:rPr>
      </w:pPr>
      <w:r>
        <w:rPr>
          <w:lang w:val="fr-FR"/>
        </w:rPr>
        <w:t>(ADR:)</w:t>
      </w:r>
    </w:p>
    <w:p w:rsidR="009209F1" w:rsidRDefault="009209F1" w:rsidP="009209F1">
      <w:pPr>
        <w:pStyle w:val="SingleTxtG"/>
        <w:rPr>
          <w:lang w:val="fr-FR"/>
        </w:rPr>
      </w:pPr>
      <w:r>
        <w:rPr>
          <w:lang w:val="fr-FR"/>
        </w:rPr>
        <w:t>6.8.2.4.1</w:t>
      </w:r>
      <w:r>
        <w:rPr>
          <w:lang w:val="fr-FR"/>
        </w:rPr>
        <w:tab/>
        <w:t>Modifier le paragraphe figurant en colonne de gauche comme suit:</w:t>
      </w:r>
    </w:p>
    <w:tbl>
      <w:tblPr>
        <w:tblW w:w="0" w:type="auto"/>
        <w:tblInd w:w="1134" w:type="dxa"/>
        <w:tblLook w:val="04A0" w:firstRow="1" w:lastRow="0" w:firstColumn="1" w:lastColumn="0" w:noHBand="0" w:noVBand="1"/>
      </w:tblPr>
      <w:tblGrid>
        <w:gridCol w:w="4220"/>
        <w:gridCol w:w="4001"/>
      </w:tblGrid>
      <w:tr w:rsidR="009209F1" w:rsidTr="009209F1">
        <w:tc>
          <w:tcPr>
            <w:tcW w:w="4220" w:type="dxa"/>
            <w:tcBorders>
              <w:top w:val="nil"/>
              <w:left w:val="nil"/>
              <w:bottom w:val="nil"/>
              <w:right w:val="single" w:sz="4" w:space="0" w:color="auto"/>
            </w:tcBorders>
            <w:hideMark/>
          </w:tcPr>
          <w:p w:rsidR="009209F1" w:rsidRDefault="009209F1">
            <w:pPr>
              <w:tabs>
                <w:tab w:val="left" w:pos="284"/>
                <w:tab w:val="left" w:pos="1418"/>
                <w:tab w:val="left" w:pos="1843"/>
              </w:tabs>
              <w:rPr>
                <w:lang w:val="fr-FR"/>
              </w:rPr>
            </w:pPr>
            <w:r>
              <w:rPr>
                <w:lang w:val="fr-FR"/>
              </w:rPr>
              <w:t>«L'épreuve doit être effectuée sur chaque compartiment à une pression au moins égale à:</w:t>
            </w:r>
          </w:p>
          <w:p w:rsidR="009209F1" w:rsidRDefault="009209F1">
            <w:pPr>
              <w:tabs>
                <w:tab w:val="left" w:pos="284"/>
                <w:tab w:val="left" w:pos="1418"/>
                <w:tab w:val="left" w:pos="1843"/>
              </w:tabs>
              <w:rPr>
                <w:lang w:val="fr-FR"/>
              </w:rPr>
            </w:pPr>
            <w:r>
              <w:rPr>
                <w:lang w:val="fr-FR"/>
              </w:rPr>
              <w:t xml:space="preserve">- </w:t>
            </w:r>
            <w:r>
              <w:rPr>
                <w:lang w:val="fr-FR"/>
              </w:rPr>
              <w:tab/>
              <w:t>1,3 fois la pression maximale de service; ou</w:t>
            </w:r>
          </w:p>
          <w:p w:rsidR="009209F1" w:rsidRDefault="009209F1">
            <w:pPr>
              <w:tabs>
                <w:tab w:val="left" w:pos="1418"/>
                <w:tab w:val="left" w:pos="1843"/>
              </w:tabs>
              <w:ind w:left="284" w:hanging="284"/>
              <w:rPr>
                <w:lang w:val="fr-FR"/>
              </w:rPr>
            </w:pPr>
            <w:r>
              <w:rPr>
                <w:lang w:val="fr-FR"/>
              </w:rPr>
              <w:t xml:space="preserve">- </w:t>
            </w:r>
            <w:r>
              <w:rPr>
                <w:lang w:val="fr-FR"/>
              </w:rPr>
              <w:tab/>
              <w:t>1,3 fois la pression statique de la matière à transporter sans être inférieure à 1,3 fois la pression statique de l’eau, avec un minimum de 20 kPa (0,2 bar), pour les citernes à vidange gravitaire selon le 6.8.2.1.14 a).».</w:t>
            </w:r>
          </w:p>
        </w:tc>
        <w:tc>
          <w:tcPr>
            <w:tcW w:w="4001" w:type="dxa"/>
            <w:tcBorders>
              <w:top w:val="nil"/>
              <w:left w:val="single" w:sz="4" w:space="0" w:color="auto"/>
              <w:bottom w:val="nil"/>
              <w:right w:val="nil"/>
            </w:tcBorders>
          </w:tcPr>
          <w:p w:rsidR="009209F1" w:rsidRDefault="009209F1">
            <w:pPr>
              <w:tabs>
                <w:tab w:val="left" w:pos="1418"/>
                <w:tab w:val="left" w:pos="1843"/>
              </w:tabs>
              <w:rPr>
                <w:lang w:val="fr-FR"/>
              </w:rPr>
            </w:pPr>
          </w:p>
        </w:tc>
      </w:tr>
    </w:tbl>
    <w:p w:rsidR="009209F1" w:rsidRDefault="009209F1" w:rsidP="009209F1">
      <w:pPr>
        <w:tabs>
          <w:tab w:val="left" w:pos="1418"/>
          <w:tab w:val="left" w:pos="1843"/>
          <w:tab w:val="left" w:pos="2268"/>
          <w:tab w:val="left" w:pos="2694"/>
        </w:tabs>
        <w:ind w:left="1418"/>
        <w:rPr>
          <w:lang w:val="fr-FR"/>
        </w:rPr>
      </w:pPr>
    </w:p>
    <w:p w:rsidR="009209F1" w:rsidRDefault="009209F1" w:rsidP="009209F1">
      <w:pPr>
        <w:pStyle w:val="SingleTxtG"/>
        <w:ind w:left="0"/>
        <w:rPr>
          <w:i/>
          <w:lang w:val="fr-FR"/>
        </w:rPr>
      </w:pPr>
      <w:r>
        <w:rPr>
          <w:i/>
          <w:lang w:val="fr-FR"/>
        </w:rPr>
        <w:t>(Documents de référence: ECE/TRANS/WP.15/AC.1/2016/17 et documents informels INF.49 et INF.61)</w:t>
      </w:r>
    </w:p>
    <w:p w:rsidR="009209F1" w:rsidRDefault="009209F1" w:rsidP="009209F1">
      <w:pPr>
        <w:tabs>
          <w:tab w:val="left" w:pos="1418"/>
        </w:tabs>
        <w:spacing w:before="120" w:after="120"/>
        <w:ind w:left="1134" w:right="1134"/>
        <w:jc w:val="both"/>
        <w:rPr>
          <w:lang w:val="fr-FR"/>
        </w:rPr>
      </w:pPr>
      <w:r>
        <w:rPr>
          <w:lang w:val="fr-FR"/>
        </w:rPr>
        <w:t>6.8.2.4.3</w:t>
      </w:r>
      <w:r>
        <w:rPr>
          <w:lang w:val="fr-FR"/>
        </w:rPr>
        <w:tab/>
        <w:t>Remplacer l’avant-dernier paragraphe par le suivant:</w:t>
      </w:r>
    </w:p>
    <w:p w:rsidR="009209F1" w:rsidRDefault="009209F1" w:rsidP="009209F1">
      <w:pPr>
        <w:tabs>
          <w:tab w:val="left" w:pos="1418"/>
        </w:tabs>
        <w:spacing w:before="120" w:after="120"/>
        <w:ind w:left="1134" w:right="1134"/>
        <w:jc w:val="both"/>
        <w:rPr>
          <w:lang w:val="fr-FR"/>
        </w:rPr>
      </w:pPr>
      <w:r>
        <w:rPr>
          <w:lang w:val="fr-FR"/>
        </w:rPr>
        <w:t>«Pour les citernes munies de dispositifs de respiration et d’un dispositif propre à empêcher que le contenu ne se répande au-dehors si la citerne se renverse, l’épreuve d’étanchéité doit être effectuée à une pression au moins égale à la valeur la plus élevée des valeurs parmi la pression statique de la matière à transporter la plus dense, 1,3 fois la pression statique de l’eau et 20 kPa (0,2 bar).».</w:t>
      </w:r>
    </w:p>
    <w:p w:rsidR="009209F1" w:rsidRDefault="009209F1" w:rsidP="009209F1">
      <w:pPr>
        <w:pStyle w:val="SingleTxtG"/>
        <w:ind w:left="0"/>
        <w:rPr>
          <w:i/>
          <w:lang w:val="fr-FR"/>
        </w:rPr>
      </w:pPr>
      <w:r>
        <w:rPr>
          <w:i/>
          <w:lang w:val="fr-FR"/>
        </w:rPr>
        <w:t>(Documents de référence: ECE/TRANS/WP.15/AC.1/2016/17 et documents informels INF.49 et INF.61)</w:t>
      </w:r>
    </w:p>
    <w:p w:rsidR="009209F1" w:rsidRDefault="009209F1" w:rsidP="009209F1">
      <w:pPr>
        <w:tabs>
          <w:tab w:val="left" w:pos="1418"/>
        </w:tabs>
        <w:spacing w:before="120" w:after="120"/>
        <w:ind w:left="1134" w:right="1134"/>
        <w:jc w:val="both"/>
        <w:rPr>
          <w:lang w:val="fr-FR"/>
        </w:rPr>
      </w:pPr>
      <w:r>
        <w:rPr>
          <w:lang w:val="fr-FR"/>
        </w:rPr>
        <w:t>(ADR:)</w:t>
      </w:r>
    </w:p>
    <w:p w:rsidR="009209F1" w:rsidRDefault="009209F1" w:rsidP="009209F1">
      <w:pPr>
        <w:tabs>
          <w:tab w:val="left" w:pos="1418"/>
        </w:tabs>
        <w:spacing w:before="120" w:after="120"/>
        <w:ind w:left="1134" w:right="1134"/>
        <w:jc w:val="both"/>
        <w:rPr>
          <w:lang w:val="fr-FR"/>
        </w:rPr>
      </w:pPr>
      <w:r>
        <w:rPr>
          <w:lang w:val="fr-FR"/>
        </w:rPr>
        <w:t>6.8.2.6.1</w:t>
      </w:r>
      <w:r>
        <w:rPr>
          <w:lang w:val="fr-FR"/>
        </w:rPr>
        <w:tab/>
      </w:r>
      <w:r>
        <w:rPr>
          <w:rFonts w:cs="Arial"/>
          <w:szCs w:val="22"/>
          <w:lang w:val="fr-FR"/>
        </w:rPr>
        <w:t>Dans</w:t>
      </w:r>
      <w:r>
        <w:rPr>
          <w:lang w:val="fr-FR"/>
        </w:rPr>
        <w:t xml:space="preserve"> le tableau:</w:t>
      </w:r>
    </w:p>
    <w:p w:rsidR="009209F1" w:rsidRDefault="009209F1" w:rsidP="009209F1">
      <w:pPr>
        <w:widowControl w:val="0"/>
        <w:tabs>
          <w:tab w:val="left" w:pos="1418"/>
        </w:tabs>
        <w:spacing w:before="120" w:after="120"/>
        <w:ind w:left="1134" w:right="1134"/>
        <w:jc w:val="both"/>
        <w:rPr>
          <w:lang w:val="fr-FR"/>
        </w:rPr>
      </w:pPr>
      <w:r>
        <w:rPr>
          <w:lang w:val="fr-FR"/>
        </w:rPr>
        <w:t>–</w:t>
      </w:r>
      <w:r>
        <w:rPr>
          <w:lang w:val="fr-FR"/>
        </w:rPr>
        <w:tab/>
        <w:t>Pour la norme «EN 14025:2013», dans la colonne (4), remplacer «Jusqu’à nouvel ordre» par «Entre le 1er janvier 2015 et le 31 décembre 2018».</w:t>
      </w:r>
    </w:p>
    <w:p w:rsidR="009209F1" w:rsidRDefault="009209F1" w:rsidP="009209F1">
      <w:pPr>
        <w:widowControl w:val="0"/>
        <w:tabs>
          <w:tab w:val="left" w:pos="1418"/>
        </w:tabs>
        <w:spacing w:before="120" w:after="120"/>
        <w:ind w:left="1134" w:right="1134"/>
        <w:jc w:val="both"/>
        <w:rPr>
          <w:rFonts w:cs="Arial"/>
          <w:szCs w:val="22"/>
          <w:lang w:val="fr-FR"/>
        </w:rPr>
      </w:pPr>
      <w:r>
        <w:rPr>
          <w:lang w:val="fr-FR"/>
        </w:rPr>
        <w:lastRenderedPageBreak/>
        <w:t>–</w:t>
      </w:r>
      <w:r>
        <w:rPr>
          <w:lang w:val="fr-FR"/>
        </w:rPr>
        <w:tab/>
        <w:t>Après la norme «EN 14025:2013», insérer la nouvelle norme suivante:</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969"/>
        <w:gridCol w:w="1012"/>
        <w:gridCol w:w="956"/>
        <w:gridCol w:w="664"/>
      </w:tblGrid>
      <w:tr w:rsidR="009209F1" w:rsidTr="009209F1">
        <w:tc>
          <w:tcPr>
            <w:tcW w:w="1679" w:type="dxa"/>
            <w:tcBorders>
              <w:top w:val="single" w:sz="4" w:space="0" w:color="auto"/>
              <w:left w:val="single" w:sz="4" w:space="0" w:color="auto"/>
              <w:bottom w:val="single" w:sz="4" w:space="0" w:color="auto"/>
              <w:right w:val="single" w:sz="4" w:space="0" w:color="auto"/>
            </w:tcBorders>
            <w:hideMark/>
          </w:tcPr>
          <w:p w:rsidR="009209F1" w:rsidRDefault="009209F1">
            <w:pPr>
              <w:tabs>
                <w:tab w:val="left" w:pos="1418"/>
              </w:tabs>
              <w:rPr>
                <w:rFonts w:cs="Arial"/>
                <w:lang w:val="fr-FR"/>
              </w:rPr>
            </w:pPr>
            <w:r>
              <w:rPr>
                <w:rFonts w:cs="Arial"/>
                <w:lang w:val="fr-FR"/>
              </w:rPr>
              <w:t>EN </w:t>
            </w:r>
            <w:r>
              <w:rPr>
                <w:rFonts w:cs="Arial"/>
                <w:bCs/>
                <w:szCs w:val="22"/>
                <w:lang w:val="fr-FR"/>
              </w:rPr>
              <w:t>14025:</w:t>
            </w:r>
            <w:r>
              <w:rPr>
                <w:rFonts w:cs="Arial"/>
                <w:szCs w:val="22"/>
                <w:lang w:val="fr-FR"/>
              </w:rPr>
              <w:t>2013+</w:t>
            </w:r>
            <w:r>
              <w:rPr>
                <w:rFonts w:cs="Arial"/>
                <w:szCs w:val="22"/>
                <w:lang w:val="fr-FR"/>
              </w:rPr>
              <w:br/>
              <w:t>A1</w:t>
            </w:r>
            <w:proofErr w:type="gramStart"/>
            <w:r>
              <w:rPr>
                <w:rFonts w:cs="Arial"/>
                <w:szCs w:val="22"/>
                <w:lang w:val="fr-FR"/>
              </w:rPr>
              <w:t>:[</w:t>
            </w:r>
            <w:proofErr w:type="gramEnd"/>
            <w:r>
              <w:rPr>
                <w:rFonts w:cs="Arial"/>
                <w:szCs w:val="22"/>
                <w:lang w:val="fr-FR"/>
              </w:rPr>
              <w:t>2016] (sauf annexe B)</w:t>
            </w:r>
          </w:p>
        </w:tc>
        <w:tc>
          <w:tcPr>
            <w:tcW w:w="3969" w:type="dxa"/>
            <w:tcBorders>
              <w:top w:val="single" w:sz="4" w:space="0" w:color="auto"/>
              <w:left w:val="single" w:sz="4" w:space="0" w:color="auto"/>
              <w:bottom w:val="single" w:sz="4" w:space="0" w:color="auto"/>
              <w:right w:val="single" w:sz="4" w:space="0" w:color="auto"/>
            </w:tcBorders>
            <w:vAlign w:val="center"/>
            <w:hideMark/>
          </w:tcPr>
          <w:p w:rsidR="009209F1" w:rsidRDefault="009209F1">
            <w:pPr>
              <w:rPr>
                <w:rFonts w:cs="Arial"/>
                <w:lang w:val="fr-FR"/>
              </w:rPr>
            </w:pPr>
            <w:r>
              <w:rPr>
                <w:rFonts w:cs="Arial"/>
                <w:lang w:val="fr-FR"/>
              </w:rPr>
              <w:t>Citernes destinées au transport de matières dangereuses – citernes métalliques sous pression – conception et fabrication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9209F1" w:rsidRDefault="009209F1">
            <w:pPr>
              <w:rPr>
                <w:rFonts w:cs="Arial"/>
                <w:lang w:val="fr-FR"/>
              </w:rPr>
            </w:pPr>
            <w:r>
              <w:rPr>
                <w:rFonts w:cs="Arial"/>
                <w:lang w:val="fr-FR"/>
              </w:rPr>
              <w:t>6.8.2.1 et 6.8.3.1</w:t>
            </w:r>
          </w:p>
        </w:tc>
        <w:tc>
          <w:tcPr>
            <w:tcW w:w="956" w:type="dxa"/>
            <w:tcBorders>
              <w:top w:val="single" w:sz="4" w:space="0" w:color="auto"/>
              <w:left w:val="single" w:sz="4" w:space="0" w:color="auto"/>
              <w:bottom w:val="single" w:sz="4" w:space="0" w:color="auto"/>
              <w:right w:val="single" w:sz="4" w:space="0" w:color="auto"/>
            </w:tcBorders>
            <w:vAlign w:val="center"/>
            <w:hideMark/>
          </w:tcPr>
          <w:p w:rsidR="009209F1" w:rsidRDefault="009209F1">
            <w:pPr>
              <w:jc w:val="center"/>
              <w:rPr>
                <w:rFonts w:cs="Arial"/>
                <w:lang w:val="fr-FR"/>
              </w:rPr>
            </w:pPr>
            <w:r>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9209F1" w:rsidRDefault="009209F1">
            <w:pPr>
              <w:widowControl w:val="0"/>
              <w:rPr>
                <w:rFonts w:cs="Arial"/>
                <w:sz w:val="18"/>
                <w:szCs w:val="18"/>
                <w:lang w:val="fr-FR"/>
              </w:rPr>
            </w:pPr>
          </w:p>
        </w:tc>
      </w:tr>
    </w:tbl>
    <w:p w:rsidR="009209F1" w:rsidRDefault="009209F1" w:rsidP="009209F1">
      <w:pPr>
        <w:spacing w:before="120" w:after="120"/>
        <w:ind w:left="1134"/>
        <w:rPr>
          <w:lang w:val="fr-FR"/>
        </w:rPr>
      </w:pPr>
      <w:r>
        <w:rPr>
          <w:lang w:val="fr-FR"/>
        </w:rPr>
        <w:t>–</w:t>
      </w:r>
      <w:r>
        <w:rPr>
          <w:lang w:val="fr-FR"/>
        </w:rPr>
        <w:tab/>
        <w:t>Pour la norme «EN 14595:2005», dans la colonne (4), remplacer «Jusqu’à nouvel ordre» par «Entre le 1er janvier 2007 et le 31 décembre 2018».</w:t>
      </w:r>
    </w:p>
    <w:p w:rsidR="009209F1" w:rsidRDefault="009209F1" w:rsidP="009209F1">
      <w:pPr>
        <w:spacing w:before="120" w:after="120"/>
        <w:ind w:left="1134"/>
        <w:rPr>
          <w:lang w:val="fr-FR"/>
        </w:rPr>
      </w:pPr>
      <w:r>
        <w:rPr>
          <w:lang w:val="fr-FR"/>
        </w:rPr>
        <w:t>–</w:t>
      </w:r>
      <w:r>
        <w:rPr>
          <w:lang w:val="fr-FR"/>
        </w:rPr>
        <w:tab/>
        <w:t>Après la norme «EN 14595:2005», insérer la nouvelle norme suivante:</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969"/>
        <w:gridCol w:w="1012"/>
        <w:gridCol w:w="956"/>
        <w:gridCol w:w="664"/>
      </w:tblGrid>
      <w:tr w:rsidR="009209F1" w:rsidTr="009209F1">
        <w:tc>
          <w:tcPr>
            <w:tcW w:w="1679" w:type="dxa"/>
            <w:tcBorders>
              <w:top w:val="single" w:sz="4" w:space="0" w:color="auto"/>
              <w:left w:val="single" w:sz="4" w:space="0" w:color="auto"/>
              <w:bottom w:val="single" w:sz="4" w:space="0" w:color="auto"/>
              <w:right w:val="single" w:sz="4" w:space="0" w:color="auto"/>
            </w:tcBorders>
            <w:hideMark/>
          </w:tcPr>
          <w:p w:rsidR="009209F1" w:rsidRDefault="009209F1">
            <w:pPr>
              <w:tabs>
                <w:tab w:val="left" w:pos="1418"/>
              </w:tabs>
              <w:rPr>
                <w:rFonts w:cs="Arial"/>
                <w:lang w:val="fr-FR"/>
              </w:rPr>
            </w:pPr>
            <w:r>
              <w:rPr>
                <w:rFonts w:cs="Arial"/>
                <w:bCs/>
                <w:szCs w:val="22"/>
                <w:lang w:val="fr-FR"/>
              </w:rPr>
              <w:t>EN 14595</w:t>
            </w:r>
            <w:proofErr w:type="gramStart"/>
            <w:r>
              <w:rPr>
                <w:rFonts w:cs="Arial"/>
                <w:bCs/>
                <w:szCs w:val="22"/>
                <w:lang w:val="fr-FR"/>
              </w:rPr>
              <w:t>:[</w:t>
            </w:r>
            <w:proofErr w:type="gramEnd"/>
            <w:r>
              <w:rPr>
                <w:rFonts w:cs="Arial"/>
                <w:bCs/>
                <w:szCs w:val="22"/>
                <w:lang w:val="fr-FR"/>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209F1" w:rsidRDefault="009209F1">
            <w:pPr>
              <w:rPr>
                <w:rFonts w:cs="Arial"/>
                <w:lang w:val="fr-FR"/>
              </w:rPr>
            </w:pPr>
            <w:r>
              <w:rPr>
                <w:rFonts w:cs="Arial"/>
                <w:lang w:val="fr-FR"/>
              </w:rPr>
              <w:t>Citernes destinées au transport de matières dangereuses - Équipement de service pour citernes - Dispositif de respiration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9209F1" w:rsidRDefault="009209F1">
            <w:pPr>
              <w:rPr>
                <w:rFonts w:cs="Arial"/>
                <w:lang w:val="fr-FR"/>
              </w:rPr>
            </w:pPr>
            <w:r>
              <w:rPr>
                <w:rFonts w:cs="Arial"/>
                <w:lang w:val="fr-FR"/>
              </w:rPr>
              <w:t>6.8.2.2 et 6.8.2.4.1</w:t>
            </w:r>
          </w:p>
        </w:tc>
        <w:tc>
          <w:tcPr>
            <w:tcW w:w="956" w:type="dxa"/>
            <w:tcBorders>
              <w:top w:val="single" w:sz="4" w:space="0" w:color="auto"/>
              <w:left w:val="single" w:sz="4" w:space="0" w:color="auto"/>
              <w:bottom w:val="single" w:sz="4" w:space="0" w:color="auto"/>
              <w:right w:val="single" w:sz="4" w:space="0" w:color="auto"/>
            </w:tcBorders>
            <w:vAlign w:val="center"/>
            <w:hideMark/>
          </w:tcPr>
          <w:p w:rsidR="009209F1" w:rsidRDefault="009209F1">
            <w:pPr>
              <w:jc w:val="center"/>
              <w:rPr>
                <w:rFonts w:cs="Arial"/>
                <w:lang w:val="fr-FR"/>
              </w:rPr>
            </w:pPr>
            <w:r>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9209F1" w:rsidRDefault="009209F1">
            <w:pPr>
              <w:widowControl w:val="0"/>
              <w:rPr>
                <w:rFonts w:cs="Arial"/>
                <w:sz w:val="18"/>
                <w:szCs w:val="18"/>
                <w:lang w:val="fr-FR"/>
              </w:rPr>
            </w:pPr>
          </w:p>
        </w:tc>
      </w:tr>
    </w:tbl>
    <w:p w:rsidR="009209F1" w:rsidRDefault="009209F1" w:rsidP="009209F1">
      <w:pPr>
        <w:tabs>
          <w:tab w:val="left" w:pos="1418"/>
          <w:tab w:val="left" w:pos="1843"/>
        </w:tabs>
        <w:spacing w:before="120" w:after="120"/>
        <w:ind w:left="1134" w:right="1134"/>
        <w:jc w:val="both"/>
        <w:rPr>
          <w:lang w:val="fr-FR"/>
        </w:rPr>
      </w:pPr>
      <w:r>
        <w:rPr>
          <w:lang w:val="fr-FR"/>
        </w:rPr>
        <w:t>6.8.3.1.5</w:t>
      </w:r>
      <w:r>
        <w:rPr>
          <w:lang w:val="fr-FR"/>
        </w:rPr>
        <w:tab/>
      </w:r>
      <w:r>
        <w:rPr>
          <w:lang w:val="fr-FR"/>
        </w:rPr>
        <w:tab/>
        <w:t>Modifier la première phrase pour lire comme suit:</w:t>
      </w:r>
    </w:p>
    <w:p w:rsidR="009209F1" w:rsidRDefault="009209F1" w:rsidP="009209F1">
      <w:pPr>
        <w:tabs>
          <w:tab w:val="left" w:pos="1418"/>
          <w:tab w:val="left" w:pos="1843"/>
        </w:tabs>
        <w:spacing w:before="120" w:after="120"/>
        <w:ind w:left="1134" w:right="1134"/>
        <w:jc w:val="both"/>
        <w:rPr>
          <w:lang w:val="fr-FR"/>
        </w:rPr>
      </w:pPr>
      <w:r>
        <w:rPr>
          <w:lang w:val="fr-FR"/>
        </w:rPr>
        <w:t>«Les éléments</w:t>
      </w:r>
    </w:p>
    <w:tbl>
      <w:tblPr>
        <w:tblW w:w="0" w:type="auto"/>
        <w:tblInd w:w="1134" w:type="dxa"/>
        <w:tblLook w:val="04A0" w:firstRow="1" w:lastRow="0" w:firstColumn="1" w:lastColumn="0" w:noHBand="0" w:noVBand="1"/>
      </w:tblPr>
      <w:tblGrid>
        <w:gridCol w:w="4220"/>
        <w:gridCol w:w="4001"/>
      </w:tblGrid>
      <w:tr w:rsidR="009209F1" w:rsidTr="009209F1">
        <w:tc>
          <w:tcPr>
            <w:tcW w:w="4220" w:type="dxa"/>
            <w:tcBorders>
              <w:top w:val="nil"/>
              <w:left w:val="nil"/>
              <w:bottom w:val="nil"/>
              <w:right w:val="single" w:sz="4" w:space="0" w:color="auto"/>
            </w:tcBorders>
            <w:hideMark/>
          </w:tcPr>
          <w:p w:rsidR="009209F1" w:rsidRDefault="009209F1">
            <w:pPr>
              <w:tabs>
                <w:tab w:val="left" w:pos="1418"/>
                <w:tab w:val="left" w:pos="1843"/>
              </w:tabs>
              <w:ind w:left="284"/>
              <w:rPr>
                <w:lang w:val="fr-FR"/>
              </w:rPr>
            </w:pPr>
            <w:r>
              <w:rPr>
                <w:lang w:val="fr-FR"/>
              </w:rPr>
              <w:t>des wagons-batteries/des véhicules-batteries et leurs moyens de fixation</w:t>
            </w:r>
          </w:p>
        </w:tc>
        <w:tc>
          <w:tcPr>
            <w:tcW w:w="4001" w:type="dxa"/>
            <w:tcBorders>
              <w:top w:val="nil"/>
              <w:left w:val="single" w:sz="4" w:space="0" w:color="auto"/>
              <w:bottom w:val="nil"/>
              <w:right w:val="nil"/>
            </w:tcBorders>
            <w:hideMark/>
          </w:tcPr>
          <w:p w:rsidR="009209F1" w:rsidRDefault="009209F1">
            <w:pPr>
              <w:tabs>
                <w:tab w:val="left" w:pos="1418"/>
                <w:tab w:val="left" w:pos="1843"/>
              </w:tabs>
              <w:rPr>
                <w:lang w:val="fr-FR"/>
              </w:rPr>
            </w:pPr>
            <w:r>
              <w:rPr>
                <w:lang w:val="fr-FR"/>
              </w:rPr>
              <w:t>des CGEM et leurs moyens de fixation, ainsi que le cadre des CGEM</w:t>
            </w:r>
          </w:p>
        </w:tc>
      </w:tr>
    </w:tbl>
    <w:p w:rsidR="009209F1" w:rsidRDefault="009209F1" w:rsidP="009209F1">
      <w:pPr>
        <w:tabs>
          <w:tab w:val="left" w:pos="1418"/>
          <w:tab w:val="left" w:pos="1843"/>
        </w:tabs>
        <w:spacing w:before="120" w:after="120"/>
        <w:ind w:left="1134" w:right="1134"/>
        <w:jc w:val="both"/>
        <w:rPr>
          <w:lang w:val="fr-FR"/>
        </w:rPr>
      </w:pPr>
      <w:proofErr w:type="gramStart"/>
      <w:r>
        <w:rPr>
          <w:lang w:val="fr-FR"/>
        </w:rPr>
        <w:t>doivent</w:t>
      </w:r>
      <w:proofErr w:type="gramEnd"/>
      <w:r>
        <w:rPr>
          <w:lang w:val="fr-FR"/>
        </w:rPr>
        <w:t xml:space="preserve"> pouvoir absorber, dans les conditions du chargement maximal autorisé, les forces définies au 6.8.2.1.2. ».</w:t>
      </w:r>
    </w:p>
    <w:p w:rsidR="009209F1" w:rsidRDefault="009209F1" w:rsidP="009209F1">
      <w:pPr>
        <w:pStyle w:val="SingleTxtG"/>
        <w:ind w:left="0"/>
        <w:rPr>
          <w:lang w:val="fr-FR"/>
        </w:rPr>
      </w:pPr>
      <w:r>
        <w:rPr>
          <w:i/>
          <w:lang w:val="fr-FR"/>
        </w:rPr>
        <w:t>(Documents de référence: ECE/TRANS/WP.15/AC.1/2016/11 et document informel INF.61)</w:t>
      </w:r>
      <w:r>
        <w:rPr>
          <w:lang w:val="fr-FR"/>
        </w:rPr>
        <w:t xml:space="preserve"> </w:t>
      </w:r>
    </w:p>
    <w:p w:rsidR="009209F1" w:rsidRDefault="009209F1" w:rsidP="009209F1">
      <w:pPr>
        <w:tabs>
          <w:tab w:val="left" w:pos="1418"/>
          <w:tab w:val="left" w:pos="1843"/>
        </w:tabs>
        <w:spacing w:before="120" w:after="120"/>
        <w:ind w:left="1134" w:right="1134"/>
        <w:jc w:val="both"/>
        <w:rPr>
          <w:lang w:val="fr-FR"/>
        </w:rPr>
      </w:pPr>
      <w:r>
        <w:rPr>
          <w:lang w:val="fr-FR"/>
        </w:rPr>
        <w:t>(RID:)</w:t>
      </w:r>
    </w:p>
    <w:p w:rsidR="009209F1" w:rsidRDefault="009209F1" w:rsidP="009209F1">
      <w:pPr>
        <w:tabs>
          <w:tab w:val="left" w:pos="1418"/>
          <w:tab w:val="left" w:pos="1843"/>
        </w:tabs>
        <w:spacing w:before="120" w:after="120"/>
        <w:ind w:left="1134" w:right="1134"/>
        <w:jc w:val="both"/>
        <w:rPr>
          <w:rFonts w:cs="Arial"/>
          <w:szCs w:val="22"/>
          <w:lang w:val="fr-FR"/>
        </w:rPr>
      </w:pPr>
      <w:r>
        <w:rPr>
          <w:lang w:val="fr-FR"/>
        </w:rPr>
        <w:t>6.8.4, disposition spéciale TE22</w:t>
      </w:r>
      <w:r>
        <w:rPr>
          <w:lang w:val="fr-FR"/>
        </w:rPr>
        <w:tab/>
        <w:t>Dans le quatrième paragraphe, remplacer «EN 15551:2009» par «EN 15551:2009 + A1:2010».</w:t>
      </w:r>
    </w:p>
    <w:p w:rsidR="009209F1" w:rsidRDefault="009209F1" w:rsidP="009209F1">
      <w:pPr>
        <w:tabs>
          <w:tab w:val="left" w:pos="1418"/>
          <w:tab w:val="left" w:pos="1843"/>
        </w:tabs>
        <w:spacing w:before="120" w:after="120"/>
        <w:ind w:left="1134" w:right="1134"/>
        <w:jc w:val="both"/>
        <w:rPr>
          <w:rFonts w:cs="Arial"/>
          <w:szCs w:val="22"/>
          <w:lang w:val="fr-FR"/>
        </w:rPr>
      </w:pPr>
      <w:r>
        <w:rPr>
          <w:rFonts w:cs="Arial"/>
          <w:szCs w:val="22"/>
          <w:lang w:val="fr-FR"/>
        </w:rPr>
        <w:t>(RID:)</w:t>
      </w:r>
    </w:p>
    <w:p w:rsidR="009209F1" w:rsidRDefault="009209F1" w:rsidP="009209F1">
      <w:pPr>
        <w:tabs>
          <w:tab w:val="left" w:pos="1418"/>
          <w:tab w:val="left" w:pos="1843"/>
        </w:tabs>
        <w:spacing w:before="120" w:after="120"/>
        <w:ind w:left="1134" w:right="1134"/>
        <w:jc w:val="both"/>
        <w:rPr>
          <w:lang w:val="fr-FR"/>
        </w:rPr>
      </w:pPr>
      <w:r>
        <w:rPr>
          <w:lang w:val="fr-FR"/>
        </w:rPr>
        <w:t xml:space="preserve">6.8.4, disposition spéciale </w:t>
      </w:r>
      <w:r>
        <w:rPr>
          <w:rFonts w:cs="Arial"/>
          <w:szCs w:val="22"/>
          <w:lang w:val="fr-FR"/>
        </w:rPr>
        <w:t>TE25</w:t>
      </w:r>
      <w:r>
        <w:rPr>
          <w:rFonts w:cs="Arial"/>
          <w:szCs w:val="22"/>
          <w:lang w:val="fr-FR"/>
        </w:rPr>
        <w:tab/>
      </w:r>
      <w:r>
        <w:rPr>
          <w:lang w:val="fr-FR"/>
        </w:rPr>
        <w:t xml:space="preserve">À l’alinéa a), au neuvième tiret, remplacer «EN 15551:2011» par «EN 15551:2009 + A1:2010». </w:t>
      </w:r>
    </w:p>
    <w:p w:rsidR="009209F1" w:rsidRDefault="009209F1" w:rsidP="009209F1">
      <w:pPr>
        <w:tabs>
          <w:tab w:val="left" w:pos="1418"/>
          <w:tab w:val="left" w:pos="1843"/>
        </w:tabs>
        <w:spacing w:before="120" w:after="120"/>
        <w:ind w:left="1134" w:right="1134"/>
        <w:jc w:val="both"/>
        <w:rPr>
          <w:lang w:val="fr-FR"/>
        </w:rPr>
      </w:pPr>
      <w:r>
        <w:rPr>
          <w:lang w:val="fr-FR"/>
        </w:rPr>
        <w:t>(ADR:)</w:t>
      </w:r>
    </w:p>
    <w:p w:rsidR="009209F1" w:rsidRDefault="009209F1" w:rsidP="009209F1">
      <w:pPr>
        <w:tabs>
          <w:tab w:val="left" w:pos="1418"/>
          <w:tab w:val="left" w:pos="1843"/>
        </w:tabs>
        <w:spacing w:before="120" w:after="120"/>
        <w:ind w:left="1134" w:right="1134"/>
        <w:jc w:val="both"/>
        <w:rPr>
          <w:lang w:val="fr-FR"/>
        </w:rPr>
      </w:pPr>
      <w:r>
        <w:rPr>
          <w:lang w:val="fr-FR"/>
        </w:rPr>
        <w:t>6.8.4, disposition spéciale TT11</w:t>
      </w:r>
      <w:r>
        <w:rPr>
          <w:lang w:val="fr-FR"/>
        </w:rPr>
        <w:tab/>
        <w:t>Dans le paragraphe sous le tableau, remplacer «EN 14025:2013» par «EN 14025:2013+A1</w:t>
      </w:r>
      <w:proofErr w:type="gramStart"/>
      <w:r>
        <w:rPr>
          <w:lang w:val="fr-FR"/>
        </w:rPr>
        <w:t>:[</w:t>
      </w:r>
      <w:proofErr w:type="gramEnd"/>
      <w:r>
        <w:rPr>
          <w:lang w:val="fr-FR"/>
        </w:rPr>
        <w:t>2016]».</w:t>
      </w:r>
    </w:p>
    <w:p w:rsidR="009209F1" w:rsidRDefault="009209F1" w:rsidP="009209F1">
      <w:pPr>
        <w:pStyle w:val="SingleTxtG"/>
        <w:ind w:left="0"/>
        <w:rPr>
          <w:i/>
          <w:lang w:val="fr-FR"/>
        </w:rPr>
      </w:pPr>
      <w:r>
        <w:rPr>
          <w:i/>
          <w:lang w:val="fr-FR"/>
        </w:rPr>
        <w:t>(Document de référence: document informel INF.57)</w:t>
      </w:r>
    </w:p>
    <w:p w:rsidR="009209F1" w:rsidRDefault="009209F1" w:rsidP="009209F1">
      <w:pPr>
        <w:pStyle w:val="H1G"/>
        <w:rPr>
          <w:sz w:val="20"/>
          <w:lang w:val="fr-FR"/>
        </w:rPr>
      </w:pPr>
      <w:r>
        <w:rPr>
          <w:sz w:val="20"/>
          <w:lang w:val="fr-FR"/>
        </w:rPr>
        <w:tab/>
      </w:r>
      <w:r>
        <w:rPr>
          <w:sz w:val="20"/>
          <w:lang w:val="fr-FR"/>
        </w:rPr>
        <w:tab/>
        <w:t>Chapitre 7.1</w:t>
      </w:r>
    </w:p>
    <w:p w:rsidR="009209F1" w:rsidRDefault="009209F1" w:rsidP="009209F1">
      <w:pPr>
        <w:tabs>
          <w:tab w:val="left" w:pos="1418"/>
          <w:tab w:val="left" w:pos="1843"/>
        </w:tabs>
        <w:spacing w:before="120" w:after="120"/>
        <w:ind w:left="1134" w:right="1134"/>
        <w:jc w:val="both"/>
        <w:rPr>
          <w:lang w:val="fr-FR"/>
        </w:rPr>
      </w:pPr>
      <w:r>
        <w:rPr>
          <w:b/>
          <w:lang w:val="fr-FR"/>
        </w:rPr>
        <w:t>7.1.3</w:t>
      </w:r>
      <w:r>
        <w:rPr>
          <w:lang w:val="fr-FR"/>
        </w:rPr>
        <w:tab/>
        <w:t>Au début du paragraphe, après «les citernes mobiles», insérer «, les CGEM». Remplacer «l’armature de la citerne mobile» par «le cadre de la citerne mobile, du CGEM».</w:t>
      </w:r>
    </w:p>
    <w:p w:rsidR="009209F1" w:rsidRDefault="009209F1" w:rsidP="009209F1">
      <w:pPr>
        <w:pStyle w:val="SingleTxtG"/>
        <w:ind w:left="0"/>
        <w:rPr>
          <w:i/>
          <w:lang w:val="fr-FR"/>
        </w:rPr>
      </w:pPr>
      <w:r>
        <w:rPr>
          <w:i/>
          <w:lang w:val="fr-FR"/>
        </w:rPr>
        <w:t>(Documents de référence: ECE/TRANS/WP.15/AC.1/2016/11 et document informel INF.61)</w:t>
      </w:r>
    </w:p>
    <w:p w:rsidR="009209F1" w:rsidRDefault="009209F1">
      <w:pPr>
        <w:suppressAutoHyphens w:val="0"/>
        <w:spacing w:line="240" w:lineRule="auto"/>
        <w:rPr>
          <w:b/>
          <w:sz w:val="28"/>
          <w:lang w:val="fr-FR"/>
        </w:rPr>
      </w:pPr>
      <w:r>
        <w:rPr>
          <w:lang w:val="fr-FR"/>
        </w:rPr>
        <w:br w:type="page"/>
      </w:r>
    </w:p>
    <w:p w:rsidR="009209F1" w:rsidRPr="006C5949" w:rsidRDefault="009209F1" w:rsidP="009209F1">
      <w:pPr>
        <w:pStyle w:val="HChG"/>
        <w:rPr>
          <w:lang w:val="en-GB"/>
        </w:rPr>
      </w:pPr>
      <w:r w:rsidRPr="006C5949">
        <w:rPr>
          <w:lang w:val="en-GB"/>
        </w:rPr>
        <w:lastRenderedPageBreak/>
        <w:t>Annexe IV</w:t>
      </w:r>
    </w:p>
    <w:p w:rsidR="009209F1" w:rsidRPr="006C5949" w:rsidRDefault="009209F1" w:rsidP="009209F1">
      <w:pPr>
        <w:pStyle w:val="HChG"/>
        <w:rPr>
          <w:lang w:val="en-GB"/>
        </w:rPr>
      </w:pPr>
      <w:r w:rsidRPr="006C5949">
        <w:rPr>
          <w:lang w:val="en-GB"/>
        </w:rPr>
        <w:tab/>
      </w:r>
      <w:r w:rsidRPr="006C5949">
        <w:rPr>
          <w:lang w:val="en-GB"/>
        </w:rPr>
        <w:tab/>
        <w:t xml:space="preserve">Draft </w:t>
      </w:r>
      <w:proofErr w:type="spellStart"/>
      <w:r w:rsidRPr="006C5949">
        <w:rPr>
          <w:lang w:val="en-GB"/>
        </w:rPr>
        <w:t>Amendements</w:t>
      </w:r>
      <w:proofErr w:type="spellEnd"/>
      <w:r w:rsidRPr="006C5949">
        <w:rPr>
          <w:lang w:val="en-GB"/>
        </w:rPr>
        <w:t xml:space="preserve"> for entry into force on 1 January 2019</w:t>
      </w:r>
    </w:p>
    <w:p w:rsidR="009209F1" w:rsidRDefault="009209F1" w:rsidP="009209F1">
      <w:pPr>
        <w:pStyle w:val="H1G"/>
        <w:rPr>
          <w:sz w:val="20"/>
          <w:lang w:val="fr-FR"/>
        </w:rPr>
      </w:pPr>
      <w:r w:rsidRPr="006C5949">
        <w:rPr>
          <w:sz w:val="20"/>
          <w:lang w:val="en-GB"/>
        </w:rPr>
        <w:tab/>
      </w:r>
      <w:r w:rsidRPr="006C5949">
        <w:rPr>
          <w:sz w:val="20"/>
          <w:lang w:val="en-GB"/>
        </w:rPr>
        <w:tab/>
      </w:r>
      <w:r>
        <w:rPr>
          <w:sz w:val="20"/>
          <w:lang w:val="fr-FR"/>
        </w:rPr>
        <w:t>Chapitre 1.8</w:t>
      </w:r>
    </w:p>
    <w:p w:rsidR="009209F1" w:rsidRDefault="009209F1" w:rsidP="009209F1">
      <w:pPr>
        <w:tabs>
          <w:tab w:val="left" w:pos="1418"/>
          <w:tab w:val="left" w:pos="1843"/>
        </w:tabs>
        <w:spacing w:before="120" w:after="120"/>
        <w:ind w:left="1134" w:right="1134"/>
        <w:jc w:val="both"/>
        <w:rPr>
          <w:lang w:val="fr-FR"/>
        </w:rPr>
      </w:pPr>
      <w:r>
        <w:rPr>
          <w:lang w:val="fr-FR"/>
        </w:rPr>
        <w:t>1.8.3.1</w:t>
      </w:r>
      <w:r>
        <w:rPr>
          <w:lang w:val="fr-FR"/>
        </w:rPr>
        <w:tab/>
        <w:t>Après «dont l’activité comporte», insérer: «l’expédition,».</w:t>
      </w:r>
    </w:p>
    <w:p w:rsidR="009209F1" w:rsidRDefault="009209F1" w:rsidP="009209F1">
      <w:pPr>
        <w:pStyle w:val="SingleTxtG"/>
        <w:ind w:left="0"/>
        <w:rPr>
          <w:i/>
          <w:iCs/>
          <w:lang w:val="fr-FR"/>
        </w:rPr>
      </w:pPr>
      <w:r>
        <w:rPr>
          <w:i/>
          <w:iCs/>
          <w:lang w:val="fr-FR"/>
        </w:rPr>
        <w:t>(Document de référence: ECE/TRANS/WP.15/AC.1/2016/3, proposition 2)</w:t>
      </w:r>
    </w:p>
    <w:p w:rsidR="009209F1" w:rsidRDefault="009209F1" w:rsidP="009209F1">
      <w:pPr>
        <w:tabs>
          <w:tab w:val="left" w:pos="1418"/>
          <w:tab w:val="left" w:pos="1843"/>
        </w:tabs>
        <w:spacing w:before="120" w:after="120"/>
        <w:ind w:left="1134" w:right="1134"/>
        <w:jc w:val="both"/>
        <w:rPr>
          <w:lang w:val="fr-FR"/>
        </w:rPr>
      </w:pPr>
      <w:r>
        <w:rPr>
          <w:lang w:val="fr-FR"/>
        </w:rPr>
        <w:t>1.8.3.2</w:t>
      </w:r>
      <w:r>
        <w:rPr>
          <w:lang w:val="fr-FR"/>
        </w:rPr>
        <w:tab/>
        <w:t>À l’alinéa b)/a), remplacer «situées en deçà des seuils» par «ne dépassant pas les seuils».</w:t>
      </w:r>
    </w:p>
    <w:p w:rsidR="009209F1" w:rsidRDefault="009209F1" w:rsidP="009209F1">
      <w:pPr>
        <w:pStyle w:val="SingleTxtG"/>
        <w:ind w:left="0"/>
        <w:rPr>
          <w:i/>
          <w:iCs/>
          <w:lang w:val="fr-FR"/>
        </w:rPr>
      </w:pPr>
      <w:r>
        <w:rPr>
          <w:i/>
          <w:iCs/>
          <w:lang w:val="fr-FR"/>
        </w:rPr>
        <w:t>(Document de référence: ECE/TRANS/WP.15/AC.1/2016/3, proposition 3)</w:t>
      </w:r>
    </w:p>
    <w:p w:rsidR="009209F1" w:rsidRDefault="009209F1" w:rsidP="009209F1">
      <w:pPr>
        <w:tabs>
          <w:tab w:val="left" w:pos="1418"/>
          <w:tab w:val="left" w:pos="1843"/>
        </w:tabs>
        <w:spacing w:before="120" w:after="120"/>
        <w:ind w:left="1134" w:right="1134"/>
        <w:jc w:val="both"/>
        <w:rPr>
          <w:lang w:val="fr-FR"/>
        </w:rPr>
      </w:pPr>
      <w:r>
        <w:rPr>
          <w:lang w:val="fr-FR"/>
        </w:rPr>
        <w:t>1.8.3.3</w:t>
      </w:r>
      <w:r>
        <w:rPr>
          <w:lang w:val="fr-FR"/>
        </w:rPr>
        <w:tab/>
        <w:t>Dans le deuxième paragraphe, au neuvième tiret, après «le personnel affecté», insérer: «à l’expédition,».</w:t>
      </w:r>
    </w:p>
    <w:p w:rsidR="009209F1" w:rsidRDefault="009209F1" w:rsidP="009209F1">
      <w:pPr>
        <w:pStyle w:val="SingleTxtG"/>
        <w:ind w:left="0"/>
        <w:rPr>
          <w:i/>
          <w:iCs/>
          <w:lang w:val="fr-FR"/>
        </w:rPr>
      </w:pPr>
      <w:r>
        <w:rPr>
          <w:i/>
          <w:iCs/>
          <w:lang w:val="fr-FR"/>
        </w:rPr>
        <w:t>(Document de référence: ECE/TRANS/WP.15/AC.1/2016/3, proposition 5)</w:t>
      </w:r>
    </w:p>
    <w:p w:rsidR="009209F1" w:rsidRDefault="009209F1" w:rsidP="009209F1">
      <w:pPr>
        <w:tabs>
          <w:tab w:val="left" w:pos="1418"/>
          <w:tab w:val="left" w:pos="1843"/>
        </w:tabs>
        <w:spacing w:before="120" w:after="120"/>
        <w:ind w:left="1134" w:right="1134"/>
        <w:jc w:val="both"/>
        <w:rPr>
          <w:lang w:val="fr-FR"/>
        </w:rPr>
      </w:pPr>
      <w:r>
        <w:rPr>
          <w:lang w:val="fr-FR"/>
        </w:rPr>
        <w:t>1.8.3.18</w:t>
      </w:r>
      <w:r>
        <w:rPr>
          <w:lang w:val="fr-FR"/>
        </w:rPr>
        <w:tab/>
        <w:t>Dans la huitième rubrique du modèle de certificat («Valable jusqu’au …»), après «des opérations», insérer: «d’expédition,».</w:t>
      </w:r>
    </w:p>
    <w:p w:rsidR="009209F1" w:rsidRDefault="009209F1" w:rsidP="009209F1">
      <w:pPr>
        <w:pStyle w:val="SingleTxtG"/>
        <w:ind w:left="0"/>
        <w:rPr>
          <w:lang w:val="fr-FR"/>
        </w:rPr>
      </w:pPr>
      <w:r>
        <w:rPr>
          <w:i/>
          <w:iCs/>
          <w:lang w:val="fr-FR"/>
        </w:rPr>
        <w:t>(Document de référence: ECE/TRANS/WP.15/AC.1/2016/3, proposition 8)</w:t>
      </w:r>
    </w:p>
    <w:p w:rsidR="009209F1" w:rsidRDefault="009209F1" w:rsidP="009209F1">
      <w:pPr>
        <w:pStyle w:val="H1G"/>
        <w:rPr>
          <w:sz w:val="20"/>
          <w:lang w:val="fr-FR"/>
        </w:rPr>
      </w:pPr>
      <w:r>
        <w:rPr>
          <w:sz w:val="20"/>
          <w:lang w:val="fr-FR"/>
        </w:rPr>
        <w:tab/>
      </w:r>
      <w:r>
        <w:rPr>
          <w:sz w:val="20"/>
          <w:lang w:val="fr-FR"/>
        </w:rPr>
        <w:tab/>
        <w:t>Chapitre 4.1</w:t>
      </w:r>
    </w:p>
    <w:p w:rsidR="009209F1" w:rsidRDefault="009209F1" w:rsidP="009209F1">
      <w:pPr>
        <w:tabs>
          <w:tab w:val="left" w:pos="1418"/>
          <w:tab w:val="left" w:pos="1843"/>
        </w:tabs>
        <w:spacing w:before="120" w:after="120"/>
        <w:ind w:left="1134" w:right="1134"/>
        <w:jc w:val="both"/>
        <w:rPr>
          <w:lang w:val="fr-FR"/>
        </w:rPr>
      </w:pPr>
      <w:r>
        <w:rPr>
          <w:lang w:val="fr-FR"/>
        </w:rPr>
        <w:t>Sous le titre, ajouter le nouveau Nota suivant:</w:t>
      </w:r>
    </w:p>
    <w:p w:rsidR="009209F1" w:rsidRDefault="009209F1" w:rsidP="009209F1">
      <w:pPr>
        <w:tabs>
          <w:tab w:val="left" w:pos="1418"/>
          <w:tab w:val="left" w:pos="1843"/>
        </w:tabs>
        <w:spacing w:before="120" w:after="120"/>
        <w:ind w:left="1134" w:right="1134"/>
        <w:jc w:val="both"/>
        <w:rPr>
          <w:lang w:val="fr-FR"/>
        </w:rPr>
      </w:pPr>
      <w:r>
        <w:rPr>
          <w:lang w:val="fr-FR"/>
        </w:rPr>
        <w:t>«</w:t>
      </w:r>
      <w:r>
        <w:rPr>
          <w:b/>
          <w:i/>
          <w:lang w:val="fr-FR"/>
        </w:rPr>
        <w:t>NOTA:</w:t>
      </w:r>
      <w:r>
        <w:rPr>
          <w:i/>
          <w:lang w:val="fr-FR"/>
        </w:rPr>
        <w:tab/>
      </w:r>
      <w:r>
        <w:rPr>
          <w:i/>
          <w:lang w:val="fr-FR"/>
        </w:rPr>
        <w:tab/>
        <w:t>Les emballages, y compris les GRV et les grands emballages, dont les marques correspondent au 6.1.3, 6.2.2.7, 6.2.2.8, 6.3.1, 6.5.2 ou 6.6.3, mais qui ont été agréés dans un État n'étant pas Partie au RID/Partie contractante à l'ADR, peuvent également être utilisés pour le transport selon le RID/l'ADR.</w:t>
      </w:r>
      <w:r>
        <w:rPr>
          <w:lang w:val="fr-FR"/>
        </w:rPr>
        <w:t>».</w:t>
      </w:r>
    </w:p>
    <w:p w:rsidR="009209F1" w:rsidRDefault="009209F1" w:rsidP="009209F1">
      <w:pPr>
        <w:pStyle w:val="SingleTxtG"/>
        <w:ind w:left="0"/>
        <w:rPr>
          <w:i/>
          <w:lang w:val="fr-FR"/>
        </w:rPr>
      </w:pPr>
      <w:r>
        <w:rPr>
          <w:i/>
          <w:lang w:val="fr-FR"/>
        </w:rPr>
        <w:t>(Documents de référence: ECE/TRANS/WP.15/AC.1/2016/7 et document informel INF.27)</w:t>
      </w:r>
    </w:p>
    <w:p w:rsidR="009209F1" w:rsidRDefault="009209F1" w:rsidP="009209F1">
      <w:pPr>
        <w:tabs>
          <w:tab w:val="left" w:pos="1418"/>
          <w:tab w:val="left" w:pos="1843"/>
        </w:tabs>
        <w:spacing w:before="120" w:after="120"/>
        <w:ind w:left="1134" w:right="1134"/>
        <w:jc w:val="both"/>
        <w:rPr>
          <w:lang w:val="fr-FR"/>
        </w:rPr>
      </w:pPr>
      <w:r>
        <w:rPr>
          <w:lang w:val="fr-FR"/>
        </w:rPr>
        <w:t>4.1.1.17</w:t>
      </w:r>
      <w:r>
        <w:rPr>
          <w:lang w:val="fr-FR"/>
        </w:rPr>
        <w:tab/>
      </w:r>
      <w:r>
        <w:rPr>
          <w:lang w:val="fr-FR"/>
        </w:rPr>
        <w:tab/>
        <w:t>Supprimer et ajouter:</w:t>
      </w:r>
    </w:p>
    <w:p w:rsidR="009209F1" w:rsidRDefault="009209F1" w:rsidP="009209F1">
      <w:pPr>
        <w:tabs>
          <w:tab w:val="left" w:pos="1418"/>
          <w:tab w:val="left" w:pos="1843"/>
        </w:tabs>
        <w:spacing w:before="120" w:after="120"/>
        <w:ind w:left="1134" w:right="1134"/>
        <w:jc w:val="both"/>
        <w:rPr>
          <w:lang w:val="fr-FR"/>
        </w:rPr>
      </w:pPr>
      <w:r>
        <w:rPr>
          <w:lang w:val="fr-FR"/>
        </w:rPr>
        <w:t>«4.1.1.17</w:t>
      </w:r>
      <w:r>
        <w:rPr>
          <w:lang w:val="fr-FR"/>
        </w:rPr>
        <w:tab/>
      </w:r>
      <w:r>
        <w:rPr>
          <w:i/>
          <w:lang w:val="fr-FR"/>
        </w:rPr>
        <w:t>(Supprimé)</w:t>
      </w:r>
      <w:r>
        <w:rPr>
          <w:lang w:val="fr-FR"/>
        </w:rPr>
        <w:t xml:space="preserve">». </w:t>
      </w:r>
    </w:p>
    <w:p w:rsidR="009209F1" w:rsidRDefault="009209F1" w:rsidP="009209F1">
      <w:pPr>
        <w:pStyle w:val="SingleTxtG"/>
        <w:ind w:left="0"/>
        <w:rPr>
          <w:i/>
          <w:lang w:val="fr-FR"/>
        </w:rPr>
      </w:pPr>
      <w:r>
        <w:rPr>
          <w:i/>
          <w:lang w:val="fr-FR"/>
        </w:rPr>
        <w:t>(Documents de référence: ECE/TRANS/WP.15/AC.1/2016/7 et document informel INF.27)</w:t>
      </w:r>
    </w:p>
    <w:p w:rsidR="009209F1" w:rsidRDefault="009209F1" w:rsidP="009209F1">
      <w:pPr>
        <w:pStyle w:val="H1G"/>
        <w:rPr>
          <w:sz w:val="20"/>
          <w:lang w:val="fr-FR"/>
        </w:rPr>
      </w:pPr>
      <w:r>
        <w:rPr>
          <w:sz w:val="20"/>
          <w:lang w:val="fr-FR"/>
        </w:rPr>
        <w:tab/>
      </w:r>
      <w:r>
        <w:rPr>
          <w:sz w:val="20"/>
          <w:lang w:val="fr-FR"/>
        </w:rPr>
        <w:tab/>
        <w:t>Chapitre 7.3</w:t>
      </w:r>
    </w:p>
    <w:p w:rsidR="009209F1" w:rsidRDefault="009209F1" w:rsidP="009209F1">
      <w:pPr>
        <w:tabs>
          <w:tab w:val="left" w:pos="1418"/>
          <w:tab w:val="left" w:pos="1843"/>
        </w:tabs>
        <w:spacing w:before="120" w:after="120"/>
        <w:ind w:left="1134" w:right="1134"/>
        <w:jc w:val="both"/>
        <w:rPr>
          <w:lang w:val="fr-FR"/>
        </w:rPr>
      </w:pPr>
      <w:r>
        <w:rPr>
          <w:lang w:val="fr-FR"/>
        </w:rPr>
        <w:t>7.3.2.10</w:t>
      </w:r>
      <w:r>
        <w:rPr>
          <w:lang w:val="fr-FR"/>
        </w:rPr>
        <w:tab/>
      </w:r>
      <w:r>
        <w:rPr>
          <w:lang w:val="fr-FR"/>
        </w:rPr>
        <w:tab/>
        <w:t>Sous le titre, insérer le nouveau nota suivant:</w:t>
      </w:r>
    </w:p>
    <w:p w:rsidR="009209F1" w:rsidRDefault="009209F1" w:rsidP="009209F1">
      <w:pPr>
        <w:tabs>
          <w:tab w:val="left" w:pos="1418"/>
          <w:tab w:val="left" w:pos="1843"/>
        </w:tabs>
        <w:spacing w:before="120" w:after="120"/>
        <w:ind w:left="1134" w:right="1134"/>
        <w:jc w:val="both"/>
        <w:rPr>
          <w:lang w:val="fr-FR"/>
        </w:rPr>
      </w:pPr>
      <w:r>
        <w:rPr>
          <w:lang w:val="fr-FR"/>
        </w:rPr>
        <w:t>«</w:t>
      </w:r>
      <w:r>
        <w:rPr>
          <w:rFonts w:cs="Arial"/>
          <w:b/>
          <w:i/>
          <w:szCs w:val="22"/>
          <w:lang w:val="fr-FR"/>
        </w:rPr>
        <w:t>NOTA:</w:t>
      </w:r>
      <w:r>
        <w:rPr>
          <w:rFonts w:cs="Arial"/>
          <w:i/>
          <w:szCs w:val="22"/>
          <w:lang w:val="fr-FR"/>
        </w:rPr>
        <w:tab/>
      </w:r>
      <w:r>
        <w:rPr>
          <w:bCs/>
          <w:i/>
          <w:lang w:val="fr-FR"/>
        </w:rPr>
        <w:t>Les conteneurs pour vrac souples dont le marquage correspond aux 6.11.5.5, mais qui ont été agréés dans un État non partie au RID/n’étant pas Partie contractante à l’ADR/ADN, peuvent également être utilisés pour le transport selon le RID/ADR/ADN.</w:t>
      </w:r>
      <w:r>
        <w:rPr>
          <w:bCs/>
          <w:lang w:val="fr-FR"/>
        </w:rPr>
        <w:t>».</w:t>
      </w:r>
    </w:p>
    <w:p w:rsidR="009209F1" w:rsidRDefault="009209F1" w:rsidP="009209F1">
      <w:pPr>
        <w:pStyle w:val="SingleTxtG"/>
        <w:ind w:left="0"/>
        <w:rPr>
          <w:i/>
          <w:lang w:val="fr-FR"/>
        </w:rPr>
      </w:pPr>
      <w:r>
        <w:rPr>
          <w:i/>
          <w:lang w:val="fr-FR"/>
        </w:rPr>
        <w:t>(Documents de référence: ECE/TRANS/WP.15/AC.1/2016/7 et document informel INF.27)</w:t>
      </w:r>
    </w:p>
    <w:p w:rsidR="009209F1" w:rsidRDefault="009209F1" w:rsidP="009209F1">
      <w:pPr>
        <w:tabs>
          <w:tab w:val="left" w:pos="1418"/>
          <w:tab w:val="left" w:pos="1843"/>
        </w:tabs>
        <w:spacing w:before="120" w:after="120"/>
        <w:ind w:left="1134" w:right="1134"/>
        <w:jc w:val="both"/>
        <w:rPr>
          <w:lang w:val="fr-FR"/>
        </w:rPr>
      </w:pPr>
      <w:r>
        <w:rPr>
          <w:lang w:val="fr-FR"/>
        </w:rPr>
        <w:t>7.3.3.1</w:t>
      </w:r>
      <w:r>
        <w:rPr>
          <w:lang w:val="fr-FR"/>
        </w:rPr>
        <w:tab/>
        <w:t>Après le premier paragraphe, ajouter le nouveau nota suivant:</w:t>
      </w:r>
    </w:p>
    <w:p w:rsidR="009209F1" w:rsidRDefault="009209F1" w:rsidP="009209F1">
      <w:pPr>
        <w:tabs>
          <w:tab w:val="left" w:pos="1418"/>
          <w:tab w:val="left" w:pos="1843"/>
        </w:tabs>
        <w:spacing w:before="120" w:after="120"/>
        <w:ind w:left="1134" w:right="1134"/>
        <w:jc w:val="both"/>
        <w:rPr>
          <w:lang w:val="fr-FR"/>
        </w:rPr>
      </w:pPr>
      <w:r>
        <w:rPr>
          <w:lang w:val="fr-FR"/>
        </w:rPr>
        <w:t>«</w:t>
      </w:r>
      <w:r>
        <w:rPr>
          <w:b/>
          <w:i/>
          <w:lang w:val="fr-FR"/>
        </w:rPr>
        <w:t>NOTA:</w:t>
      </w:r>
      <w:r>
        <w:rPr>
          <w:b/>
          <w:i/>
          <w:lang w:val="fr-FR"/>
        </w:rPr>
        <w:tab/>
      </w:r>
      <w:r>
        <w:rPr>
          <w:i/>
          <w:lang w:val="fr-FR"/>
        </w:rPr>
        <w:t xml:space="preserve">Pour cette raison, lorsqu’un code VC1 figure dans la colonne (17) du tableau A du chapitre 3.2, il est également possible d’utiliser un conteneur pour vrac BK1 pour le transport terrestre si les conditions spécifiées au 7.3.3.2 sont en outre remplies. Lorsqu’un code VC2 figure dans la colonne (17) du tableau A du chapitre 3.2, il est également </w:t>
      </w:r>
      <w:r>
        <w:rPr>
          <w:i/>
          <w:lang w:val="fr-FR"/>
        </w:rPr>
        <w:lastRenderedPageBreak/>
        <w:t>possible d’utiliser un conteneur pour vrac BK2 pour le transport terrestre si les conditions spécifiées au 7.3.3.2 sont en outre remplies.</w:t>
      </w:r>
      <w:r>
        <w:rPr>
          <w:lang w:val="fr-FR"/>
        </w:rPr>
        <w:t>».</w:t>
      </w:r>
    </w:p>
    <w:p w:rsidR="009209F1" w:rsidRDefault="009209F1" w:rsidP="009209F1">
      <w:pPr>
        <w:pStyle w:val="SingleTxtG"/>
        <w:ind w:left="0"/>
        <w:rPr>
          <w:i/>
          <w:lang w:val="fr-FR"/>
        </w:rPr>
      </w:pPr>
      <w:r>
        <w:rPr>
          <w:i/>
          <w:lang w:val="fr-FR"/>
        </w:rPr>
        <w:t>(Document de référence: ECE/TRANS/WP.15/AC.1/2016/6, tel que modifié)</w:t>
      </w:r>
    </w:p>
    <w:p w:rsidR="009209F1" w:rsidRPr="009209F1" w:rsidRDefault="009209F1" w:rsidP="009209F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209F1" w:rsidRPr="009209F1" w:rsidSect="009209F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AA" w:rsidRDefault="00CD70AA"/>
  </w:endnote>
  <w:endnote w:type="continuationSeparator" w:id="0">
    <w:p w:rsidR="00CD70AA" w:rsidRDefault="00CD70AA"/>
  </w:endnote>
  <w:endnote w:type="continuationNotice" w:id="1">
    <w:p w:rsidR="00CD70AA" w:rsidRDefault="00CD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1" w:rsidRPr="009209F1" w:rsidRDefault="009209F1" w:rsidP="009209F1">
    <w:pPr>
      <w:pStyle w:val="Footer"/>
      <w:tabs>
        <w:tab w:val="right" w:pos="9638"/>
      </w:tabs>
      <w:rPr>
        <w:sz w:val="18"/>
      </w:rPr>
    </w:pPr>
    <w:r w:rsidRPr="009209F1">
      <w:rPr>
        <w:b/>
        <w:sz w:val="18"/>
      </w:rPr>
      <w:fldChar w:fldCharType="begin"/>
    </w:r>
    <w:r w:rsidRPr="009209F1">
      <w:rPr>
        <w:b/>
        <w:sz w:val="18"/>
      </w:rPr>
      <w:instrText xml:space="preserve"> PAGE  \* MERGEFORMAT </w:instrText>
    </w:r>
    <w:r w:rsidRPr="009209F1">
      <w:rPr>
        <w:b/>
        <w:sz w:val="18"/>
      </w:rPr>
      <w:fldChar w:fldCharType="separate"/>
    </w:r>
    <w:r w:rsidR="00F7255F">
      <w:rPr>
        <w:b/>
        <w:noProof/>
        <w:sz w:val="18"/>
      </w:rPr>
      <w:t>28</w:t>
    </w:r>
    <w:r w:rsidRPr="009209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B7" w:rsidRPr="009209F1" w:rsidRDefault="009209F1" w:rsidP="009209F1">
    <w:pPr>
      <w:pStyle w:val="Footer"/>
      <w:tabs>
        <w:tab w:val="right" w:pos="9638"/>
      </w:tabs>
      <w:rPr>
        <w:sz w:val="18"/>
      </w:rPr>
    </w:pPr>
    <w:r>
      <w:tab/>
    </w:r>
    <w:r w:rsidRPr="009209F1">
      <w:rPr>
        <w:b/>
        <w:sz w:val="18"/>
      </w:rPr>
      <w:fldChar w:fldCharType="begin"/>
    </w:r>
    <w:r w:rsidRPr="009209F1">
      <w:rPr>
        <w:b/>
        <w:sz w:val="18"/>
      </w:rPr>
      <w:instrText xml:space="preserve"> PAGE  \* MERGEFORMAT </w:instrText>
    </w:r>
    <w:r w:rsidRPr="009209F1">
      <w:rPr>
        <w:b/>
        <w:sz w:val="18"/>
      </w:rPr>
      <w:fldChar w:fldCharType="separate"/>
    </w:r>
    <w:r w:rsidR="00F7255F">
      <w:rPr>
        <w:b/>
        <w:noProof/>
        <w:sz w:val="18"/>
      </w:rPr>
      <w:t>29</w:t>
    </w:r>
    <w:r w:rsidRPr="009209F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AA" w:rsidRPr="00D27D5E" w:rsidRDefault="00CD70AA" w:rsidP="00D27D5E">
      <w:pPr>
        <w:tabs>
          <w:tab w:val="right" w:pos="2155"/>
        </w:tabs>
        <w:spacing w:after="80"/>
        <w:ind w:left="680"/>
        <w:rPr>
          <w:u w:val="single"/>
        </w:rPr>
      </w:pPr>
      <w:r>
        <w:rPr>
          <w:u w:val="single"/>
        </w:rPr>
        <w:tab/>
      </w:r>
    </w:p>
  </w:footnote>
  <w:footnote w:type="continuationSeparator" w:id="0">
    <w:p w:rsidR="00CD70AA" w:rsidRPr="00A80554" w:rsidRDefault="00CD70AA" w:rsidP="00A80554">
      <w:pPr>
        <w:tabs>
          <w:tab w:val="left" w:pos="2155"/>
        </w:tabs>
        <w:spacing w:after="80"/>
        <w:ind w:left="680"/>
        <w:rPr>
          <w:u w:val="single"/>
        </w:rPr>
      </w:pPr>
      <w:r w:rsidRPr="00A80554">
        <w:rPr>
          <w:u w:val="single"/>
        </w:rPr>
        <w:tab/>
      </w:r>
    </w:p>
  </w:footnote>
  <w:footnote w:type="continuationNotice" w:id="1">
    <w:p w:rsidR="00CD70AA" w:rsidRDefault="00CD70AA"/>
  </w:footnote>
  <w:footnote w:id="2">
    <w:p w:rsidR="009209F1" w:rsidRDefault="009209F1" w:rsidP="009209F1">
      <w:pPr>
        <w:pStyle w:val="FootnoteText"/>
        <w:widowControl w:val="0"/>
      </w:pPr>
      <w:r>
        <w:tab/>
      </w:r>
      <w:r>
        <w:rPr>
          <w:rStyle w:val="FootnoteReference"/>
        </w:rPr>
        <w:footnoteRef/>
      </w:r>
      <w:r w:rsidR="00F7255F">
        <w:tab/>
      </w:r>
      <w:r>
        <w:rPr>
          <w:lang w:val="fr-FR"/>
        </w:rPr>
        <w:t>Diffusé par l'Organisation intergouvernementale pour les transports internationaux ferroviaires (OTIF) sous la cote OTIF/RID/RC/</w:t>
      </w:r>
      <w:r>
        <w:rPr>
          <w:color w:val="000000"/>
          <w:lang w:val="fr-FR"/>
        </w:rPr>
        <w:t xml:space="preserve">2016-A. </w:t>
      </w:r>
      <w:r>
        <w:rPr>
          <w:lang w:val="fr-FR"/>
        </w:rPr>
        <w:t>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r>
        <w:t>.</w:t>
      </w:r>
    </w:p>
  </w:footnote>
  <w:footnote w:id="3">
    <w:p w:rsidR="009209F1" w:rsidRDefault="009209F1" w:rsidP="00F7255F">
      <w:pPr>
        <w:pStyle w:val="FootnoteText"/>
        <w:widowControl w:val="0"/>
        <w:rPr>
          <w:lang w:val="fr-CA"/>
        </w:rPr>
      </w:pPr>
      <w:r>
        <w:tab/>
      </w:r>
      <w:r>
        <w:rPr>
          <w:rStyle w:val="FootnoteReference"/>
        </w:rPr>
        <w:footnoteRef/>
      </w:r>
      <w:r w:rsidR="00F7255F">
        <w:tab/>
      </w:r>
      <w:r>
        <w:t>Diffusé par l’OTIF sous la cote OTIF/RID/RC/2016-A/Add.2.</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1" w:rsidRPr="006C5949" w:rsidRDefault="009209F1">
    <w:pPr>
      <w:pStyle w:val="Header"/>
      <w:rPr>
        <w:lang w:val="en-GB"/>
      </w:rPr>
    </w:pPr>
    <w:r w:rsidRPr="006C5949">
      <w:rPr>
        <w:lang w:val="en-GB"/>
      </w:rPr>
      <w:t>ECE/TRANS/WP.15/AC.1/142/Add.2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F1" w:rsidRPr="006C5949" w:rsidRDefault="009209F1" w:rsidP="009209F1">
    <w:pPr>
      <w:pStyle w:val="Header"/>
      <w:jc w:val="right"/>
      <w:rPr>
        <w:lang w:val="en-GB"/>
      </w:rPr>
    </w:pPr>
    <w:r w:rsidRPr="006C5949">
      <w:rPr>
        <w:lang w:val="en-GB"/>
      </w:rPr>
      <w:t>ECE/TRANS/WP.15/AC.1/142/Add.2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988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pStyle w:val="Heading2"/>
      <w:lvlText w:val="o"/>
      <w:lvlJc w:val="left"/>
      <w:pPr>
        <w:tabs>
          <w:tab w:val="num" w:pos="1440"/>
        </w:tabs>
        <w:ind w:left="1440" w:hanging="360"/>
      </w:pPr>
      <w:rPr>
        <w:rFonts w:ascii="Courier New" w:hAnsi="Courier New" w:cs="Times New Roman" w:hint="default"/>
      </w:rPr>
    </w:lvl>
    <w:lvl w:ilvl="2" w:tplc="04090005">
      <w:start w:val="1"/>
      <w:numFmt w:val="bullet"/>
      <w:pStyle w:val="Heading3"/>
      <w:lvlText w:val=""/>
      <w:lvlJc w:val="left"/>
      <w:pPr>
        <w:tabs>
          <w:tab w:val="num" w:pos="2160"/>
        </w:tabs>
        <w:ind w:left="2160" w:hanging="360"/>
      </w:pPr>
      <w:rPr>
        <w:rFonts w:ascii="Wingdings" w:hAnsi="Wingdings" w:hint="default"/>
      </w:rPr>
    </w:lvl>
    <w:lvl w:ilvl="3" w:tplc="04090001">
      <w:start w:val="1"/>
      <w:numFmt w:val="bullet"/>
      <w:pStyle w:val="Heading4"/>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cs="Times New Roman" w:hint="default"/>
      </w:rPr>
    </w:lvl>
    <w:lvl w:ilvl="5" w:tplc="04090005">
      <w:start w:val="1"/>
      <w:numFmt w:val="bullet"/>
      <w:pStyle w:val="Heading6"/>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pStyle w:val="Heading8"/>
      <w:lvlText w:val="o"/>
      <w:lvlJc w:val="left"/>
      <w:pPr>
        <w:tabs>
          <w:tab w:val="num" w:pos="5760"/>
        </w:tabs>
        <w:ind w:left="5760" w:hanging="360"/>
      </w:pPr>
      <w:rPr>
        <w:rFonts w:ascii="Courier New" w:hAnsi="Courier New" w:cs="Times New Roman" w:hint="default"/>
      </w:rPr>
    </w:lvl>
    <w:lvl w:ilvl="8" w:tplc="04090005">
      <w:start w:val="1"/>
      <w:numFmt w:val="bullet"/>
      <w:pStyle w:val="Heading9"/>
      <w:lvlText w:val=""/>
      <w:lvlJc w:val="left"/>
      <w:pPr>
        <w:tabs>
          <w:tab w:val="num" w:pos="6480"/>
        </w:tabs>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5"/>
  </w:num>
  <w:num w:numId="3">
    <w:abstractNumId w:val="2"/>
    <w:lvlOverride w:ilvl="0">
      <w:startOverride w:val="1"/>
    </w:lvlOverride>
  </w:num>
  <w:num w:numId="4">
    <w:abstractNumId w:val="9"/>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4"/>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AA"/>
    <w:rsid w:val="00016AC5"/>
    <w:rsid w:val="00030ADE"/>
    <w:rsid w:val="000312C0"/>
    <w:rsid w:val="000964C7"/>
    <w:rsid w:val="000B34CA"/>
    <w:rsid w:val="000F41F2"/>
    <w:rsid w:val="00100338"/>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3412A"/>
    <w:rsid w:val="002659F1"/>
    <w:rsid w:val="00271C7C"/>
    <w:rsid w:val="00287E79"/>
    <w:rsid w:val="002928F9"/>
    <w:rsid w:val="002A5D07"/>
    <w:rsid w:val="003016B7"/>
    <w:rsid w:val="00330F9C"/>
    <w:rsid w:val="00340C35"/>
    <w:rsid w:val="003515AA"/>
    <w:rsid w:val="00367E6A"/>
    <w:rsid w:val="00370E0F"/>
    <w:rsid w:val="00374106"/>
    <w:rsid w:val="003976D5"/>
    <w:rsid w:val="003D1DF3"/>
    <w:rsid w:val="003D46A7"/>
    <w:rsid w:val="003D6C68"/>
    <w:rsid w:val="003D76E4"/>
    <w:rsid w:val="00414425"/>
    <w:rsid w:val="004159D0"/>
    <w:rsid w:val="004249E7"/>
    <w:rsid w:val="00426DA1"/>
    <w:rsid w:val="00434168"/>
    <w:rsid w:val="00463287"/>
    <w:rsid w:val="00497A70"/>
    <w:rsid w:val="004D53B7"/>
    <w:rsid w:val="00543D5E"/>
    <w:rsid w:val="00571F41"/>
    <w:rsid w:val="0059410B"/>
    <w:rsid w:val="00595BE4"/>
    <w:rsid w:val="005B738F"/>
    <w:rsid w:val="005B76A3"/>
    <w:rsid w:val="005D000C"/>
    <w:rsid w:val="005E5D1F"/>
    <w:rsid w:val="00603391"/>
    <w:rsid w:val="006049FD"/>
    <w:rsid w:val="00611D43"/>
    <w:rsid w:val="00612D48"/>
    <w:rsid w:val="00616B45"/>
    <w:rsid w:val="00630D9B"/>
    <w:rsid w:val="00631953"/>
    <w:rsid w:val="006439EC"/>
    <w:rsid w:val="006A047B"/>
    <w:rsid w:val="006B4590"/>
    <w:rsid w:val="006C340C"/>
    <w:rsid w:val="006C5949"/>
    <w:rsid w:val="006E5FC7"/>
    <w:rsid w:val="0070347C"/>
    <w:rsid w:val="007176C1"/>
    <w:rsid w:val="00783F37"/>
    <w:rsid w:val="007848F8"/>
    <w:rsid w:val="00790F2F"/>
    <w:rsid w:val="007A6076"/>
    <w:rsid w:val="007F55CB"/>
    <w:rsid w:val="00812C1A"/>
    <w:rsid w:val="008317F6"/>
    <w:rsid w:val="00844750"/>
    <w:rsid w:val="008B44C4"/>
    <w:rsid w:val="008B7879"/>
    <w:rsid w:val="008C2211"/>
    <w:rsid w:val="008D3919"/>
    <w:rsid w:val="008E7FAE"/>
    <w:rsid w:val="00911BF7"/>
    <w:rsid w:val="009209F1"/>
    <w:rsid w:val="00926E87"/>
    <w:rsid w:val="00952FDB"/>
    <w:rsid w:val="00977EC8"/>
    <w:rsid w:val="009B18A3"/>
    <w:rsid w:val="009D3A8C"/>
    <w:rsid w:val="009E01B8"/>
    <w:rsid w:val="009E7956"/>
    <w:rsid w:val="00A1547F"/>
    <w:rsid w:val="00A2492E"/>
    <w:rsid w:val="00A31F07"/>
    <w:rsid w:val="00A41235"/>
    <w:rsid w:val="00A70163"/>
    <w:rsid w:val="00A80554"/>
    <w:rsid w:val="00AA72C3"/>
    <w:rsid w:val="00AC67A1"/>
    <w:rsid w:val="00AC7977"/>
    <w:rsid w:val="00AE352C"/>
    <w:rsid w:val="00B32E2D"/>
    <w:rsid w:val="00B4466B"/>
    <w:rsid w:val="00B61990"/>
    <w:rsid w:val="00B6602A"/>
    <w:rsid w:val="00B85D99"/>
    <w:rsid w:val="00B93E72"/>
    <w:rsid w:val="00B94939"/>
    <w:rsid w:val="00BF0556"/>
    <w:rsid w:val="00BF06B0"/>
    <w:rsid w:val="00C24B53"/>
    <w:rsid w:val="00C261F8"/>
    <w:rsid w:val="00C33100"/>
    <w:rsid w:val="00C940E9"/>
    <w:rsid w:val="00CB6267"/>
    <w:rsid w:val="00CD1A71"/>
    <w:rsid w:val="00CD1FBB"/>
    <w:rsid w:val="00CD70AA"/>
    <w:rsid w:val="00D016B5"/>
    <w:rsid w:val="00D034F1"/>
    <w:rsid w:val="00D11B17"/>
    <w:rsid w:val="00D27D5E"/>
    <w:rsid w:val="00D60301"/>
    <w:rsid w:val="00DA57D4"/>
    <w:rsid w:val="00DB4793"/>
    <w:rsid w:val="00DE01E3"/>
    <w:rsid w:val="00DE6D90"/>
    <w:rsid w:val="00DF002F"/>
    <w:rsid w:val="00E0244D"/>
    <w:rsid w:val="00E55D71"/>
    <w:rsid w:val="00E81E94"/>
    <w:rsid w:val="00E82607"/>
    <w:rsid w:val="00EA31C2"/>
    <w:rsid w:val="00EE2EA3"/>
    <w:rsid w:val="00F01516"/>
    <w:rsid w:val="00F57129"/>
    <w:rsid w:val="00F7255F"/>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numPr>
        <w:numId w:val="13"/>
      </w:numPr>
      <w:spacing w:after="0" w:line="240" w:lineRule="auto"/>
      <w:ind w:right="0"/>
      <w:jc w:val="left"/>
      <w:outlineLvl w:val="0"/>
    </w:pPr>
  </w:style>
  <w:style w:type="paragraph" w:styleId="Heading2">
    <w:name w:val="heading 2"/>
    <w:basedOn w:val="Normal"/>
    <w:next w:val="Normal"/>
    <w:link w:val="Heading2Char"/>
    <w:qFormat/>
    <w:rsid w:val="000964C7"/>
    <w:pPr>
      <w:numPr>
        <w:ilvl w:val="1"/>
        <w:numId w:val="13"/>
      </w:numPr>
      <w:outlineLvl w:val="1"/>
    </w:pPr>
  </w:style>
  <w:style w:type="paragraph" w:styleId="Heading3">
    <w:name w:val="heading 3"/>
    <w:basedOn w:val="Normal"/>
    <w:next w:val="Normal"/>
    <w:link w:val="Heading3Char"/>
    <w:qFormat/>
    <w:rsid w:val="000964C7"/>
    <w:pPr>
      <w:numPr>
        <w:ilvl w:val="2"/>
        <w:numId w:val="13"/>
      </w:numPr>
      <w:outlineLvl w:val="2"/>
    </w:pPr>
  </w:style>
  <w:style w:type="paragraph" w:styleId="Heading4">
    <w:name w:val="heading 4"/>
    <w:basedOn w:val="Normal"/>
    <w:next w:val="Normal"/>
    <w:link w:val="Heading4Char"/>
    <w:qFormat/>
    <w:rsid w:val="000964C7"/>
    <w:pPr>
      <w:numPr>
        <w:ilvl w:val="3"/>
        <w:numId w:val="13"/>
      </w:numPr>
      <w:outlineLvl w:val="3"/>
    </w:pPr>
  </w:style>
  <w:style w:type="paragraph" w:styleId="Heading5">
    <w:name w:val="heading 5"/>
    <w:basedOn w:val="Normal"/>
    <w:next w:val="Normal"/>
    <w:link w:val="Heading5Char"/>
    <w:qFormat/>
    <w:rsid w:val="000964C7"/>
    <w:pPr>
      <w:numPr>
        <w:ilvl w:val="4"/>
        <w:numId w:val="13"/>
      </w:numPr>
      <w:outlineLvl w:val="4"/>
    </w:pPr>
  </w:style>
  <w:style w:type="paragraph" w:styleId="Heading6">
    <w:name w:val="heading 6"/>
    <w:basedOn w:val="Normal"/>
    <w:next w:val="Normal"/>
    <w:link w:val="Heading6Char"/>
    <w:qFormat/>
    <w:rsid w:val="000964C7"/>
    <w:pPr>
      <w:numPr>
        <w:ilvl w:val="5"/>
        <w:numId w:val="13"/>
      </w:numPr>
      <w:outlineLvl w:val="5"/>
    </w:pPr>
  </w:style>
  <w:style w:type="paragraph" w:styleId="Heading7">
    <w:name w:val="heading 7"/>
    <w:basedOn w:val="Normal"/>
    <w:next w:val="Normal"/>
    <w:link w:val="Heading7Char"/>
    <w:qFormat/>
    <w:rsid w:val="000964C7"/>
    <w:pPr>
      <w:numPr>
        <w:ilvl w:val="6"/>
        <w:numId w:val="13"/>
      </w:numPr>
      <w:outlineLvl w:val="6"/>
    </w:pPr>
  </w:style>
  <w:style w:type="paragraph" w:styleId="Heading8">
    <w:name w:val="heading 8"/>
    <w:basedOn w:val="Normal"/>
    <w:next w:val="Normal"/>
    <w:link w:val="Heading8Char"/>
    <w:qFormat/>
    <w:rsid w:val="000964C7"/>
    <w:pPr>
      <w:numPr>
        <w:ilvl w:val="7"/>
        <w:numId w:val="13"/>
      </w:numPr>
      <w:outlineLvl w:val="7"/>
    </w:pPr>
  </w:style>
  <w:style w:type="paragraph" w:styleId="Heading9">
    <w:name w:val="heading 9"/>
    <w:basedOn w:val="Normal"/>
    <w:next w:val="Normal"/>
    <w:link w:val="Heading9Char"/>
    <w:qFormat/>
    <w:rsid w:val="000964C7"/>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FootnoteTextChar">
    <w:name w:val="Footnote Text Char"/>
    <w:aliases w:val="5_G Char"/>
    <w:basedOn w:val="DefaultParagraphFont"/>
    <w:link w:val="FootnoteText"/>
    <w:locked/>
    <w:rsid w:val="009209F1"/>
    <w:rPr>
      <w:sz w:val="18"/>
      <w:lang w:val="fr-CH" w:eastAsia="en-US"/>
    </w:rPr>
  </w:style>
  <w:style w:type="character" w:customStyle="1" w:styleId="HChGChar">
    <w:name w:val="_ H _Ch_G Char"/>
    <w:link w:val="HChG"/>
    <w:locked/>
    <w:rsid w:val="009209F1"/>
    <w:rPr>
      <w:b/>
      <w:sz w:val="28"/>
      <w:lang w:val="fr-CH" w:eastAsia="en-US"/>
    </w:rPr>
  </w:style>
  <w:style w:type="paragraph" w:customStyle="1" w:styleId="H23">
    <w:name w:val="_ H_2/3"/>
    <w:basedOn w:val="Normal"/>
    <w:next w:val="Normal"/>
    <w:qFormat/>
    <w:rsid w:val="009209F1"/>
    <w:pPr>
      <w:keepNext/>
      <w:keepLines/>
      <w:spacing w:line="240" w:lineRule="exact"/>
      <w:outlineLvl w:val="1"/>
    </w:pPr>
    <w:rPr>
      <w:rFonts w:eastAsiaTheme="minorHAnsi"/>
      <w:b/>
      <w:spacing w:val="2"/>
      <w:w w:val="103"/>
      <w:kern w:val="14"/>
      <w:szCs w:val="22"/>
      <w:lang w:val="fr-CA"/>
    </w:rPr>
  </w:style>
  <w:style w:type="character" w:customStyle="1" w:styleId="Heading1Char">
    <w:name w:val="Heading 1 Char"/>
    <w:aliases w:val="Table_G Char"/>
    <w:basedOn w:val="DefaultParagraphFont"/>
    <w:link w:val="Heading1"/>
    <w:rsid w:val="009209F1"/>
    <w:rPr>
      <w:lang w:val="fr-CH" w:eastAsia="en-US"/>
    </w:rPr>
  </w:style>
  <w:style w:type="character" w:customStyle="1" w:styleId="Heading2Char">
    <w:name w:val="Heading 2 Char"/>
    <w:basedOn w:val="DefaultParagraphFont"/>
    <w:link w:val="Heading2"/>
    <w:rsid w:val="009209F1"/>
    <w:rPr>
      <w:lang w:val="fr-CH" w:eastAsia="en-US"/>
    </w:rPr>
  </w:style>
  <w:style w:type="character" w:customStyle="1" w:styleId="Heading3Char">
    <w:name w:val="Heading 3 Char"/>
    <w:basedOn w:val="DefaultParagraphFont"/>
    <w:link w:val="Heading3"/>
    <w:rsid w:val="009209F1"/>
    <w:rPr>
      <w:lang w:val="fr-CH" w:eastAsia="en-US"/>
    </w:rPr>
  </w:style>
  <w:style w:type="character" w:customStyle="1" w:styleId="Heading4Char">
    <w:name w:val="Heading 4 Char"/>
    <w:basedOn w:val="DefaultParagraphFont"/>
    <w:link w:val="Heading4"/>
    <w:rsid w:val="009209F1"/>
    <w:rPr>
      <w:lang w:val="fr-CH" w:eastAsia="en-US"/>
    </w:rPr>
  </w:style>
  <w:style w:type="character" w:customStyle="1" w:styleId="Heading5Char">
    <w:name w:val="Heading 5 Char"/>
    <w:basedOn w:val="DefaultParagraphFont"/>
    <w:link w:val="Heading5"/>
    <w:rsid w:val="009209F1"/>
    <w:rPr>
      <w:lang w:val="fr-CH" w:eastAsia="en-US"/>
    </w:rPr>
  </w:style>
  <w:style w:type="character" w:customStyle="1" w:styleId="Heading6Char">
    <w:name w:val="Heading 6 Char"/>
    <w:basedOn w:val="DefaultParagraphFont"/>
    <w:link w:val="Heading6"/>
    <w:rsid w:val="009209F1"/>
    <w:rPr>
      <w:lang w:val="fr-CH" w:eastAsia="en-US"/>
    </w:rPr>
  </w:style>
  <w:style w:type="character" w:customStyle="1" w:styleId="Heading7Char">
    <w:name w:val="Heading 7 Char"/>
    <w:basedOn w:val="DefaultParagraphFont"/>
    <w:link w:val="Heading7"/>
    <w:rsid w:val="009209F1"/>
    <w:rPr>
      <w:lang w:val="fr-CH" w:eastAsia="en-US"/>
    </w:rPr>
  </w:style>
  <w:style w:type="character" w:customStyle="1" w:styleId="Heading8Char">
    <w:name w:val="Heading 8 Char"/>
    <w:basedOn w:val="DefaultParagraphFont"/>
    <w:link w:val="Heading8"/>
    <w:rsid w:val="009209F1"/>
    <w:rPr>
      <w:lang w:val="fr-CH" w:eastAsia="en-US"/>
    </w:rPr>
  </w:style>
  <w:style w:type="character" w:customStyle="1" w:styleId="Heading9Char">
    <w:name w:val="Heading 9 Char"/>
    <w:basedOn w:val="DefaultParagraphFont"/>
    <w:link w:val="Heading9"/>
    <w:rsid w:val="009209F1"/>
    <w:rPr>
      <w:lang w:val="fr-CH" w:eastAsia="en-US"/>
    </w:rPr>
  </w:style>
  <w:style w:type="paragraph" w:styleId="HTMLAddress">
    <w:name w:val="HTML Address"/>
    <w:basedOn w:val="Normal"/>
    <w:link w:val="HTMLAddressChar"/>
    <w:unhideWhenUsed/>
    <w:rsid w:val="009209F1"/>
    <w:rPr>
      <w:i/>
      <w:iCs/>
      <w:lang w:val="en-GB"/>
    </w:rPr>
  </w:style>
  <w:style w:type="character" w:customStyle="1" w:styleId="HTMLAddressChar">
    <w:name w:val="HTML Address Char"/>
    <w:basedOn w:val="DefaultParagraphFont"/>
    <w:link w:val="HTMLAddress"/>
    <w:rsid w:val="009209F1"/>
    <w:rPr>
      <w:i/>
      <w:iCs/>
      <w:lang w:eastAsia="en-US"/>
    </w:rPr>
  </w:style>
  <w:style w:type="character" w:styleId="HTMLCode">
    <w:name w:val="HTML Code"/>
    <w:unhideWhenUsed/>
    <w:rsid w:val="009209F1"/>
    <w:rPr>
      <w:rFonts w:ascii="Courier New" w:eastAsia="Times New Roman" w:hAnsi="Courier New" w:cs="Courier New" w:hint="default"/>
      <w:sz w:val="20"/>
      <w:szCs w:val="20"/>
    </w:rPr>
  </w:style>
  <w:style w:type="character" w:styleId="HTMLKeyboard">
    <w:name w:val="HTML Keyboard"/>
    <w:unhideWhenUsed/>
    <w:rsid w:val="009209F1"/>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92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PreformattedChar">
    <w:name w:val="HTML Preformatted Char"/>
    <w:basedOn w:val="DefaultParagraphFont"/>
    <w:link w:val="HTMLPreformatted"/>
    <w:rsid w:val="009209F1"/>
    <w:rPr>
      <w:rFonts w:ascii="Courier New" w:hAnsi="Courier New" w:cs="Courier New"/>
      <w:lang w:eastAsia="en-US"/>
    </w:rPr>
  </w:style>
  <w:style w:type="character" w:styleId="HTMLSample">
    <w:name w:val="HTML Sample"/>
    <w:unhideWhenUsed/>
    <w:rsid w:val="009209F1"/>
    <w:rPr>
      <w:rFonts w:ascii="Courier New" w:eastAsia="Times New Roman" w:hAnsi="Courier New" w:cs="Courier New" w:hint="default"/>
    </w:rPr>
  </w:style>
  <w:style w:type="character" w:styleId="HTMLTypewriter">
    <w:name w:val="HTML Typewriter"/>
    <w:unhideWhenUsed/>
    <w:rsid w:val="009209F1"/>
    <w:rPr>
      <w:rFonts w:ascii="Courier New" w:eastAsia="Times New Roman" w:hAnsi="Courier New" w:cs="Courier New" w:hint="default"/>
      <w:sz w:val="20"/>
      <w:szCs w:val="20"/>
    </w:rPr>
  </w:style>
  <w:style w:type="paragraph" w:styleId="NormalWeb">
    <w:name w:val="Normal (Web)"/>
    <w:basedOn w:val="Normal"/>
    <w:unhideWhenUsed/>
    <w:rsid w:val="009209F1"/>
    <w:rPr>
      <w:sz w:val="24"/>
      <w:szCs w:val="24"/>
      <w:lang w:val="en-GB"/>
    </w:rPr>
  </w:style>
  <w:style w:type="paragraph" w:styleId="NormalIndent">
    <w:name w:val="Normal Indent"/>
    <w:basedOn w:val="Normal"/>
    <w:unhideWhenUsed/>
    <w:rsid w:val="009209F1"/>
    <w:pPr>
      <w:ind w:left="567"/>
    </w:pPr>
    <w:rPr>
      <w:lang w:val="en-GB"/>
    </w:rPr>
  </w:style>
  <w:style w:type="character" w:customStyle="1" w:styleId="NotedebasdepageCar1">
    <w:name w:val="Note de bas de page Car1"/>
    <w:aliases w:val="5_G Car1"/>
    <w:basedOn w:val="DefaultParagraphFont"/>
    <w:semiHidden/>
    <w:rsid w:val="009209F1"/>
    <w:rPr>
      <w:lang w:eastAsia="en-US"/>
    </w:rPr>
  </w:style>
  <w:style w:type="paragraph" w:styleId="CommentText">
    <w:name w:val="annotation text"/>
    <w:basedOn w:val="Normal"/>
    <w:link w:val="CommentTextChar"/>
    <w:unhideWhenUsed/>
    <w:rsid w:val="009209F1"/>
    <w:rPr>
      <w:lang w:val="en-GB"/>
    </w:rPr>
  </w:style>
  <w:style w:type="character" w:customStyle="1" w:styleId="CommentTextChar">
    <w:name w:val="Comment Text Char"/>
    <w:basedOn w:val="DefaultParagraphFont"/>
    <w:link w:val="CommentText"/>
    <w:rsid w:val="009209F1"/>
    <w:rPr>
      <w:lang w:eastAsia="en-US"/>
    </w:rPr>
  </w:style>
  <w:style w:type="character" w:customStyle="1" w:styleId="HeaderChar">
    <w:name w:val="Header Char"/>
    <w:aliases w:val="6_G Char"/>
    <w:basedOn w:val="DefaultParagraphFont"/>
    <w:link w:val="Header"/>
    <w:locked/>
    <w:rsid w:val="009209F1"/>
    <w:rPr>
      <w:b/>
      <w:sz w:val="18"/>
      <w:lang w:val="fr-CH" w:eastAsia="en-US"/>
    </w:rPr>
  </w:style>
  <w:style w:type="character" w:customStyle="1" w:styleId="En-tteCar1">
    <w:name w:val="En-tête Car1"/>
    <w:aliases w:val="6_G Car1"/>
    <w:basedOn w:val="DefaultParagraphFont"/>
    <w:semiHidden/>
    <w:rsid w:val="009209F1"/>
    <w:rPr>
      <w:lang w:eastAsia="en-US"/>
    </w:rPr>
  </w:style>
  <w:style w:type="character" w:customStyle="1" w:styleId="FooterChar">
    <w:name w:val="Footer Char"/>
    <w:aliases w:val="3_G Char"/>
    <w:basedOn w:val="DefaultParagraphFont"/>
    <w:link w:val="Footer"/>
    <w:locked/>
    <w:rsid w:val="009209F1"/>
    <w:rPr>
      <w:sz w:val="16"/>
      <w:lang w:val="fr-CH" w:eastAsia="en-US"/>
    </w:rPr>
  </w:style>
  <w:style w:type="character" w:customStyle="1" w:styleId="PieddepageCar1">
    <w:name w:val="Pied de page Car1"/>
    <w:aliases w:val="3_G Car"/>
    <w:basedOn w:val="DefaultParagraphFont"/>
    <w:semiHidden/>
    <w:rsid w:val="009209F1"/>
    <w:rPr>
      <w:lang w:eastAsia="en-US"/>
    </w:rPr>
  </w:style>
  <w:style w:type="paragraph" w:styleId="EnvelopeAddress">
    <w:name w:val="envelope address"/>
    <w:basedOn w:val="Normal"/>
    <w:unhideWhenUsed/>
    <w:rsid w:val="009209F1"/>
    <w:pPr>
      <w:framePr w:w="7920" w:h="1980" w:hSpace="180" w:wrap="auto" w:hAnchor="page" w:xAlign="center" w:yAlign="bottom"/>
      <w:ind w:left="2880"/>
    </w:pPr>
    <w:rPr>
      <w:rFonts w:ascii="Arial" w:hAnsi="Arial" w:cs="Arial"/>
      <w:sz w:val="24"/>
      <w:szCs w:val="24"/>
      <w:lang w:val="en-GB"/>
    </w:rPr>
  </w:style>
  <w:style w:type="paragraph" w:styleId="EnvelopeReturn">
    <w:name w:val="envelope return"/>
    <w:basedOn w:val="Normal"/>
    <w:unhideWhenUsed/>
    <w:rsid w:val="009209F1"/>
    <w:rPr>
      <w:rFonts w:ascii="Arial" w:hAnsi="Arial" w:cs="Arial"/>
      <w:lang w:val="en-GB"/>
    </w:rPr>
  </w:style>
  <w:style w:type="character" w:customStyle="1" w:styleId="EndnoteTextChar">
    <w:name w:val="Endnote Text Char"/>
    <w:aliases w:val="2_G Char"/>
    <w:basedOn w:val="DefaultParagraphFont"/>
    <w:link w:val="EndnoteText"/>
    <w:locked/>
    <w:rsid w:val="009209F1"/>
    <w:rPr>
      <w:sz w:val="18"/>
      <w:lang w:val="fr-CH" w:eastAsia="en-US"/>
    </w:rPr>
  </w:style>
  <w:style w:type="character" w:customStyle="1" w:styleId="NotedefinCar1">
    <w:name w:val="Note de fin Car1"/>
    <w:aliases w:val="2_G Car"/>
    <w:basedOn w:val="DefaultParagraphFont"/>
    <w:semiHidden/>
    <w:rsid w:val="009209F1"/>
    <w:rPr>
      <w:lang w:eastAsia="en-US"/>
    </w:rPr>
  </w:style>
  <w:style w:type="paragraph" w:styleId="List">
    <w:name w:val="List"/>
    <w:basedOn w:val="Normal"/>
    <w:unhideWhenUsed/>
    <w:rsid w:val="009209F1"/>
    <w:pPr>
      <w:ind w:left="283" w:hanging="283"/>
    </w:pPr>
    <w:rPr>
      <w:lang w:val="en-GB"/>
    </w:rPr>
  </w:style>
  <w:style w:type="paragraph" w:styleId="ListBullet">
    <w:name w:val="List Bullet"/>
    <w:basedOn w:val="Normal"/>
    <w:unhideWhenUsed/>
    <w:rsid w:val="009209F1"/>
    <w:pPr>
      <w:numPr>
        <w:numId w:val="4"/>
      </w:numPr>
    </w:pPr>
    <w:rPr>
      <w:lang w:val="en-GB"/>
    </w:rPr>
  </w:style>
  <w:style w:type="paragraph" w:styleId="ListNumber">
    <w:name w:val="List Number"/>
    <w:basedOn w:val="Normal"/>
    <w:unhideWhenUsed/>
    <w:rsid w:val="009209F1"/>
    <w:pPr>
      <w:numPr>
        <w:numId w:val="5"/>
      </w:numPr>
    </w:pPr>
    <w:rPr>
      <w:lang w:val="en-GB"/>
    </w:rPr>
  </w:style>
  <w:style w:type="paragraph" w:styleId="List2">
    <w:name w:val="List 2"/>
    <w:basedOn w:val="Normal"/>
    <w:unhideWhenUsed/>
    <w:rsid w:val="009209F1"/>
    <w:pPr>
      <w:ind w:left="566" w:hanging="283"/>
    </w:pPr>
    <w:rPr>
      <w:lang w:val="en-GB"/>
    </w:rPr>
  </w:style>
  <w:style w:type="paragraph" w:styleId="List3">
    <w:name w:val="List 3"/>
    <w:basedOn w:val="Normal"/>
    <w:unhideWhenUsed/>
    <w:rsid w:val="009209F1"/>
    <w:pPr>
      <w:ind w:left="849" w:hanging="283"/>
    </w:pPr>
    <w:rPr>
      <w:lang w:val="en-GB"/>
    </w:rPr>
  </w:style>
  <w:style w:type="paragraph" w:styleId="List4">
    <w:name w:val="List 4"/>
    <w:basedOn w:val="Normal"/>
    <w:unhideWhenUsed/>
    <w:rsid w:val="009209F1"/>
    <w:pPr>
      <w:ind w:left="1132" w:hanging="283"/>
    </w:pPr>
    <w:rPr>
      <w:lang w:val="en-GB"/>
    </w:rPr>
  </w:style>
  <w:style w:type="paragraph" w:styleId="List5">
    <w:name w:val="List 5"/>
    <w:basedOn w:val="Normal"/>
    <w:unhideWhenUsed/>
    <w:rsid w:val="009209F1"/>
    <w:pPr>
      <w:ind w:left="1415" w:hanging="283"/>
    </w:pPr>
    <w:rPr>
      <w:lang w:val="en-GB"/>
    </w:rPr>
  </w:style>
  <w:style w:type="paragraph" w:styleId="ListBullet2">
    <w:name w:val="List Bullet 2"/>
    <w:basedOn w:val="Normal"/>
    <w:unhideWhenUsed/>
    <w:rsid w:val="009209F1"/>
    <w:pPr>
      <w:numPr>
        <w:numId w:val="6"/>
      </w:numPr>
    </w:pPr>
    <w:rPr>
      <w:lang w:val="en-GB"/>
    </w:rPr>
  </w:style>
  <w:style w:type="paragraph" w:styleId="ListBullet3">
    <w:name w:val="List Bullet 3"/>
    <w:basedOn w:val="Normal"/>
    <w:unhideWhenUsed/>
    <w:rsid w:val="009209F1"/>
    <w:pPr>
      <w:numPr>
        <w:numId w:val="7"/>
      </w:numPr>
    </w:pPr>
    <w:rPr>
      <w:lang w:val="en-GB"/>
    </w:rPr>
  </w:style>
  <w:style w:type="paragraph" w:styleId="ListBullet4">
    <w:name w:val="List Bullet 4"/>
    <w:basedOn w:val="Normal"/>
    <w:unhideWhenUsed/>
    <w:rsid w:val="009209F1"/>
    <w:pPr>
      <w:numPr>
        <w:numId w:val="8"/>
      </w:numPr>
    </w:pPr>
    <w:rPr>
      <w:lang w:val="en-GB"/>
    </w:rPr>
  </w:style>
  <w:style w:type="paragraph" w:styleId="ListBullet5">
    <w:name w:val="List Bullet 5"/>
    <w:basedOn w:val="Normal"/>
    <w:unhideWhenUsed/>
    <w:rsid w:val="009209F1"/>
    <w:pPr>
      <w:numPr>
        <w:numId w:val="9"/>
      </w:numPr>
    </w:pPr>
    <w:rPr>
      <w:lang w:val="en-GB"/>
    </w:rPr>
  </w:style>
  <w:style w:type="paragraph" w:styleId="ListNumber2">
    <w:name w:val="List Number 2"/>
    <w:basedOn w:val="Normal"/>
    <w:unhideWhenUsed/>
    <w:rsid w:val="009209F1"/>
    <w:pPr>
      <w:numPr>
        <w:numId w:val="10"/>
      </w:numPr>
    </w:pPr>
    <w:rPr>
      <w:lang w:val="en-GB"/>
    </w:rPr>
  </w:style>
  <w:style w:type="paragraph" w:styleId="ListNumber3">
    <w:name w:val="List Number 3"/>
    <w:basedOn w:val="Normal"/>
    <w:unhideWhenUsed/>
    <w:rsid w:val="009209F1"/>
    <w:pPr>
      <w:numPr>
        <w:numId w:val="3"/>
      </w:numPr>
    </w:pPr>
    <w:rPr>
      <w:lang w:val="en-GB"/>
    </w:rPr>
  </w:style>
  <w:style w:type="paragraph" w:styleId="ListNumber4">
    <w:name w:val="List Number 4"/>
    <w:basedOn w:val="Normal"/>
    <w:unhideWhenUsed/>
    <w:rsid w:val="009209F1"/>
    <w:pPr>
      <w:numPr>
        <w:numId w:val="11"/>
      </w:numPr>
    </w:pPr>
    <w:rPr>
      <w:lang w:val="en-GB"/>
    </w:rPr>
  </w:style>
  <w:style w:type="paragraph" w:styleId="ListNumber5">
    <w:name w:val="List Number 5"/>
    <w:basedOn w:val="Normal"/>
    <w:unhideWhenUsed/>
    <w:rsid w:val="009209F1"/>
    <w:pPr>
      <w:numPr>
        <w:numId w:val="12"/>
      </w:numPr>
    </w:pPr>
    <w:rPr>
      <w:lang w:val="en-GB"/>
    </w:rPr>
  </w:style>
  <w:style w:type="paragraph" w:styleId="Title">
    <w:name w:val="Title"/>
    <w:basedOn w:val="Normal"/>
    <w:link w:val="TitleChar"/>
    <w:qFormat/>
    <w:rsid w:val="009209F1"/>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9209F1"/>
    <w:rPr>
      <w:rFonts w:ascii="Arial" w:hAnsi="Arial" w:cs="Arial"/>
      <w:b/>
      <w:bCs/>
      <w:kern w:val="28"/>
      <w:sz w:val="32"/>
      <w:szCs w:val="32"/>
      <w:lang w:eastAsia="en-US"/>
    </w:rPr>
  </w:style>
  <w:style w:type="paragraph" w:styleId="Closing">
    <w:name w:val="Closing"/>
    <w:basedOn w:val="Normal"/>
    <w:link w:val="ClosingChar"/>
    <w:unhideWhenUsed/>
    <w:rsid w:val="009209F1"/>
    <w:pPr>
      <w:ind w:left="4252"/>
    </w:pPr>
    <w:rPr>
      <w:lang w:val="en-GB"/>
    </w:rPr>
  </w:style>
  <w:style w:type="character" w:customStyle="1" w:styleId="ClosingChar">
    <w:name w:val="Closing Char"/>
    <w:basedOn w:val="DefaultParagraphFont"/>
    <w:link w:val="Closing"/>
    <w:rsid w:val="009209F1"/>
    <w:rPr>
      <w:lang w:eastAsia="en-US"/>
    </w:rPr>
  </w:style>
  <w:style w:type="paragraph" w:styleId="Signature">
    <w:name w:val="Signature"/>
    <w:basedOn w:val="Normal"/>
    <w:link w:val="SignatureChar"/>
    <w:unhideWhenUsed/>
    <w:rsid w:val="009209F1"/>
    <w:pPr>
      <w:ind w:left="4252"/>
    </w:pPr>
    <w:rPr>
      <w:lang w:val="en-GB"/>
    </w:rPr>
  </w:style>
  <w:style w:type="character" w:customStyle="1" w:styleId="SignatureChar">
    <w:name w:val="Signature Char"/>
    <w:basedOn w:val="DefaultParagraphFont"/>
    <w:link w:val="Signature"/>
    <w:rsid w:val="009209F1"/>
    <w:rPr>
      <w:lang w:eastAsia="en-US"/>
    </w:rPr>
  </w:style>
  <w:style w:type="paragraph" w:styleId="BodyText">
    <w:name w:val="Body Text"/>
    <w:basedOn w:val="Normal"/>
    <w:next w:val="Normal"/>
    <w:link w:val="BodyTextChar"/>
    <w:unhideWhenUsed/>
    <w:rsid w:val="009209F1"/>
    <w:rPr>
      <w:lang w:val="en-GB"/>
    </w:rPr>
  </w:style>
  <w:style w:type="character" w:customStyle="1" w:styleId="BodyTextChar">
    <w:name w:val="Body Text Char"/>
    <w:basedOn w:val="DefaultParagraphFont"/>
    <w:link w:val="BodyText"/>
    <w:rsid w:val="009209F1"/>
    <w:rPr>
      <w:lang w:eastAsia="en-US"/>
    </w:rPr>
  </w:style>
  <w:style w:type="paragraph" w:styleId="BodyTextIndent">
    <w:name w:val="Body Text Indent"/>
    <w:basedOn w:val="Normal"/>
    <w:link w:val="BodyTextIndentChar"/>
    <w:unhideWhenUsed/>
    <w:rsid w:val="009209F1"/>
    <w:pPr>
      <w:spacing w:after="120"/>
      <w:ind w:left="283"/>
    </w:pPr>
    <w:rPr>
      <w:lang w:val="en-GB"/>
    </w:rPr>
  </w:style>
  <w:style w:type="character" w:customStyle="1" w:styleId="BodyTextIndentChar">
    <w:name w:val="Body Text Indent Char"/>
    <w:basedOn w:val="DefaultParagraphFont"/>
    <w:link w:val="BodyTextIndent"/>
    <w:rsid w:val="009209F1"/>
    <w:rPr>
      <w:lang w:eastAsia="en-US"/>
    </w:rPr>
  </w:style>
  <w:style w:type="paragraph" w:styleId="ListContinue">
    <w:name w:val="List Continue"/>
    <w:basedOn w:val="Normal"/>
    <w:unhideWhenUsed/>
    <w:rsid w:val="009209F1"/>
    <w:pPr>
      <w:spacing w:after="120"/>
      <w:ind w:left="283"/>
    </w:pPr>
    <w:rPr>
      <w:lang w:val="en-GB"/>
    </w:rPr>
  </w:style>
  <w:style w:type="paragraph" w:styleId="ListContinue2">
    <w:name w:val="List Continue 2"/>
    <w:basedOn w:val="Normal"/>
    <w:unhideWhenUsed/>
    <w:rsid w:val="009209F1"/>
    <w:pPr>
      <w:spacing w:after="120"/>
      <w:ind w:left="566"/>
    </w:pPr>
    <w:rPr>
      <w:lang w:val="en-GB"/>
    </w:rPr>
  </w:style>
  <w:style w:type="paragraph" w:styleId="ListContinue3">
    <w:name w:val="List Continue 3"/>
    <w:basedOn w:val="Normal"/>
    <w:unhideWhenUsed/>
    <w:rsid w:val="009209F1"/>
    <w:pPr>
      <w:spacing w:after="120"/>
      <w:ind w:left="849"/>
    </w:pPr>
    <w:rPr>
      <w:lang w:val="en-GB"/>
    </w:rPr>
  </w:style>
  <w:style w:type="paragraph" w:styleId="ListContinue4">
    <w:name w:val="List Continue 4"/>
    <w:basedOn w:val="Normal"/>
    <w:unhideWhenUsed/>
    <w:rsid w:val="009209F1"/>
    <w:pPr>
      <w:spacing w:after="120"/>
      <w:ind w:left="1132"/>
    </w:pPr>
    <w:rPr>
      <w:lang w:val="en-GB"/>
    </w:rPr>
  </w:style>
  <w:style w:type="paragraph" w:styleId="ListContinue5">
    <w:name w:val="List Continue 5"/>
    <w:basedOn w:val="Normal"/>
    <w:unhideWhenUsed/>
    <w:rsid w:val="009209F1"/>
    <w:pPr>
      <w:spacing w:after="120"/>
      <w:ind w:left="1415"/>
    </w:pPr>
    <w:rPr>
      <w:lang w:val="en-GB"/>
    </w:rPr>
  </w:style>
  <w:style w:type="paragraph" w:styleId="MessageHeader">
    <w:name w:val="Message Header"/>
    <w:basedOn w:val="Normal"/>
    <w:link w:val="MessageHeaderChar"/>
    <w:unhideWhenUsed/>
    <w:rsid w:val="009209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9209F1"/>
    <w:rPr>
      <w:rFonts w:ascii="Arial" w:hAnsi="Arial" w:cs="Arial"/>
      <w:sz w:val="24"/>
      <w:szCs w:val="24"/>
      <w:shd w:val="pct20" w:color="auto" w:fill="auto"/>
      <w:lang w:eastAsia="en-US"/>
    </w:rPr>
  </w:style>
  <w:style w:type="paragraph" w:styleId="Subtitle">
    <w:name w:val="Subtitle"/>
    <w:basedOn w:val="Normal"/>
    <w:link w:val="SubtitleChar"/>
    <w:qFormat/>
    <w:rsid w:val="009209F1"/>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9209F1"/>
    <w:rPr>
      <w:rFonts w:ascii="Arial" w:hAnsi="Arial" w:cs="Arial"/>
      <w:sz w:val="24"/>
      <w:szCs w:val="24"/>
      <w:lang w:eastAsia="en-US"/>
    </w:rPr>
  </w:style>
  <w:style w:type="paragraph" w:styleId="Salutation">
    <w:name w:val="Salutation"/>
    <w:basedOn w:val="Normal"/>
    <w:next w:val="Normal"/>
    <w:link w:val="SalutationChar"/>
    <w:unhideWhenUsed/>
    <w:rsid w:val="009209F1"/>
    <w:rPr>
      <w:lang w:val="en-GB"/>
    </w:rPr>
  </w:style>
  <w:style w:type="character" w:customStyle="1" w:styleId="SalutationChar">
    <w:name w:val="Salutation Char"/>
    <w:basedOn w:val="DefaultParagraphFont"/>
    <w:link w:val="Salutation"/>
    <w:rsid w:val="009209F1"/>
    <w:rPr>
      <w:lang w:eastAsia="en-US"/>
    </w:rPr>
  </w:style>
  <w:style w:type="paragraph" w:styleId="Date">
    <w:name w:val="Date"/>
    <w:basedOn w:val="Normal"/>
    <w:next w:val="Normal"/>
    <w:link w:val="DateChar"/>
    <w:unhideWhenUsed/>
    <w:rsid w:val="009209F1"/>
    <w:rPr>
      <w:lang w:val="en-GB"/>
    </w:rPr>
  </w:style>
  <w:style w:type="character" w:customStyle="1" w:styleId="DateChar">
    <w:name w:val="Date Char"/>
    <w:basedOn w:val="DefaultParagraphFont"/>
    <w:link w:val="Date"/>
    <w:rsid w:val="009209F1"/>
    <w:rPr>
      <w:lang w:eastAsia="en-US"/>
    </w:rPr>
  </w:style>
  <w:style w:type="paragraph" w:styleId="BodyTextFirstIndent">
    <w:name w:val="Body Text First Indent"/>
    <w:basedOn w:val="BodyText"/>
    <w:link w:val="BodyTextFirstIndentChar"/>
    <w:unhideWhenUsed/>
    <w:rsid w:val="009209F1"/>
    <w:pPr>
      <w:spacing w:after="120"/>
      <w:ind w:firstLine="210"/>
    </w:pPr>
  </w:style>
  <w:style w:type="character" w:customStyle="1" w:styleId="BodyTextFirstIndentChar">
    <w:name w:val="Body Text First Indent Char"/>
    <w:basedOn w:val="BodyTextChar"/>
    <w:link w:val="BodyTextFirstIndent"/>
    <w:rsid w:val="009209F1"/>
    <w:rPr>
      <w:lang w:eastAsia="en-US"/>
    </w:rPr>
  </w:style>
  <w:style w:type="paragraph" w:styleId="BodyTextFirstIndent2">
    <w:name w:val="Body Text First Indent 2"/>
    <w:basedOn w:val="BodyTextIndent"/>
    <w:link w:val="BodyTextFirstIndent2Char"/>
    <w:unhideWhenUsed/>
    <w:rsid w:val="009209F1"/>
    <w:pPr>
      <w:ind w:firstLine="210"/>
    </w:pPr>
  </w:style>
  <w:style w:type="character" w:customStyle="1" w:styleId="BodyTextFirstIndent2Char">
    <w:name w:val="Body Text First Indent 2 Char"/>
    <w:basedOn w:val="BodyTextIndentChar"/>
    <w:link w:val="BodyTextFirstIndent2"/>
    <w:rsid w:val="009209F1"/>
    <w:rPr>
      <w:lang w:eastAsia="en-US"/>
    </w:rPr>
  </w:style>
  <w:style w:type="paragraph" w:styleId="NoteHeading">
    <w:name w:val="Note Heading"/>
    <w:basedOn w:val="Normal"/>
    <w:next w:val="Normal"/>
    <w:link w:val="NoteHeadingChar"/>
    <w:unhideWhenUsed/>
    <w:rsid w:val="009209F1"/>
    <w:rPr>
      <w:lang w:val="en-GB"/>
    </w:rPr>
  </w:style>
  <w:style w:type="character" w:customStyle="1" w:styleId="NoteHeadingChar">
    <w:name w:val="Note Heading Char"/>
    <w:basedOn w:val="DefaultParagraphFont"/>
    <w:link w:val="NoteHeading"/>
    <w:rsid w:val="009209F1"/>
    <w:rPr>
      <w:lang w:eastAsia="en-US"/>
    </w:rPr>
  </w:style>
  <w:style w:type="paragraph" w:styleId="BodyText2">
    <w:name w:val="Body Text 2"/>
    <w:basedOn w:val="Normal"/>
    <w:link w:val="BodyText2Char"/>
    <w:unhideWhenUsed/>
    <w:rsid w:val="009209F1"/>
    <w:pPr>
      <w:spacing w:after="120" w:line="480" w:lineRule="auto"/>
    </w:pPr>
    <w:rPr>
      <w:lang w:val="en-GB"/>
    </w:rPr>
  </w:style>
  <w:style w:type="character" w:customStyle="1" w:styleId="BodyText2Char">
    <w:name w:val="Body Text 2 Char"/>
    <w:basedOn w:val="DefaultParagraphFont"/>
    <w:link w:val="BodyText2"/>
    <w:rsid w:val="009209F1"/>
    <w:rPr>
      <w:lang w:eastAsia="en-US"/>
    </w:rPr>
  </w:style>
  <w:style w:type="paragraph" w:styleId="BodyText3">
    <w:name w:val="Body Text 3"/>
    <w:basedOn w:val="Normal"/>
    <w:link w:val="BodyText3Char"/>
    <w:unhideWhenUsed/>
    <w:rsid w:val="009209F1"/>
    <w:pPr>
      <w:spacing w:after="120"/>
    </w:pPr>
    <w:rPr>
      <w:sz w:val="16"/>
      <w:szCs w:val="16"/>
      <w:lang w:val="en-GB"/>
    </w:rPr>
  </w:style>
  <w:style w:type="character" w:customStyle="1" w:styleId="BodyText3Char">
    <w:name w:val="Body Text 3 Char"/>
    <w:basedOn w:val="DefaultParagraphFont"/>
    <w:link w:val="BodyText3"/>
    <w:rsid w:val="009209F1"/>
    <w:rPr>
      <w:sz w:val="16"/>
      <w:szCs w:val="16"/>
      <w:lang w:eastAsia="en-US"/>
    </w:rPr>
  </w:style>
  <w:style w:type="paragraph" w:styleId="BodyTextIndent2">
    <w:name w:val="Body Text Indent 2"/>
    <w:basedOn w:val="Normal"/>
    <w:link w:val="BodyTextIndent2Char"/>
    <w:unhideWhenUsed/>
    <w:rsid w:val="009209F1"/>
    <w:pPr>
      <w:spacing w:after="120" w:line="480" w:lineRule="auto"/>
      <w:ind w:left="283"/>
    </w:pPr>
    <w:rPr>
      <w:lang w:val="en-GB"/>
    </w:rPr>
  </w:style>
  <w:style w:type="character" w:customStyle="1" w:styleId="BodyTextIndent2Char">
    <w:name w:val="Body Text Indent 2 Char"/>
    <w:basedOn w:val="DefaultParagraphFont"/>
    <w:link w:val="BodyTextIndent2"/>
    <w:rsid w:val="009209F1"/>
    <w:rPr>
      <w:lang w:eastAsia="en-US"/>
    </w:rPr>
  </w:style>
  <w:style w:type="paragraph" w:styleId="BodyTextIndent3">
    <w:name w:val="Body Text Indent 3"/>
    <w:basedOn w:val="Normal"/>
    <w:link w:val="BodyTextIndent3Char"/>
    <w:unhideWhenUsed/>
    <w:rsid w:val="009209F1"/>
    <w:pPr>
      <w:spacing w:after="120"/>
      <w:ind w:left="283"/>
    </w:pPr>
    <w:rPr>
      <w:sz w:val="16"/>
      <w:szCs w:val="16"/>
      <w:lang w:val="en-GB"/>
    </w:rPr>
  </w:style>
  <w:style w:type="character" w:customStyle="1" w:styleId="BodyTextIndent3Char">
    <w:name w:val="Body Text Indent 3 Char"/>
    <w:basedOn w:val="DefaultParagraphFont"/>
    <w:link w:val="BodyTextIndent3"/>
    <w:rsid w:val="009209F1"/>
    <w:rPr>
      <w:sz w:val="16"/>
      <w:szCs w:val="16"/>
      <w:lang w:eastAsia="en-US"/>
    </w:rPr>
  </w:style>
  <w:style w:type="paragraph" w:styleId="BlockText">
    <w:name w:val="Block Text"/>
    <w:basedOn w:val="Normal"/>
    <w:unhideWhenUsed/>
    <w:rsid w:val="009209F1"/>
    <w:pPr>
      <w:ind w:left="1440" w:right="1440"/>
    </w:pPr>
    <w:rPr>
      <w:lang w:val="en-GB"/>
    </w:rPr>
  </w:style>
  <w:style w:type="paragraph" w:styleId="PlainText">
    <w:name w:val="Plain Text"/>
    <w:basedOn w:val="Normal"/>
    <w:link w:val="PlainTextChar"/>
    <w:unhideWhenUsed/>
    <w:rsid w:val="009209F1"/>
    <w:rPr>
      <w:rFonts w:cs="Courier New"/>
      <w:lang w:val="en-GB"/>
    </w:rPr>
  </w:style>
  <w:style w:type="character" w:customStyle="1" w:styleId="PlainTextChar">
    <w:name w:val="Plain Text Char"/>
    <w:basedOn w:val="DefaultParagraphFont"/>
    <w:link w:val="PlainText"/>
    <w:rsid w:val="009209F1"/>
    <w:rPr>
      <w:rFonts w:cs="Courier New"/>
      <w:lang w:eastAsia="en-US"/>
    </w:rPr>
  </w:style>
  <w:style w:type="paragraph" w:styleId="E-mailSignature">
    <w:name w:val="E-mail Signature"/>
    <w:basedOn w:val="Normal"/>
    <w:link w:val="E-mailSignatureChar"/>
    <w:unhideWhenUsed/>
    <w:rsid w:val="009209F1"/>
    <w:rPr>
      <w:lang w:val="en-GB"/>
    </w:rPr>
  </w:style>
  <w:style w:type="character" w:customStyle="1" w:styleId="E-mailSignatureChar">
    <w:name w:val="E-mail Signature Char"/>
    <w:basedOn w:val="DefaultParagraphFont"/>
    <w:link w:val="E-mailSignature"/>
    <w:rsid w:val="009209F1"/>
    <w:rPr>
      <w:lang w:eastAsia="en-US"/>
    </w:rPr>
  </w:style>
  <w:style w:type="paragraph" w:styleId="BalloonText">
    <w:name w:val="Balloon Text"/>
    <w:basedOn w:val="Normal"/>
    <w:link w:val="BalloonTextChar"/>
    <w:unhideWhenUsed/>
    <w:rsid w:val="009209F1"/>
    <w:pPr>
      <w:spacing w:line="240" w:lineRule="auto"/>
    </w:pPr>
    <w:rPr>
      <w:rFonts w:ascii="Tahoma" w:hAnsi="Tahoma"/>
      <w:sz w:val="16"/>
      <w:szCs w:val="16"/>
      <w:lang w:val="x-none"/>
    </w:rPr>
  </w:style>
  <w:style w:type="character" w:customStyle="1" w:styleId="BalloonTextChar">
    <w:name w:val="Balloon Text Char"/>
    <w:basedOn w:val="DefaultParagraphFont"/>
    <w:link w:val="BalloonText"/>
    <w:rsid w:val="009209F1"/>
    <w:rPr>
      <w:rFonts w:ascii="Tahoma" w:hAnsi="Tahoma"/>
      <w:sz w:val="16"/>
      <w:szCs w:val="16"/>
      <w:lang w:val="x-none" w:eastAsia="en-US"/>
    </w:rPr>
  </w:style>
  <w:style w:type="paragraph" w:styleId="Revision">
    <w:name w:val="Revision"/>
    <w:uiPriority w:val="99"/>
    <w:semiHidden/>
    <w:rsid w:val="009209F1"/>
    <w:rPr>
      <w:lang w:eastAsia="en-US"/>
    </w:rPr>
  </w:style>
  <w:style w:type="paragraph" w:styleId="ListParagraph">
    <w:name w:val="List Paragraph"/>
    <w:basedOn w:val="Normal"/>
    <w:uiPriority w:val="34"/>
    <w:qFormat/>
    <w:rsid w:val="009209F1"/>
    <w:pPr>
      <w:suppressAutoHyphens w:val="0"/>
      <w:spacing w:after="200" w:line="276" w:lineRule="auto"/>
      <w:ind w:left="720"/>
      <w:contextualSpacing/>
    </w:pPr>
    <w:rPr>
      <w:rFonts w:ascii="Calibri" w:eastAsia="Calibri" w:hAnsi="Calibri"/>
      <w:sz w:val="22"/>
      <w:szCs w:val="22"/>
      <w:lang w:val="en-US"/>
    </w:rPr>
  </w:style>
  <w:style w:type="character" w:customStyle="1" w:styleId="SingleTxtGChar">
    <w:name w:val="_ Single Txt_G Char"/>
    <w:link w:val="SingleTxtG"/>
    <w:locked/>
    <w:rsid w:val="009209F1"/>
    <w:rPr>
      <w:lang w:val="fr-CH" w:eastAsia="en-US"/>
    </w:rPr>
  </w:style>
  <w:style w:type="character" w:customStyle="1" w:styleId="H1GChar">
    <w:name w:val="_ H_1_G Char"/>
    <w:link w:val="H1G"/>
    <w:locked/>
    <w:rsid w:val="009209F1"/>
    <w:rPr>
      <w:b/>
      <w:sz w:val="24"/>
      <w:lang w:val="fr-CH" w:eastAsia="en-US"/>
    </w:rPr>
  </w:style>
  <w:style w:type="character" w:customStyle="1" w:styleId="H23GChar">
    <w:name w:val="_ H_2/3_G Char"/>
    <w:link w:val="H23G"/>
    <w:locked/>
    <w:rsid w:val="009209F1"/>
    <w:rPr>
      <w:b/>
      <w:lang w:val="fr-CH" w:eastAsia="en-US"/>
    </w:rPr>
  </w:style>
  <w:style w:type="paragraph" w:customStyle="1" w:styleId="Tabletitle">
    <w:name w:val="Table title"/>
    <w:basedOn w:val="Normal"/>
    <w:next w:val="Normal"/>
    <w:semiHidden/>
    <w:rsid w:val="009209F1"/>
    <w:pPr>
      <w:keepNext/>
      <w:spacing w:before="120" w:after="120" w:line="230" w:lineRule="exact"/>
      <w:jc w:val="center"/>
    </w:pPr>
    <w:rPr>
      <w:rFonts w:ascii="Arial" w:eastAsia="MS Mincho" w:hAnsi="Arial"/>
      <w:b/>
      <w:lang w:val="en-GB" w:eastAsia="fr-FR"/>
    </w:rPr>
  </w:style>
  <w:style w:type="character" w:styleId="CommentReference">
    <w:name w:val="annotation reference"/>
    <w:unhideWhenUsed/>
    <w:rsid w:val="009209F1"/>
    <w:rPr>
      <w:sz w:val="6"/>
    </w:rPr>
  </w:style>
  <w:style w:type="character" w:styleId="LineNumber">
    <w:name w:val="line number"/>
    <w:unhideWhenUsed/>
    <w:rsid w:val="009209F1"/>
    <w:rPr>
      <w:sz w:val="14"/>
    </w:rPr>
  </w:style>
  <w:style w:type="character" w:customStyle="1" w:styleId="SingleTxtGCar">
    <w:name w:val="_ Single Txt_G Car"/>
    <w:rsid w:val="009209F1"/>
    <w:rPr>
      <w:lang w:val="en-GB" w:eastAsia="en-US" w:bidi="ar-SA"/>
    </w:rPr>
  </w:style>
  <w:style w:type="table" w:styleId="TableSimple1">
    <w:name w:val="Table Simple 1"/>
    <w:basedOn w:val="TableNormal"/>
    <w:unhideWhenUsed/>
    <w:rsid w:val="009209F1"/>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9209F1"/>
    <w:pPr>
      <w:suppressAutoHyphens/>
      <w:spacing w:line="240" w:lineRule="atLeast"/>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9209F1"/>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9209F1"/>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9209F1"/>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9209F1"/>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9209F1"/>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9209F1"/>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9209F1"/>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9209F1"/>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9209F1"/>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9209F1"/>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9209F1"/>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9209F1"/>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9209F1"/>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2">
    <w:name w:val="Table Grid 2"/>
    <w:basedOn w:val="TableNormal"/>
    <w:unhideWhenUsed/>
    <w:rsid w:val="009209F1"/>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9209F1"/>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9209F1"/>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9209F1"/>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9209F1"/>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9209F1"/>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9209F1"/>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9209F1"/>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9209F1"/>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9209F1"/>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9209F1"/>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9209F1"/>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9209F1"/>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9209F1"/>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9209F1"/>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9209F1"/>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9209F1"/>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9209F1"/>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9209F1"/>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9209F1"/>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9209F1"/>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9209F1"/>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9209F1"/>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9209F1"/>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9209F1"/>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9209F1"/>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9209F1"/>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ParaNoG">
    <w:name w:val="_ParaNo._G"/>
    <w:basedOn w:val="SingleTxtG"/>
    <w:semiHidden/>
    <w:rsid w:val="009209F1"/>
    <w:pPr>
      <w:numPr>
        <w:numId w:val="15"/>
      </w:numPr>
    </w:pPr>
    <w:rPr>
      <w:lang w:val="x-none"/>
    </w:rPr>
  </w:style>
  <w:style w:type="numbering" w:styleId="ArticleSection">
    <w:name w:val="Outline List 3"/>
    <w:basedOn w:val="NoList"/>
    <w:unhideWhenUsed/>
    <w:rsid w:val="009209F1"/>
    <w:pPr>
      <w:numPr>
        <w:numId w:val="16"/>
      </w:numPr>
    </w:pPr>
  </w:style>
  <w:style w:type="numbering" w:styleId="1ai">
    <w:name w:val="Outline List 1"/>
    <w:basedOn w:val="NoList"/>
    <w:unhideWhenUsed/>
    <w:rsid w:val="009209F1"/>
    <w:pPr>
      <w:numPr>
        <w:numId w:val="17"/>
      </w:numPr>
    </w:pPr>
  </w:style>
  <w:style w:type="numbering" w:styleId="111111">
    <w:name w:val="Outline List 2"/>
    <w:basedOn w:val="NoList"/>
    <w:unhideWhenUsed/>
    <w:rsid w:val="009209F1"/>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numPr>
        <w:numId w:val="13"/>
      </w:numPr>
      <w:spacing w:after="0" w:line="240" w:lineRule="auto"/>
      <w:ind w:right="0"/>
      <w:jc w:val="left"/>
      <w:outlineLvl w:val="0"/>
    </w:pPr>
  </w:style>
  <w:style w:type="paragraph" w:styleId="Heading2">
    <w:name w:val="heading 2"/>
    <w:basedOn w:val="Normal"/>
    <w:next w:val="Normal"/>
    <w:link w:val="Heading2Char"/>
    <w:qFormat/>
    <w:rsid w:val="000964C7"/>
    <w:pPr>
      <w:numPr>
        <w:ilvl w:val="1"/>
        <w:numId w:val="13"/>
      </w:numPr>
      <w:outlineLvl w:val="1"/>
    </w:pPr>
  </w:style>
  <w:style w:type="paragraph" w:styleId="Heading3">
    <w:name w:val="heading 3"/>
    <w:basedOn w:val="Normal"/>
    <w:next w:val="Normal"/>
    <w:link w:val="Heading3Char"/>
    <w:qFormat/>
    <w:rsid w:val="000964C7"/>
    <w:pPr>
      <w:numPr>
        <w:ilvl w:val="2"/>
        <w:numId w:val="13"/>
      </w:numPr>
      <w:outlineLvl w:val="2"/>
    </w:pPr>
  </w:style>
  <w:style w:type="paragraph" w:styleId="Heading4">
    <w:name w:val="heading 4"/>
    <w:basedOn w:val="Normal"/>
    <w:next w:val="Normal"/>
    <w:link w:val="Heading4Char"/>
    <w:qFormat/>
    <w:rsid w:val="000964C7"/>
    <w:pPr>
      <w:numPr>
        <w:ilvl w:val="3"/>
        <w:numId w:val="13"/>
      </w:numPr>
      <w:outlineLvl w:val="3"/>
    </w:pPr>
  </w:style>
  <w:style w:type="paragraph" w:styleId="Heading5">
    <w:name w:val="heading 5"/>
    <w:basedOn w:val="Normal"/>
    <w:next w:val="Normal"/>
    <w:link w:val="Heading5Char"/>
    <w:qFormat/>
    <w:rsid w:val="000964C7"/>
    <w:pPr>
      <w:numPr>
        <w:ilvl w:val="4"/>
        <w:numId w:val="13"/>
      </w:numPr>
      <w:outlineLvl w:val="4"/>
    </w:pPr>
  </w:style>
  <w:style w:type="paragraph" w:styleId="Heading6">
    <w:name w:val="heading 6"/>
    <w:basedOn w:val="Normal"/>
    <w:next w:val="Normal"/>
    <w:link w:val="Heading6Char"/>
    <w:qFormat/>
    <w:rsid w:val="000964C7"/>
    <w:pPr>
      <w:numPr>
        <w:ilvl w:val="5"/>
        <w:numId w:val="13"/>
      </w:numPr>
      <w:outlineLvl w:val="5"/>
    </w:pPr>
  </w:style>
  <w:style w:type="paragraph" w:styleId="Heading7">
    <w:name w:val="heading 7"/>
    <w:basedOn w:val="Normal"/>
    <w:next w:val="Normal"/>
    <w:link w:val="Heading7Char"/>
    <w:qFormat/>
    <w:rsid w:val="000964C7"/>
    <w:pPr>
      <w:numPr>
        <w:ilvl w:val="6"/>
        <w:numId w:val="13"/>
      </w:numPr>
      <w:outlineLvl w:val="6"/>
    </w:pPr>
  </w:style>
  <w:style w:type="paragraph" w:styleId="Heading8">
    <w:name w:val="heading 8"/>
    <w:basedOn w:val="Normal"/>
    <w:next w:val="Normal"/>
    <w:link w:val="Heading8Char"/>
    <w:qFormat/>
    <w:rsid w:val="000964C7"/>
    <w:pPr>
      <w:numPr>
        <w:ilvl w:val="7"/>
        <w:numId w:val="13"/>
      </w:numPr>
      <w:outlineLvl w:val="7"/>
    </w:pPr>
  </w:style>
  <w:style w:type="paragraph" w:styleId="Heading9">
    <w:name w:val="heading 9"/>
    <w:basedOn w:val="Normal"/>
    <w:next w:val="Normal"/>
    <w:link w:val="Heading9Char"/>
    <w:qFormat/>
    <w:rsid w:val="000964C7"/>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FootnoteTextChar">
    <w:name w:val="Footnote Text Char"/>
    <w:aliases w:val="5_G Char"/>
    <w:basedOn w:val="DefaultParagraphFont"/>
    <w:link w:val="FootnoteText"/>
    <w:locked/>
    <w:rsid w:val="009209F1"/>
    <w:rPr>
      <w:sz w:val="18"/>
      <w:lang w:val="fr-CH" w:eastAsia="en-US"/>
    </w:rPr>
  </w:style>
  <w:style w:type="character" w:customStyle="1" w:styleId="HChGChar">
    <w:name w:val="_ H _Ch_G Char"/>
    <w:link w:val="HChG"/>
    <w:locked/>
    <w:rsid w:val="009209F1"/>
    <w:rPr>
      <w:b/>
      <w:sz w:val="28"/>
      <w:lang w:val="fr-CH" w:eastAsia="en-US"/>
    </w:rPr>
  </w:style>
  <w:style w:type="paragraph" w:customStyle="1" w:styleId="H23">
    <w:name w:val="_ H_2/3"/>
    <w:basedOn w:val="Normal"/>
    <w:next w:val="Normal"/>
    <w:qFormat/>
    <w:rsid w:val="009209F1"/>
    <w:pPr>
      <w:keepNext/>
      <w:keepLines/>
      <w:spacing w:line="240" w:lineRule="exact"/>
      <w:outlineLvl w:val="1"/>
    </w:pPr>
    <w:rPr>
      <w:rFonts w:eastAsiaTheme="minorHAnsi"/>
      <w:b/>
      <w:spacing w:val="2"/>
      <w:w w:val="103"/>
      <w:kern w:val="14"/>
      <w:szCs w:val="22"/>
      <w:lang w:val="fr-CA"/>
    </w:rPr>
  </w:style>
  <w:style w:type="character" w:customStyle="1" w:styleId="Heading1Char">
    <w:name w:val="Heading 1 Char"/>
    <w:aliases w:val="Table_G Char"/>
    <w:basedOn w:val="DefaultParagraphFont"/>
    <w:link w:val="Heading1"/>
    <w:rsid w:val="009209F1"/>
    <w:rPr>
      <w:lang w:val="fr-CH" w:eastAsia="en-US"/>
    </w:rPr>
  </w:style>
  <w:style w:type="character" w:customStyle="1" w:styleId="Heading2Char">
    <w:name w:val="Heading 2 Char"/>
    <w:basedOn w:val="DefaultParagraphFont"/>
    <w:link w:val="Heading2"/>
    <w:rsid w:val="009209F1"/>
    <w:rPr>
      <w:lang w:val="fr-CH" w:eastAsia="en-US"/>
    </w:rPr>
  </w:style>
  <w:style w:type="character" w:customStyle="1" w:styleId="Heading3Char">
    <w:name w:val="Heading 3 Char"/>
    <w:basedOn w:val="DefaultParagraphFont"/>
    <w:link w:val="Heading3"/>
    <w:rsid w:val="009209F1"/>
    <w:rPr>
      <w:lang w:val="fr-CH" w:eastAsia="en-US"/>
    </w:rPr>
  </w:style>
  <w:style w:type="character" w:customStyle="1" w:styleId="Heading4Char">
    <w:name w:val="Heading 4 Char"/>
    <w:basedOn w:val="DefaultParagraphFont"/>
    <w:link w:val="Heading4"/>
    <w:rsid w:val="009209F1"/>
    <w:rPr>
      <w:lang w:val="fr-CH" w:eastAsia="en-US"/>
    </w:rPr>
  </w:style>
  <w:style w:type="character" w:customStyle="1" w:styleId="Heading5Char">
    <w:name w:val="Heading 5 Char"/>
    <w:basedOn w:val="DefaultParagraphFont"/>
    <w:link w:val="Heading5"/>
    <w:rsid w:val="009209F1"/>
    <w:rPr>
      <w:lang w:val="fr-CH" w:eastAsia="en-US"/>
    </w:rPr>
  </w:style>
  <w:style w:type="character" w:customStyle="1" w:styleId="Heading6Char">
    <w:name w:val="Heading 6 Char"/>
    <w:basedOn w:val="DefaultParagraphFont"/>
    <w:link w:val="Heading6"/>
    <w:rsid w:val="009209F1"/>
    <w:rPr>
      <w:lang w:val="fr-CH" w:eastAsia="en-US"/>
    </w:rPr>
  </w:style>
  <w:style w:type="character" w:customStyle="1" w:styleId="Heading7Char">
    <w:name w:val="Heading 7 Char"/>
    <w:basedOn w:val="DefaultParagraphFont"/>
    <w:link w:val="Heading7"/>
    <w:rsid w:val="009209F1"/>
    <w:rPr>
      <w:lang w:val="fr-CH" w:eastAsia="en-US"/>
    </w:rPr>
  </w:style>
  <w:style w:type="character" w:customStyle="1" w:styleId="Heading8Char">
    <w:name w:val="Heading 8 Char"/>
    <w:basedOn w:val="DefaultParagraphFont"/>
    <w:link w:val="Heading8"/>
    <w:rsid w:val="009209F1"/>
    <w:rPr>
      <w:lang w:val="fr-CH" w:eastAsia="en-US"/>
    </w:rPr>
  </w:style>
  <w:style w:type="character" w:customStyle="1" w:styleId="Heading9Char">
    <w:name w:val="Heading 9 Char"/>
    <w:basedOn w:val="DefaultParagraphFont"/>
    <w:link w:val="Heading9"/>
    <w:rsid w:val="009209F1"/>
    <w:rPr>
      <w:lang w:val="fr-CH" w:eastAsia="en-US"/>
    </w:rPr>
  </w:style>
  <w:style w:type="paragraph" w:styleId="HTMLAddress">
    <w:name w:val="HTML Address"/>
    <w:basedOn w:val="Normal"/>
    <w:link w:val="HTMLAddressChar"/>
    <w:unhideWhenUsed/>
    <w:rsid w:val="009209F1"/>
    <w:rPr>
      <w:i/>
      <w:iCs/>
      <w:lang w:val="en-GB"/>
    </w:rPr>
  </w:style>
  <w:style w:type="character" w:customStyle="1" w:styleId="HTMLAddressChar">
    <w:name w:val="HTML Address Char"/>
    <w:basedOn w:val="DefaultParagraphFont"/>
    <w:link w:val="HTMLAddress"/>
    <w:rsid w:val="009209F1"/>
    <w:rPr>
      <w:i/>
      <w:iCs/>
      <w:lang w:eastAsia="en-US"/>
    </w:rPr>
  </w:style>
  <w:style w:type="character" w:styleId="HTMLCode">
    <w:name w:val="HTML Code"/>
    <w:unhideWhenUsed/>
    <w:rsid w:val="009209F1"/>
    <w:rPr>
      <w:rFonts w:ascii="Courier New" w:eastAsia="Times New Roman" w:hAnsi="Courier New" w:cs="Courier New" w:hint="default"/>
      <w:sz w:val="20"/>
      <w:szCs w:val="20"/>
    </w:rPr>
  </w:style>
  <w:style w:type="character" w:styleId="HTMLKeyboard">
    <w:name w:val="HTML Keyboard"/>
    <w:unhideWhenUsed/>
    <w:rsid w:val="009209F1"/>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92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PreformattedChar">
    <w:name w:val="HTML Preformatted Char"/>
    <w:basedOn w:val="DefaultParagraphFont"/>
    <w:link w:val="HTMLPreformatted"/>
    <w:rsid w:val="009209F1"/>
    <w:rPr>
      <w:rFonts w:ascii="Courier New" w:hAnsi="Courier New" w:cs="Courier New"/>
      <w:lang w:eastAsia="en-US"/>
    </w:rPr>
  </w:style>
  <w:style w:type="character" w:styleId="HTMLSample">
    <w:name w:val="HTML Sample"/>
    <w:unhideWhenUsed/>
    <w:rsid w:val="009209F1"/>
    <w:rPr>
      <w:rFonts w:ascii="Courier New" w:eastAsia="Times New Roman" w:hAnsi="Courier New" w:cs="Courier New" w:hint="default"/>
    </w:rPr>
  </w:style>
  <w:style w:type="character" w:styleId="HTMLTypewriter">
    <w:name w:val="HTML Typewriter"/>
    <w:unhideWhenUsed/>
    <w:rsid w:val="009209F1"/>
    <w:rPr>
      <w:rFonts w:ascii="Courier New" w:eastAsia="Times New Roman" w:hAnsi="Courier New" w:cs="Courier New" w:hint="default"/>
      <w:sz w:val="20"/>
      <w:szCs w:val="20"/>
    </w:rPr>
  </w:style>
  <w:style w:type="paragraph" w:styleId="NormalWeb">
    <w:name w:val="Normal (Web)"/>
    <w:basedOn w:val="Normal"/>
    <w:unhideWhenUsed/>
    <w:rsid w:val="009209F1"/>
    <w:rPr>
      <w:sz w:val="24"/>
      <w:szCs w:val="24"/>
      <w:lang w:val="en-GB"/>
    </w:rPr>
  </w:style>
  <w:style w:type="paragraph" w:styleId="NormalIndent">
    <w:name w:val="Normal Indent"/>
    <w:basedOn w:val="Normal"/>
    <w:unhideWhenUsed/>
    <w:rsid w:val="009209F1"/>
    <w:pPr>
      <w:ind w:left="567"/>
    </w:pPr>
    <w:rPr>
      <w:lang w:val="en-GB"/>
    </w:rPr>
  </w:style>
  <w:style w:type="character" w:customStyle="1" w:styleId="NotedebasdepageCar1">
    <w:name w:val="Note de bas de page Car1"/>
    <w:aliases w:val="5_G Car1"/>
    <w:basedOn w:val="DefaultParagraphFont"/>
    <w:semiHidden/>
    <w:rsid w:val="009209F1"/>
    <w:rPr>
      <w:lang w:eastAsia="en-US"/>
    </w:rPr>
  </w:style>
  <w:style w:type="paragraph" w:styleId="CommentText">
    <w:name w:val="annotation text"/>
    <w:basedOn w:val="Normal"/>
    <w:link w:val="CommentTextChar"/>
    <w:unhideWhenUsed/>
    <w:rsid w:val="009209F1"/>
    <w:rPr>
      <w:lang w:val="en-GB"/>
    </w:rPr>
  </w:style>
  <w:style w:type="character" w:customStyle="1" w:styleId="CommentTextChar">
    <w:name w:val="Comment Text Char"/>
    <w:basedOn w:val="DefaultParagraphFont"/>
    <w:link w:val="CommentText"/>
    <w:rsid w:val="009209F1"/>
    <w:rPr>
      <w:lang w:eastAsia="en-US"/>
    </w:rPr>
  </w:style>
  <w:style w:type="character" w:customStyle="1" w:styleId="HeaderChar">
    <w:name w:val="Header Char"/>
    <w:aliases w:val="6_G Char"/>
    <w:basedOn w:val="DefaultParagraphFont"/>
    <w:link w:val="Header"/>
    <w:locked/>
    <w:rsid w:val="009209F1"/>
    <w:rPr>
      <w:b/>
      <w:sz w:val="18"/>
      <w:lang w:val="fr-CH" w:eastAsia="en-US"/>
    </w:rPr>
  </w:style>
  <w:style w:type="character" w:customStyle="1" w:styleId="En-tteCar1">
    <w:name w:val="En-tête Car1"/>
    <w:aliases w:val="6_G Car1"/>
    <w:basedOn w:val="DefaultParagraphFont"/>
    <w:semiHidden/>
    <w:rsid w:val="009209F1"/>
    <w:rPr>
      <w:lang w:eastAsia="en-US"/>
    </w:rPr>
  </w:style>
  <w:style w:type="character" w:customStyle="1" w:styleId="FooterChar">
    <w:name w:val="Footer Char"/>
    <w:aliases w:val="3_G Char"/>
    <w:basedOn w:val="DefaultParagraphFont"/>
    <w:link w:val="Footer"/>
    <w:locked/>
    <w:rsid w:val="009209F1"/>
    <w:rPr>
      <w:sz w:val="16"/>
      <w:lang w:val="fr-CH" w:eastAsia="en-US"/>
    </w:rPr>
  </w:style>
  <w:style w:type="character" w:customStyle="1" w:styleId="PieddepageCar1">
    <w:name w:val="Pied de page Car1"/>
    <w:aliases w:val="3_G Car"/>
    <w:basedOn w:val="DefaultParagraphFont"/>
    <w:semiHidden/>
    <w:rsid w:val="009209F1"/>
    <w:rPr>
      <w:lang w:eastAsia="en-US"/>
    </w:rPr>
  </w:style>
  <w:style w:type="paragraph" w:styleId="EnvelopeAddress">
    <w:name w:val="envelope address"/>
    <w:basedOn w:val="Normal"/>
    <w:unhideWhenUsed/>
    <w:rsid w:val="009209F1"/>
    <w:pPr>
      <w:framePr w:w="7920" w:h="1980" w:hSpace="180" w:wrap="auto" w:hAnchor="page" w:xAlign="center" w:yAlign="bottom"/>
      <w:ind w:left="2880"/>
    </w:pPr>
    <w:rPr>
      <w:rFonts w:ascii="Arial" w:hAnsi="Arial" w:cs="Arial"/>
      <w:sz w:val="24"/>
      <w:szCs w:val="24"/>
      <w:lang w:val="en-GB"/>
    </w:rPr>
  </w:style>
  <w:style w:type="paragraph" w:styleId="EnvelopeReturn">
    <w:name w:val="envelope return"/>
    <w:basedOn w:val="Normal"/>
    <w:unhideWhenUsed/>
    <w:rsid w:val="009209F1"/>
    <w:rPr>
      <w:rFonts w:ascii="Arial" w:hAnsi="Arial" w:cs="Arial"/>
      <w:lang w:val="en-GB"/>
    </w:rPr>
  </w:style>
  <w:style w:type="character" w:customStyle="1" w:styleId="EndnoteTextChar">
    <w:name w:val="Endnote Text Char"/>
    <w:aliases w:val="2_G Char"/>
    <w:basedOn w:val="DefaultParagraphFont"/>
    <w:link w:val="EndnoteText"/>
    <w:locked/>
    <w:rsid w:val="009209F1"/>
    <w:rPr>
      <w:sz w:val="18"/>
      <w:lang w:val="fr-CH" w:eastAsia="en-US"/>
    </w:rPr>
  </w:style>
  <w:style w:type="character" w:customStyle="1" w:styleId="NotedefinCar1">
    <w:name w:val="Note de fin Car1"/>
    <w:aliases w:val="2_G Car"/>
    <w:basedOn w:val="DefaultParagraphFont"/>
    <w:semiHidden/>
    <w:rsid w:val="009209F1"/>
    <w:rPr>
      <w:lang w:eastAsia="en-US"/>
    </w:rPr>
  </w:style>
  <w:style w:type="paragraph" w:styleId="List">
    <w:name w:val="List"/>
    <w:basedOn w:val="Normal"/>
    <w:unhideWhenUsed/>
    <w:rsid w:val="009209F1"/>
    <w:pPr>
      <w:ind w:left="283" w:hanging="283"/>
    </w:pPr>
    <w:rPr>
      <w:lang w:val="en-GB"/>
    </w:rPr>
  </w:style>
  <w:style w:type="paragraph" w:styleId="ListBullet">
    <w:name w:val="List Bullet"/>
    <w:basedOn w:val="Normal"/>
    <w:unhideWhenUsed/>
    <w:rsid w:val="009209F1"/>
    <w:pPr>
      <w:numPr>
        <w:numId w:val="4"/>
      </w:numPr>
    </w:pPr>
    <w:rPr>
      <w:lang w:val="en-GB"/>
    </w:rPr>
  </w:style>
  <w:style w:type="paragraph" w:styleId="ListNumber">
    <w:name w:val="List Number"/>
    <w:basedOn w:val="Normal"/>
    <w:unhideWhenUsed/>
    <w:rsid w:val="009209F1"/>
    <w:pPr>
      <w:numPr>
        <w:numId w:val="5"/>
      </w:numPr>
    </w:pPr>
    <w:rPr>
      <w:lang w:val="en-GB"/>
    </w:rPr>
  </w:style>
  <w:style w:type="paragraph" w:styleId="List2">
    <w:name w:val="List 2"/>
    <w:basedOn w:val="Normal"/>
    <w:unhideWhenUsed/>
    <w:rsid w:val="009209F1"/>
    <w:pPr>
      <w:ind w:left="566" w:hanging="283"/>
    </w:pPr>
    <w:rPr>
      <w:lang w:val="en-GB"/>
    </w:rPr>
  </w:style>
  <w:style w:type="paragraph" w:styleId="List3">
    <w:name w:val="List 3"/>
    <w:basedOn w:val="Normal"/>
    <w:unhideWhenUsed/>
    <w:rsid w:val="009209F1"/>
    <w:pPr>
      <w:ind w:left="849" w:hanging="283"/>
    </w:pPr>
    <w:rPr>
      <w:lang w:val="en-GB"/>
    </w:rPr>
  </w:style>
  <w:style w:type="paragraph" w:styleId="List4">
    <w:name w:val="List 4"/>
    <w:basedOn w:val="Normal"/>
    <w:unhideWhenUsed/>
    <w:rsid w:val="009209F1"/>
    <w:pPr>
      <w:ind w:left="1132" w:hanging="283"/>
    </w:pPr>
    <w:rPr>
      <w:lang w:val="en-GB"/>
    </w:rPr>
  </w:style>
  <w:style w:type="paragraph" w:styleId="List5">
    <w:name w:val="List 5"/>
    <w:basedOn w:val="Normal"/>
    <w:unhideWhenUsed/>
    <w:rsid w:val="009209F1"/>
    <w:pPr>
      <w:ind w:left="1415" w:hanging="283"/>
    </w:pPr>
    <w:rPr>
      <w:lang w:val="en-GB"/>
    </w:rPr>
  </w:style>
  <w:style w:type="paragraph" w:styleId="ListBullet2">
    <w:name w:val="List Bullet 2"/>
    <w:basedOn w:val="Normal"/>
    <w:unhideWhenUsed/>
    <w:rsid w:val="009209F1"/>
    <w:pPr>
      <w:numPr>
        <w:numId w:val="6"/>
      </w:numPr>
    </w:pPr>
    <w:rPr>
      <w:lang w:val="en-GB"/>
    </w:rPr>
  </w:style>
  <w:style w:type="paragraph" w:styleId="ListBullet3">
    <w:name w:val="List Bullet 3"/>
    <w:basedOn w:val="Normal"/>
    <w:unhideWhenUsed/>
    <w:rsid w:val="009209F1"/>
    <w:pPr>
      <w:numPr>
        <w:numId w:val="7"/>
      </w:numPr>
    </w:pPr>
    <w:rPr>
      <w:lang w:val="en-GB"/>
    </w:rPr>
  </w:style>
  <w:style w:type="paragraph" w:styleId="ListBullet4">
    <w:name w:val="List Bullet 4"/>
    <w:basedOn w:val="Normal"/>
    <w:unhideWhenUsed/>
    <w:rsid w:val="009209F1"/>
    <w:pPr>
      <w:numPr>
        <w:numId w:val="8"/>
      </w:numPr>
    </w:pPr>
    <w:rPr>
      <w:lang w:val="en-GB"/>
    </w:rPr>
  </w:style>
  <w:style w:type="paragraph" w:styleId="ListBullet5">
    <w:name w:val="List Bullet 5"/>
    <w:basedOn w:val="Normal"/>
    <w:unhideWhenUsed/>
    <w:rsid w:val="009209F1"/>
    <w:pPr>
      <w:numPr>
        <w:numId w:val="9"/>
      </w:numPr>
    </w:pPr>
    <w:rPr>
      <w:lang w:val="en-GB"/>
    </w:rPr>
  </w:style>
  <w:style w:type="paragraph" w:styleId="ListNumber2">
    <w:name w:val="List Number 2"/>
    <w:basedOn w:val="Normal"/>
    <w:unhideWhenUsed/>
    <w:rsid w:val="009209F1"/>
    <w:pPr>
      <w:numPr>
        <w:numId w:val="10"/>
      </w:numPr>
    </w:pPr>
    <w:rPr>
      <w:lang w:val="en-GB"/>
    </w:rPr>
  </w:style>
  <w:style w:type="paragraph" w:styleId="ListNumber3">
    <w:name w:val="List Number 3"/>
    <w:basedOn w:val="Normal"/>
    <w:unhideWhenUsed/>
    <w:rsid w:val="009209F1"/>
    <w:pPr>
      <w:numPr>
        <w:numId w:val="3"/>
      </w:numPr>
    </w:pPr>
    <w:rPr>
      <w:lang w:val="en-GB"/>
    </w:rPr>
  </w:style>
  <w:style w:type="paragraph" w:styleId="ListNumber4">
    <w:name w:val="List Number 4"/>
    <w:basedOn w:val="Normal"/>
    <w:unhideWhenUsed/>
    <w:rsid w:val="009209F1"/>
    <w:pPr>
      <w:numPr>
        <w:numId w:val="11"/>
      </w:numPr>
    </w:pPr>
    <w:rPr>
      <w:lang w:val="en-GB"/>
    </w:rPr>
  </w:style>
  <w:style w:type="paragraph" w:styleId="ListNumber5">
    <w:name w:val="List Number 5"/>
    <w:basedOn w:val="Normal"/>
    <w:unhideWhenUsed/>
    <w:rsid w:val="009209F1"/>
    <w:pPr>
      <w:numPr>
        <w:numId w:val="12"/>
      </w:numPr>
    </w:pPr>
    <w:rPr>
      <w:lang w:val="en-GB"/>
    </w:rPr>
  </w:style>
  <w:style w:type="paragraph" w:styleId="Title">
    <w:name w:val="Title"/>
    <w:basedOn w:val="Normal"/>
    <w:link w:val="TitleChar"/>
    <w:qFormat/>
    <w:rsid w:val="009209F1"/>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9209F1"/>
    <w:rPr>
      <w:rFonts w:ascii="Arial" w:hAnsi="Arial" w:cs="Arial"/>
      <w:b/>
      <w:bCs/>
      <w:kern w:val="28"/>
      <w:sz w:val="32"/>
      <w:szCs w:val="32"/>
      <w:lang w:eastAsia="en-US"/>
    </w:rPr>
  </w:style>
  <w:style w:type="paragraph" w:styleId="Closing">
    <w:name w:val="Closing"/>
    <w:basedOn w:val="Normal"/>
    <w:link w:val="ClosingChar"/>
    <w:unhideWhenUsed/>
    <w:rsid w:val="009209F1"/>
    <w:pPr>
      <w:ind w:left="4252"/>
    </w:pPr>
    <w:rPr>
      <w:lang w:val="en-GB"/>
    </w:rPr>
  </w:style>
  <w:style w:type="character" w:customStyle="1" w:styleId="ClosingChar">
    <w:name w:val="Closing Char"/>
    <w:basedOn w:val="DefaultParagraphFont"/>
    <w:link w:val="Closing"/>
    <w:rsid w:val="009209F1"/>
    <w:rPr>
      <w:lang w:eastAsia="en-US"/>
    </w:rPr>
  </w:style>
  <w:style w:type="paragraph" w:styleId="Signature">
    <w:name w:val="Signature"/>
    <w:basedOn w:val="Normal"/>
    <w:link w:val="SignatureChar"/>
    <w:unhideWhenUsed/>
    <w:rsid w:val="009209F1"/>
    <w:pPr>
      <w:ind w:left="4252"/>
    </w:pPr>
    <w:rPr>
      <w:lang w:val="en-GB"/>
    </w:rPr>
  </w:style>
  <w:style w:type="character" w:customStyle="1" w:styleId="SignatureChar">
    <w:name w:val="Signature Char"/>
    <w:basedOn w:val="DefaultParagraphFont"/>
    <w:link w:val="Signature"/>
    <w:rsid w:val="009209F1"/>
    <w:rPr>
      <w:lang w:eastAsia="en-US"/>
    </w:rPr>
  </w:style>
  <w:style w:type="paragraph" w:styleId="BodyText">
    <w:name w:val="Body Text"/>
    <w:basedOn w:val="Normal"/>
    <w:next w:val="Normal"/>
    <w:link w:val="BodyTextChar"/>
    <w:unhideWhenUsed/>
    <w:rsid w:val="009209F1"/>
    <w:rPr>
      <w:lang w:val="en-GB"/>
    </w:rPr>
  </w:style>
  <w:style w:type="character" w:customStyle="1" w:styleId="BodyTextChar">
    <w:name w:val="Body Text Char"/>
    <w:basedOn w:val="DefaultParagraphFont"/>
    <w:link w:val="BodyText"/>
    <w:rsid w:val="009209F1"/>
    <w:rPr>
      <w:lang w:eastAsia="en-US"/>
    </w:rPr>
  </w:style>
  <w:style w:type="paragraph" w:styleId="BodyTextIndent">
    <w:name w:val="Body Text Indent"/>
    <w:basedOn w:val="Normal"/>
    <w:link w:val="BodyTextIndentChar"/>
    <w:unhideWhenUsed/>
    <w:rsid w:val="009209F1"/>
    <w:pPr>
      <w:spacing w:after="120"/>
      <w:ind w:left="283"/>
    </w:pPr>
    <w:rPr>
      <w:lang w:val="en-GB"/>
    </w:rPr>
  </w:style>
  <w:style w:type="character" w:customStyle="1" w:styleId="BodyTextIndentChar">
    <w:name w:val="Body Text Indent Char"/>
    <w:basedOn w:val="DefaultParagraphFont"/>
    <w:link w:val="BodyTextIndent"/>
    <w:rsid w:val="009209F1"/>
    <w:rPr>
      <w:lang w:eastAsia="en-US"/>
    </w:rPr>
  </w:style>
  <w:style w:type="paragraph" w:styleId="ListContinue">
    <w:name w:val="List Continue"/>
    <w:basedOn w:val="Normal"/>
    <w:unhideWhenUsed/>
    <w:rsid w:val="009209F1"/>
    <w:pPr>
      <w:spacing w:after="120"/>
      <w:ind w:left="283"/>
    </w:pPr>
    <w:rPr>
      <w:lang w:val="en-GB"/>
    </w:rPr>
  </w:style>
  <w:style w:type="paragraph" w:styleId="ListContinue2">
    <w:name w:val="List Continue 2"/>
    <w:basedOn w:val="Normal"/>
    <w:unhideWhenUsed/>
    <w:rsid w:val="009209F1"/>
    <w:pPr>
      <w:spacing w:after="120"/>
      <w:ind w:left="566"/>
    </w:pPr>
    <w:rPr>
      <w:lang w:val="en-GB"/>
    </w:rPr>
  </w:style>
  <w:style w:type="paragraph" w:styleId="ListContinue3">
    <w:name w:val="List Continue 3"/>
    <w:basedOn w:val="Normal"/>
    <w:unhideWhenUsed/>
    <w:rsid w:val="009209F1"/>
    <w:pPr>
      <w:spacing w:after="120"/>
      <w:ind w:left="849"/>
    </w:pPr>
    <w:rPr>
      <w:lang w:val="en-GB"/>
    </w:rPr>
  </w:style>
  <w:style w:type="paragraph" w:styleId="ListContinue4">
    <w:name w:val="List Continue 4"/>
    <w:basedOn w:val="Normal"/>
    <w:unhideWhenUsed/>
    <w:rsid w:val="009209F1"/>
    <w:pPr>
      <w:spacing w:after="120"/>
      <w:ind w:left="1132"/>
    </w:pPr>
    <w:rPr>
      <w:lang w:val="en-GB"/>
    </w:rPr>
  </w:style>
  <w:style w:type="paragraph" w:styleId="ListContinue5">
    <w:name w:val="List Continue 5"/>
    <w:basedOn w:val="Normal"/>
    <w:unhideWhenUsed/>
    <w:rsid w:val="009209F1"/>
    <w:pPr>
      <w:spacing w:after="120"/>
      <w:ind w:left="1415"/>
    </w:pPr>
    <w:rPr>
      <w:lang w:val="en-GB"/>
    </w:rPr>
  </w:style>
  <w:style w:type="paragraph" w:styleId="MessageHeader">
    <w:name w:val="Message Header"/>
    <w:basedOn w:val="Normal"/>
    <w:link w:val="MessageHeaderChar"/>
    <w:unhideWhenUsed/>
    <w:rsid w:val="009209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9209F1"/>
    <w:rPr>
      <w:rFonts w:ascii="Arial" w:hAnsi="Arial" w:cs="Arial"/>
      <w:sz w:val="24"/>
      <w:szCs w:val="24"/>
      <w:shd w:val="pct20" w:color="auto" w:fill="auto"/>
      <w:lang w:eastAsia="en-US"/>
    </w:rPr>
  </w:style>
  <w:style w:type="paragraph" w:styleId="Subtitle">
    <w:name w:val="Subtitle"/>
    <w:basedOn w:val="Normal"/>
    <w:link w:val="SubtitleChar"/>
    <w:qFormat/>
    <w:rsid w:val="009209F1"/>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9209F1"/>
    <w:rPr>
      <w:rFonts w:ascii="Arial" w:hAnsi="Arial" w:cs="Arial"/>
      <w:sz w:val="24"/>
      <w:szCs w:val="24"/>
      <w:lang w:eastAsia="en-US"/>
    </w:rPr>
  </w:style>
  <w:style w:type="paragraph" w:styleId="Salutation">
    <w:name w:val="Salutation"/>
    <w:basedOn w:val="Normal"/>
    <w:next w:val="Normal"/>
    <w:link w:val="SalutationChar"/>
    <w:unhideWhenUsed/>
    <w:rsid w:val="009209F1"/>
    <w:rPr>
      <w:lang w:val="en-GB"/>
    </w:rPr>
  </w:style>
  <w:style w:type="character" w:customStyle="1" w:styleId="SalutationChar">
    <w:name w:val="Salutation Char"/>
    <w:basedOn w:val="DefaultParagraphFont"/>
    <w:link w:val="Salutation"/>
    <w:rsid w:val="009209F1"/>
    <w:rPr>
      <w:lang w:eastAsia="en-US"/>
    </w:rPr>
  </w:style>
  <w:style w:type="paragraph" w:styleId="Date">
    <w:name w:val="Date"/>
    <w:basedOn w:val="Normal"/>
    <w:next w:val="Normal"/>
    <w:link w:val="DateChar"/>
    <w:unhideWhenUsed/>
    <w:rsid w:val="009209F1"/>
    <w:rPr>
      <w:lang w:val="en-GB"/>
    </w:rPr>
  </w:style>
  <w:style w:type="character" w:customStyle="1" w:styleId="DateChar">
    <w:name w:val="Date Char"/>
    <w:basedOn w:val="DefaultParagraphFont"/>
    <w:link w:val="Date"/>
    <w:rsid w:val="009209F1"/>
    <w:rPr>
      <w:lang w:eastAsia="en-US"/>
    </w:rPr>
  </w:style>
  <w:style w:type="paragraph" w:styleId="BodyTextFirstIndent">
    <w:name w:val="Body Text First Indent"/>
    <w:basedOn w:val="BodyText"/>
    <w:link w:val="BodyTextFirstIndentChar"/>
    <w:unhideWhenUsed/>
    <w:rsid w:val="009209F1"/>
    <w:pPr>
      <w:spacing w:after="120"/>
      <w:ind w:firstLine="210"/>
    </w:pPr>
  </w:style>
  <w:style w:type="character" w:customStyle="1" w:styleId="BodyTextFirstIndentChar">
    <w:name w:val="Body Text First Indent Char"/>
    <w:basedOn w:val="BodyTextChar"/>
    <w:link w:val="BodyTextFirstIndent"/>
    <w:rsid w:val="009209F1"/>
    <w:rPr>
      <w:lang w:eastAsia="en-US"/>
    </w:rPr>
  </w:style>
  <w:style w:type="paragraph" w:styleId="BodyTextFirstIndent2">
    <w:name w:val="Body Text First Indent 2"/>
    <w:basedOn w:val="BodyTextIndent"/>
    <w:link w:val="BodyTextFirstIndent2Char"/>
    <w:unhideWhenUsed/>
    <w:rsid w:val="009209F1"/>
    <w:pPr>
      <w:ind w:firstLine="210"/>
    </w:pPr>
  </w:style>
  <w:style w:type="character" w:customStyle="1" w:styleId="BodyTextFirstIndent2Char">
    <w:name w:val="Body Text First Indent 2 Char"/>
    <w:basedOn w:val="BodyTextIndentChar"/>
    <w:link w:val="BodyTextFirstIndent2"/>
    <w:rsid w:val="009209F1"/>
    <w:rPr>
      <w:lang w:eastAsia="en-US"/>
    </w:rPr>
  </w:style>
  <w:style w:type="paragraph" w:styleId="NoteHeading">
    <w:name w:val="Note Heading"/>
    <w:basedOn w:val="Normal"/>
    <w:next w:val="Normal"/>
    <w:link w:val="NoteHeadingChar"/>
    <w:unhideWhenUsed/>
    <w:rsid w:val="009209F1"/>
    <w:rPr>
      <w:lang w:val="en-GB"/>
    </w:rPr>
  </w:style>
  <w:style w:type="character" w:customStyle="1" w:styleId="NoteHeadingChar">
    <w:name w:val="Note Heading Char"/>
    <w:basedOn w:val="DefaultParagraphFont"/>
    <w:link w:val="NoteHeading"/>
    <w:rsid w:val="009209F1"/>
    <w:rPr>
      <w:lang w:eastAsia="en-US"/>
    </w:rPr>
  </w:style>
  <w:style w:type="paragraph" w:styleId="BodyText2">
    <w:name w:val="Body Text 2"/>
    <w:basedOn w:val="Normal"/>
    <w:link w:val="BodyText2Char"/>
    <w:unhideWhenUsed/>
    <w:rsid w:val="009209F1"/>
    <w:pPr>
      <w:spacing w:after="120" w:line="480" w:lineRule="auto"/>
    </w:pPr>
    <w:rPr>
      <w:lang w:val="en-GB"/>
    </w:rPr>
  </w:style>
  <w:style w:type="character" w:customStyle="1" w:styleId="BodyText2Char">
    <w:name w:val="Body Text 2 Char"/>
    <w:basedOn w:val="DefaultParagraphFont"/>
    <w:link w:val="BodyText2"/>
    <w:rsid w:val="009209F1"/>
    <w:rPr>
      <w:lang w:eastAsia="en-US"/>
    </w:rPr>
  </w:style>
  <w:style w:type="paragraph" w:styleId="BodyText3">
    <w:name w:val="Body Text 3"/>
    <w:basedOn w:val="Normal"/>
    <w:link w:val="BodyText3Char"/>
    <w:unhideWhenUsed/>
    <w:rsid w:val="009209F1"/>
    <w:pPr>
      <w:spacing w:after="120"/>
    </w:pPr>
    <w:rPr>
      <w:sz w:val="16"/>
      <w:szCs w:val="16"/>
      <w:lang w:val="en-GB"/>
    </w:rPr>
  </w:style>
  <w:style w:type="character" w:customStyle="1" w:styleId="BodyText3Char">
    <w:name w:val="Body Text 3 Char"/>
    <w:basedOn w:val="DefaultParagraphFont"/>
    <w:link w:val="BodyText3"/>
    <w:rsid w:val="009209F1"/>
    <w:rPr>
      <w:sz w:val="16"/>
      <w:szCs w:val="16"/>
      <w:lang w:eastAsia="en-US"/>
    </w:rPr>
  </w:style>
  <w:style w:type="paragraph" w:styleId="BodyTextIndent2">
    <w:name w:val="Body Text Indent 2"/>
    <w:basedOn w:val="Normal"/>
    <w:link w:val="BodyTextIndent2Char"/>
    <w:unhideWhenUsed/>
    <w:rsid w:val="009209F1"/>
    <w:pPr>
      <w:spacing w:after="120" w:line="480" w:lineRule="auto"/>
      <w:ind w:left="283"/>
    </w:pPr>
    <w:rPr>
      <w:lang w:val="en-GB"/>
    </w:rPr>
  </w:style>
  <w:style w:type="character" w:customStyle="1" w:styleId="BodyTextIndent2Char">
    <w:name w:val="Body Text Indent 2 Char"/>
    <w:basedOn w:val="DefaultParagraphFont"/>
    <w:link w:val="BodyTextIndent2"/>
    <w:rsid w:val="009209F1"/>
    <w:rPr>
      <w:lang w:eastAsia="en-US"/>
    </w:rPr>
  </w:style>
  <w:style w:type="paragraph" w:styleId="BodyTextIndent3">
    <w:name w:val="Body Text Indent 3"/>
    <w:basedOn w:val="Normal"/>
    <w:link w:val="BodyTextIndent3Char"/>
    <w:unhideWhenUsed/>
    <w:rsid w:val="009209F1"/>
    <w:pPr>
      <w:spacing w:after="120"/>
      <w:ind w:left="283"/>
    </w:pPr>
    <w:rPr>
      <w:sz w:val="16"/>
      <w:szCs w:val="16"/>
      <w:lang w:val="en-GB"/>
    </w:rPr>
  </w:style>
  <w:style w:type="character" w:customStyle="1" w:styleId="BodyTextIndent3Char">
    <w:name w:val="Body Text Indent 3 Char"/>
    <w:basedOn w:val="DefaultParagraphFont"/>
    <w:link w:val="BodyTextIndent3"/>
    <w:rsid w:val="009209F1"/>
    <w:rPr>
      <w:sz w:val="16"/>
      <w:szCs w:val="16"/>
      <w:lang w:eastAsia="en-US"/>
    </w:rPr>
  </w:style>
  <w:style w:type="paragraph" w:styleId="BlockText">
    <w:name w:val="Block Text"/>
    <w:basedOn w:val="Normal"/>
    <w:unhideWhenUsed/>
    <w:rsid w:val="009209F1"/>
    <w:pPr>
      <w:ind w:left="1440" w:right="1440"/>
    </w:pPr>
    <w:rPr>
      <w:lang w:val="en-GB"/>
    </w:rPr>
  </w:style>
  <w:style w:type="paragraph" w:styleId="PlainText">
    <w:name w:val="Plain Text"/>
    <w:basedOn w:val="Normal"/>
    <w:link w:val="PlainTextChar"/>
    <w:unhideWhenUsed/>
    <w:rsid w:val="009209F1"/>
    <w:rPr>
      <w:rFonts w:cs="Courier New"/>
      <w:lang w:val="en-GB"/>
    </w:rPr>
  </w:style>
  <w:style w:type="character" w:customStyle="1" w:styleId="PlainTextChar">
    <w:name w:val="Plain Text Char"/>
    <w:basedOn w:val="DefaultParagraphFont"/>
    <w:link w:val="PlainText"/>
    <w:rsid w:val="009209F1"/>
    <w:rPr>
      <w:rFonts w:cs="Courier New"/>
      <w:lang w:eastAsia="en-US"/>
    </w:rPr>
  </w:style>
  <w:style w:type="paragraph" w:styleId="E-mailSignature">
    <w:name w:val="E-mail Signature"/>
    <w:basedOn w:val="Normal"/>
    <w:link w:val="E-mailSignatureChar"/>
    <w:unhideWhenUsed/>
    <w:rsid w:val="009209F1"/>
    <w:rPr>
      <w:lang w:val="en-GB"/>
    </w:rPr>
  </w:style>
  <w:style w:type="character" w:customStyle="1" w:styleId="E-mailSignatureChar">
    <w:name w:val="E-mail Signature Char"/>
    <w:basedOn w:val="DefaultParagraphFont"/>
    <w:link w:val="E-mailSignature"/>
    <w:rsid w:val="009209F1"/>
    <w:rPr>
      <w:lang w:eastAsia="en-US"/>
    </w:rPr>
  </w:style>
  <w:style w:type="paragraph" w:styleId="BalloonText">
    <w:name w:val="Balloon Text"/>
    <w:basedOn w:val="Normal"/>
    <w:link w:val="BalloonTextChar"/>
    <w:unhideWhenUsed/>
    <w:rsid w:val="009209F1"/>
    <w:pPr>
      <w:spacing w:line="240" w:lineRule="auto"/>
    </w:pPr>
    <w:rPr>
      <w:rFonts w:ascii="Tahoma" w:hAnsi="Tahoma"/>
      <w:sz w:val="16"/>
      <w:szCs w:val="16"/>
      <w:lang w:val="x-none"/>
    </w:rPr>
  </w:style>
  <w:style w:type="character" w:customStyle="1" w:styleId="BalloonTextChar">
    <w:name w:val="Balloon Text Char"/>
    <w:basedOn w:val="DefaultParagraphFont"/>
    <w:link w:val="BalloonText"/>
    <w:rsid w:val="009209F1"/>
    <w:rPr>
      <w:rFonts w:ascii="Tahoma" w:hAnsi="Tahoma"/>
      <w:sz w:val="16"/>
      <w:szCs w:val="16"/>
      <w:lang w:val="x-none" w:eastAsia="en-US"/>
    </w:rPr>
  </w:style>
  <w:style w:type="paragraph" w:styleId="Revision">
    <w:name w:val="Revision"/>
    <w:uiPriority w:val="99"/>
    <w:semiHidden/>
    <w:rsid w:val="009209F1"/>
    <w:rPr>
      <w:lang w:eastAsia="en-US"/>
    </w:rPr>
  </w:style>
  <w:style w:type="paragraph" w:styleId="ListParagraph">
    <w:name w:val="List Paragraph"/>
    <w:basedOn w:val="Normal"/>
    <w:uiPriority w:val="34"/>
    <w:qFormat/>
    <w:rsid w:val="009209F1"/>
    <w:pPr>
      <w:suppressAutoHyphens w:val="0"/>
      <w:spacing w:after="200" w:line="276" w:lineRule="auto"/>
      <w:ind w:left="720"/>
      <w:contextualSpacing/>
    </w:pPr>
    <w:rPr>
      <w:rFonts w:ascii="Calibri" w:eastAsia="Calibri" w:hAnsi="Calibri"/>
      <w:sz w:val="22"/>
      <w:szCs w:val="22"/>
      <w:lang w:val="en-US"/>
    </w:rPr>
  </w:style>
  <w:style w:type="character" w:customStyle="1" w:styleId="SingleTxtGChar">
    <w:name w:val="_ Single Txt_G Char"/>
    <w:link w:val="SingleTxtG"/>
    <w:locked/>
    <w:rsid w:val="009209F1"/>
    <w:rPr>
      <w:lang w:val="fr-CH" w:eastAsia="en-US"/>
    </w:rPr>
  </w:style>
  <w:style w:type="character" w:customStyle="1" w:styleId="H1GChar">
    <w:name w:val="_ H_1_G Char"/>
    <w:link w:val="H1G"/>
    <w:locked/>
    <w:rsid w:val="009209F1"/>
    <w:rPr>
      <w:b/>
      <w:sz w:val="24"/>
      <w:lang w:val="fr-CH" w:eastAsia="en-US"/>
    </w:rPr>
  </w:style>
  <w:style w:type="character" w:customStyle="1" w:styleId="H23GChar">
    <w:name w:val="_ H_2/3_G Char"/>
    <w:link w:val="H23G"/>
    <w:locked/>
    <w:rsid w:val="009209F1"/>
    <w:rPr>
      <w:b/>
      <w:lang w:val="fr-CH" w:eastAsia="en-US"/>
    </w:rPr>
  </w:style>
  <w:style w:type="paragraph" w:customStyle="1" w:styleId="Tabletitle">
    <w:name w:val="Table title"/>
    <w:basedOn w:val="Normal"/>
    <w:next w:val="Normal"/>
    <w:semiHidden/>
    <w:rsid w:val="009209F1"/>
    <w:pPr>
      <w:keepNext/>
      <w:spacing w:before="120" w:after="120" w:line="230" w:lineRule="exact"/>
      <w:jc w:val="center"/>
    </w:pPr>
    <w:rPr>
      <w:rFonts w:ascii="Arial" w:eastAsia="MS Mincho" w:hAnsi="Arial"/>
      <w:b/>
      <w:lang w:val="en-GB" w:eastAsia="fr-FR"/>
    </w:rPr>
  </w:style>
  <w:style w:type="character" w:styleId="CommentReference">
    <w:name w:val="annotation reference"/>
    <w:unhideWhenUsed/>
    <w:rsid w:val="009209F1"/>
    <w:rPr>
      <w:sz w:val="6"/>
    </w:rPr>
  </w:style>
  <w:style w:type="character" w:styleId="LineNumber">
    <w:name w:val="line number"/>
    <w:unhideWhenUsed/>
    <w:rsid w:val="009209F1"/>
    <w:rPr>
      <w:sz w:val="14"/>
    </w:rPr>
  </w:style>
  <w:style w:type="character" w:customStyle="1" w:styleId="SingleTxtGCar">
    <w:name w:val="_ Single Txt_G Car"/>
    <w:rsid w:val="009209F1"/>
    <w:rPr>
      <w:lang w:val="en-GB" w:eastAsia="en-US" w:bidi="ar-SA"/>
    </w:rPr>
  </w:style>
  <w:style w:type="table" w:styleId="TableSimple1">
    <w:name w:val="Table Simple 1"/>
    <w:basedOn w:val="TableNormal"/>
    <w:unhideWhenUsed/>
    <w:rsid w:val="009209F1"/>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9209F1"/>
    <w:pPr>
      <w:suppressAutoHyphens/>
      <w:spacing w:line="240" w:lineRule="atLeast"/>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9209F1"/>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9209F1"/>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9209F1"/>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9209F1"/>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9209F1"/>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9209F1"/>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9209F1"/>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9209F1"/>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9209F1"/>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9209F1"/>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9209F1"/>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9209F1"/>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9209F1"/>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2">
    <w:name w:val="Table Grid 2"/>
    <w:basedOn w:val="TableNormal"/>
    <w:unhideWhenUsed/>
    <w:rsid w:val="009209F1"/>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9209F1"/>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9209F1"/>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9209F1"/>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9209F1"/>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9209F1"/>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9209F1"/>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9209F1"/>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9209F1"/>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9209F1"/>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9209F1"/>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9209F1"/>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9209F1"/>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9209F1"/>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9209F1"/>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9209F1"/>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9209F1"/>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9209F1"/>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9209F1"/>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9209F1"/>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9209F1"/>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9209F1"/>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9209F1"/>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9209F1"/>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9209F1"/>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9209F1"/>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9209F1"/>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ParaNoG">
    <w:name w:val="_ParaNo._G"/>
    <w:basedOn w:val="SingleTxtG"/>
    <w:semiHidden/>
    <w:rsid w:val="009209F1"/>
    <w:pPr>
      <w:numPr>
        <w:numId w:val="15"/>
      </w:numPr>
    </w:pPr>
    <w:rPr>
      <w:lang w:val="x-none"/>
    </w:rPr>
  </w:style>
  <w:style w:type="numbering" w:styleId="ArticleSection">
    <w:name w:val="Outline List 3"/>
    <w:basedOn w:val="NoList"/>
    <w:unhideWhenUsed/>
    <w:rsid w:val="009209F1"/>
    <w:pPr>
      <w:numPr>
        <w:numId w:val="16"/>
      </w:numPr>
    </w:pPr>
  </w:style>
  <w:style w:type="numbering" w:styleId="1ai">
    <w:name w:val="Outline List 1"/>
    <w:basedOn w:val="NoList"/>
    <w:unhideWhenUsed/>
    <w:rsid w:val="009209F1"/>
    <w:pPr>
      <w:numPr>
        <w:numId w:val="17"/>
      </w:numPr>
    </w:pPr>
  </w:style>
  <w:style w:type="numbering" w:styleId="111111">
    <w:name w:val="Outline List 2"/>
    <w:basedOn w:val="NoList"/>
    <w:unhideWhenUsed/>
    <w:rsid w:val="009209F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951">
      <w:bodyDiv w:val="1"/>
      <w:marLeft w:val="0"/>
      <w:marRight w:val="0"/>
      <w:marTop w:val="0"/>
      <w:marBottom w:val="0"/>
      <w:divBdr>
        <w:top w:val="none" w:sz="0" w:space="0" w:color="auto"/>
        <w:left w:val="none" w:sz="0" w:space="0" w:color="auto"/>
        <w:bottom w:val="none" w:sz="0" w:space="0" w:color="auto"/>
        <w:right w:val="none" w:sz="0" w:space="0" w:color="auto"/>
      </w:divBdr>
    </w:div>
    <w:div w:id="520780986">
      <w:bodyDiv w:val="1"/>
      <w:marLeft w:val="0"/>
      <w:marRight w:val="0"/>
      <w:marTop w:val="0"/>
      <w:marBottom w:val="0"/>
      <w:divBdr>
        <w:top w:val="none" w:sz="0" w:space="0" w:color="auto"/>
        <w:left w:val="none" w:sz="0" w:space="0" w:color="auto"/>
        <w:bottom w:val="none" w:sz="0" w:space="0" w:color="auto"/>
        <w:right w:val="none" w:sz="0" w:space="0" w:color="auto"/>
      </w:divBdr>
    </w:div>
    <w:div w:id="1789470192">
      <w:bodyDiv w:val="1"/>
      <w:marLeft w:val="0"/>
      <w:marRight w:val="0"/>
      <w:marTop w:val="0"/>
      <w:marBottom w:val="0"/>
      <w:divBdr>
        <w:top w:val="none" w:sz="0" w:space="0" w:color="auto"/>
        <w:left w:val="none" w:sz="0" w:space="0" w:color="auto"/>
        <w:bottom w:val="none" w:sz="0" w:space="0" w:color="auto"/>
        <w:right w:val="none" w:sz="0" w:space="0" w:color="auto"/>
      </w:divBdr>
    </w:div>
    <w:div w:id="20191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13</TotalTime>
  <Pages>29</Pages>
  <Words>9477</Words>
  <Characters>54019</Characters>
  <Application>Microsoft Office Word</Application>
  <DocSecurity>0</DocSecurity>
  <Lines>450</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ECE/TRANS/WP.15/231</dc:creator>
  <cp:lastModifiedBy>barrio-champeau</cp:lastModifiedBy>
  <cp:revision>10</cp:revision>
  <cp:lastPrinted>2016-04-13T10:40:00Z</cp:lastPrinted>
  <dcterms:created xsi:type="dcterms:W3CDTF">2016-04-11T08:23:00Z</dcterms:created>
  <dcterms:modified xsi:type="dcterms:W3CDTF">2016-04-13T10:44:00Z</dcterms:modified>
</cp:coreProperties>
</file>