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0AE4"/>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010AE4" w:rsidP="00010AE4">
            <w:pPr>
              <w:jc w:val="right"/>
            </w:pPr>
            <w:r w:rsidRPr="00010AE4">
              <w:rPr>
                <w:sz w:val="40"/>
              </w:rPr>
              <w:t>ECE</w:t>
            </w:r>
            <w:r>
              <w:t>/TRANS/WP.15/2016/18</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val="fr-FR" w:eastAsia="fr-FR"/>
              </w:rPr>
              <w:drawing>
                <wp:inline distT="0" distB="0" distL="0" distR="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010AE4" w:rsidP="007D3236">
            <w:pPr>
              <w:spacing w:before="240"/>
            </w:pPr>
            <w:r>
              <w:t>Distr. générale</w:t>
            </w:r>
          </w:p>
          <w:p w:rsidR="00010AE4" w:rsidRDefault="00010AE4" w:rsidP="00010AE4">
            <w:pPr>
              <w:spacing w:line="240" w:lineRule="exact"/>
            </w:pPr>
            <w:r>
              <w:t>22 août 2016</w:t>
            </w:r>
          </w:p>
          <w:p w:rsidR="00010AE4" w:rsidRDefault="00010AE4" w:rsidP="00010AE4">
            <w:pPr>
              <w:spacing w:line="240" w:lineRule="exact"/>
            </w:pPr>
            <w:r>
              <w:t>Français</w:t>
            </w:r>
          </w:p>
          <w:p w:rsidR="00010AE4" w:rsidRPr="00DB58B5" w:rsidRDefault="00010AE4" w:rsidP="00010AE4">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F221E2">
        <w:rPr>
          <w:b/>
          <w:sz w:val="28"/>
          <w:szCs w:val="28"/>
        </w:rPr>
        <w:t>’</w:t>
      </w:r>
      <w:r w:rsidRPr="000312C0">
        <w:rPr>
          <w:b/>
          <w:sz w:val="28"/>
          <w:szCs w:val="28"/>
        </w:rPr>
        <w:t>Europe</w:t>
      </w:r>
    </w:p>
    <w:p w:rsidR="00010AE4" w:rsidRDefault="00010AE4" w:rsidP="00010AE4">
      <w:pPr>
        <w:kinsoku/>
        <w:overflowPunct/>
        <w:autoSpaceDE/>
        <w:autoSpaceDN/>
        <w:adjustRightInd/>
        <w:snapToGrid/>
        <w:spacing w:before="120"/>
        <w:rPr>
          <w:sz w:val="28"/>
          <w:szCs w:val="28"/>
        </w:rPr>
      </w:pPr>
      <w:r>
        <w:rPr>
          <w:sz w:val="28"/>
        </w:rPr>
        <w:t>Comité des transports intérieurs</w:t>
      </w:r>
    </w:p>
    <w:p w:rsidR="00010AE4" w:rsidRPr="00550FB7" w:rsidRDefault="00010AE4" w:rsidP="00550FB7">
      <w:pPr>
        <w:kinsoku/>
        <w:overflowPunct/>
        <w:autoSpaceDE/>
        <w:autoSpaceDN/>
        <w:adjustRightInd/>
        <w:snapToGrid/>
        <w:spacing w:before="120"/>
        <w:rPr>
          <w:b/>
          <w:sz w:val="24"/>
          <w:szCs w:val="24"/>
        </w:rPr>
      </w:pPr>
      <w:r w:rsidRPr="00550FB7">
        <w:rPr>
          <w:b/>
          <w:sz w:val="24"/>
          <w:szCs w:val="24"/>
        </w:rPr>
        <w:t>Groupe de travail des transports de marchandises dangereuses</w:t>
      </w:r>
      <w:bookmarkStart w:id="0" w:name="_GoBack"/>
      <w:bookmarkEnd w:id="0"/>
    </w:p>
    <w:p w:rsidR="00010AE4" w:rsidRPr="00550FB7" w:rsidRDefault="00010AE4" w:rsidP="00550FB7">
      <w:pPr>
        <w:kinsoku/>
        <w:overflowPunct/>
        <w:autoSpaceDE/>
        <w:autoSpaceDN/>
        <w:adjustRightInd/>
        <w:snapToGrid/>
        <w:spacing w:before="120"/>
        <w:rPr>
          <w:b/>
        </w:rPr>
      </w:pPr>
      <w:r>
        <w:rPr>
          <w:b/>
        </w:rPr>
        <w:t>101</w:t>
      </w:r>
      <w:r w:rsidRPr="00887405">
        <w:rPr>
          <w:b/>
          <w:vertAlign w:val="superscript"/>
        </w:rPr>
        <w:t>e</w:t>
      </w:r>
      <w:r w:rsidRPr="00550FB7">
        <w:rPr>
          <w:b/>
        </w:rPr>
        <w:t xml:space="preserve"> </w:t>
      </w:r>
      <w:r>
        <w:rPr>
          <w:b/>
        </w:rPr>
        <w:t xml:space="preserve">session </w:t>
      </w:r>
    </w:p>
    <w:p w:rsidR="00010AE4" w:rsidRPr="00BA64A8" w:rsidRDefault="00010AE4" w:rsidP="00010AE4">
      <w:pPr>
        <w:rPr>
          <w:rFonts w:eastAsia="SimSun"/>
        </w:rPr>
      </w:pPr>
      <w:r>
        <w:t xml:space="preserve">Genève, 8-11 novembre 2016 </w:t>
      </w:r>
    </w:p>
    <w:p w:rsidR="00010AE4" w:rsidRDefault="00010AE4" w:rsidP="00010AE4">
      <w:r>
        <w:t>Point 5 a) de l</w:t>
      </w:r>
      <w:r w:rsidR="00F221E2">
        <w:t>’</w:t>
      </w:r>
      <w:r>
        <w:t>ordre du jour provisoire</w:t>
      </w:r>
    </w:p>
    <w:p w:rsidR="00010AE4" w:rsidRPr="003D777F" w:rsidRDefault="00010AE4" w:rsidP="00010AE4">
      <w:pPr>
        <w:rPr>
          <w:b/>
        </w:rPr>
      </w:pPr>
      <w:r>
        <w:rPr>
          <w:b/>
        </w:rPr>
        <w:t>Propositions d</w:t>
      </w:r>
      <w:r w:rsidR="00F221E2">
        <w:rPr>
          <w:b/>
        </w:rPr>
        <w:t>’</w:t>
      </w:r>
      <w:r>
        <w:rPr>
          <w:b/>
        </w:rPr>
        <w:t>amendement aux annexes A et B de l</w:t>
      </w:r>
      <w:r w:rsidR="00F221E2">
        <w:rPr>
          <w:b/>
        </w:rPr>
        <w:t>’</w:t>
      </w:r>
      <w:r>
        <w:rPr>
          <w:b/>
        </w:rPr>
        <w:t>ADR</w:t>
      </w:r>
      <w:r w:rsidR="00F221E2">
        <w:rPr>
          <w:b/>
        </w:rPr>
        <w:t> </w:t>
      </w:r>
      <w:r>
        <w:rPr>
          <w:b/>
        </w:rPr>
        <w:t>:</w:t>
      </w:r>
    </w:p>
    <w:p w:rsidR="00010AE4" w:rsidRPr="003D777F" w:rsidRDefault="00010AE4" w:rsidP="00010AE4">
      <w:pPr>
        <w:rPr>
          <w:b/>
        </w:rPr>
      </w:pPr>
      <w:proofErr w:type="gramStart"/>
      <w:r>
        <w:rPr>
          <w:b/>
        </w:rPr>
        <w:t>construction</w:t>
      </w:r>
      <w:proofErr w:type="gramEnd"/>
      <w:r>
        <w:rPr>
          <w:b/>
        </w:rPr>
        <w:t xml:space="preserve"> et agrément des véhicules</w:t>
      </w:r>
    </w:p>
    <w:p w:rsidR="00010AE4" w:rsidRDefault="00010AE4" w:rsidP="00550FB7">
      <w:pPr>
        <w:pStyle w:val="HChG"/>
      </w:pPr>
      <w:r>
        <w:tab/>
      </w:r>
      <w:r>
        <w:tab/>
        <w:t>Mention à porter sur le certificat d</w:t>
      </w:r>
      <w:r w:rsidR="00F221E2">
        <w:t>’</w:t>
      </w:r>
      <w:r>
        <w:t xml:space="preserve">homologation </w:t>
      </w:r>
      <w:r w:rsidR="00550FB7">
        <w:br/>
      </w:r>
      <w:r>
        <w:t xml:space="preserve">des véhicules EX/III destinés au transport en citerne </w:t>
      </w:r>
      <w:r w:rsidR="00550FB7">
        <w:br/>
      </w:r>
      <w:proofErr w:type="gramStart"/>
      <w:r>
        <w:t>de</w:t>
      </w:r>
      <w:proofErr w:type="gramEnd"/>
      <w:r>
        <w:t xml:space="preserve"> matières de la classe 1</w:t>
      </w:r>
    </w:p>
    <w:p w:rsidR="00010AE4" w:rsidRDefault="00010AE4" w:rsidP="00550FB7">
      <w:pPr>
        <w:pStyle w:val="H1G"/>
      </w:pPr>
      <w:r>
        <w:tab/>
      </w:r>
      <w:r>
        <w:tab/>
        <w:t>Communication du Gouvernement des Pays-Bas</w:t>
      </w:r>
      <w:r w:rsidR="00B11E66" w:rsidRPr="00887405">
        <w:rPr>
          <w:rStyle w:val="Appelnotedebasdep"/>
          <w:b w:val="0"/>
        </w:rPr>
        <w:footnoteReference w:id="2"/>
      </w:r>
    </w:p>
    <w:tbl>
      <w:tblPr>
        <w:tblStyle w:val="Grilledutableau"/>
        <w:tblW w:w="0" w:type="auto"/>
        <w:jc w:val="center"/>
        <w:tblBorders>
          <w:insideH w:val="none" w:sz="0" w:space="0" w:color="auto"/>
        </w:tblBorders>
        <w:tblLook w:val="05E0"/>
      </w:tblPr>
      <w:tblGrid>
        <w:gridCol w:w="9637"/>
      </w:tblGrid>
      <w:tr w:rsidR="00550FB7" w:rsidTr="00216E0F">
        <w:trPr>
          <w:jc w:val="center"/>
        </w:trPr>
        <w:tc>
          <w:tcPr>
            <w:tcW w:w="9637" w:type="dxa"/>
            <w:shd w:val="clear" w:color="auto" w:fill="auto"/>
          </w:tcPr>
          <w:p w:rsidR="00550FB7" w:rsidRPr="000001E7" w:rsidRDefault="00550FB7" w:rsidP="00216E0F">
            <w:pPr>
              <w:spacing w:before="240" w:after="120"/>
              <w:ind w:left="255"/>
              <w:rPr>
                <w:i/>
                <w:sz w:val="24"/>
              </w:rPr>
            </w:pPr>
            <w:r w:rsidRPr="000001E7">
              <w:rPr>
                <w:i/>
                <w:sz w:val="24"/>
              </w:rPr>
              <w:t>Résumé</w:t>
            </w:r>
          </w:p>
        </w:tc>
      </w:tr>
      <w:tr w:rsidR="00550FB7" w:rsidTr="00216E0F">
        <w:trPr>
          <w:jc w:val="center"/>
        </w:trPr>
        <w:tc>
          <w:tcPr>
            <w:tcW w:w="9637" w:type="dxa"/>
            <w:shd w:val="clear" w:color="auto" w:fill="auto"/>
          </w:tcPr>
          <w:p w:rsidR="00550FB7" w:rsidRDefault="00337415" w:rsidP="00F221E2">
            <w:pPr>
              <w:pStyle w:val="SingleTxtG"/>
              <w:ind w:left="2552" w:hanging="2268"/>
            </w:pPr>
            <w:r w:rsidRPr="00550FB7">
              <w:rPr>
                <w:b/>
              </w:rPr>
              <w:t>Résumé analytique</w:t>
            </w:r>
            <w:r w:rsidR="00F221E2">
              <w:rPr>
                <w:b/>
              </w:rPr>
              <w:t> </w:t>
            </w:r>
            <w:r w:rsidR="00F221E2">
              <w:t>:</w:t>
            </w:r>
            <w:r w:rsidRPr="00550FB7">
              <w:tab/>
              <w:t>Il est proposé d</w:t>
            </w:r>
            <w:r w:rsidR="00F221E2">
              <w:t>’</w:t>
            </w:r>
            <w:r w:rsidRPr="00550FB7">
              <w:t>indiquer sur le certificat d</w:t>
            </w:r>
            <w:r w:rsidR="00F221E2">
              <w:t>’</w:t>
            </w:r>
            <w:r w:rsidRPr="00550FB7">
              <w:t>hom</w:t>
            </w:r>
            <w:r w:rsidRPr="00550FB7">
              <w:t>ologation que le véhicule homologué satisfait aux prescriptions du 9.7.9.</w:t>
            </w:r>
          </w:p>
        </w:tc>
      </w:tr>
      <w:tr w:rsidR="00550FB7" w:rsidTr="00216E0F">
        <w:trPr>
          <w:jc w:val="center"/>
        </w:trPr>
        <w:tc>
          <w:tcPr>
            <w:tcW w:w="9637" w:type="dxa"/>
            <w:shd w:val="clear" w:color="auto" w:fill="auto"/>
          </w:tcPr>
          <w:p w:rsidR="00550FB7" w:rsidRDefault="00337415" w:rsidP="00F115D2">
            <w:pPr>
              <w:pStyle w:val="SingleTxtG"/>
              <w:ind w:left="2552" w:hanging="2268"/>
            </w:pPr>
            <w:r w:rsidRPr="00550FB7">
              <w:rPr>
                <w:b/>
              </w:rPr>
              <w:t>Mesure à prendre</w:t>
            </w:r>
            <w:r w:rsidR="00F221E2">
              <w:rPr>
                <w:b/>
              </w:rPr>
              <w:t> </w:t>
            </w:r>
            <w:r w:rsidRPr="00550FB7">
              <w:t>:</w:t>
            </w:r>
            <w:r w:rsidRPr="00550FB7">
              <w:tab/>
              <w:t>Ajouter une nouvelle phrase à la fin du 9.1.3.3.</w:t>
            </w:r>
          </w:p>
        </w:tc>
      </w:tr>
      <w:tr w:rsidR="00550FB7" w:rsidTr="00216E0F">
        <w:trPr>
          <w:jc w:val="center"/>
        </w:trPr>
        <w:tc>
          <w:tcPr>
            <w:tcW w:w="9637" w:type="dxa"/>
            <w:shd w:val="clear" w:color="auto" w:fill="auto"/>
          </w:tcPr>
          <w:p w:rsidR="00550FB7" w:rsidRDefault="00337415" w:rsidP="00F221E2">
            <w:pPr>
              <w:pStyle w:val="SingleTxtG"/>
              <w:ind w:left="2552" w:hanging="2268"/>
            </w:pPr>
            <w:r w:rsidRPr="00550FB7">
              <w:rPr>
                <w:b/>
              </w:rPr>
              <w:t>Documents de référence</w:t>
            </w:r>
            <w:r w:rsidR="00F221E2">
              <w:rPr>
                <w:b/>
              </w:rPr>
              <w:t> </w:t>
            </w:r>
            <w:r w:rsidR="00F221E2">
              <w:t>:</w:t>
            </w:r>
            <w:r w:rsidRPr="00887405">
              <w:tab/>
            </w:r>
            <w:r w:rsidRPr="00516DA8">
              <w:rPr>
                <w:spacing w:val="-5"/>
              </w:rPr>
              <w:t>ECE/TRANS/WP.15/217, paragraphes 17 et 18</w:t>
            </w:r>
            <w:r w:rsidR="00F221E2" w:rsidRPr="00516DA8">
              <w:rPr>
                <w:spacing w:val="-5"/>
              </w:rPr>
              <w:t> ;</w:t>
            </w:r>
            <w:r w:rsidRPr="00516DA8">
              <w:rPr>
                <w:spacing w:val="-5"/>
              </w:rPr>
              <w:t xml:space="preserve"> et ECE/TRANS/WP.15/226</w:t>
            </w:r>
            <w:r w:rsidR="00887405" w:rsidRPr="00516DA8">
              <w:rPr>
                <w:spacing w:val="-5"/>
              </w:rPr>
              <w:t>,</w:t>
            </w:r>
            <w:r w:rsidRPr="00550FB7">
              <w:t xml:space="preserve"> paragraphes 30 à 33.</w:t>
            </w:r>
          </w:p>
        </w:tc>
      </w:tr>
      <w:tr w:rsidR="00550FB7" w:rsidTr="00216E0F">
        <w:trPr>
          <w:jc w:val="center"/>
        </w:trPr>
        <w:tc>
          <w:tcPr>
            <w:tcW w:w="9637" w:type="dxa"/>
            <w:shd w:val="clear" w:color="auto" w:fill="auto"/>
          </w:tcPr>
          <w:p w:rsidR="00550FB7" w:rsidRDefault="00550FB7" w:rsidP="00216E0F"/>
        </w:tc>
      </w:tr>
    </w:tbl>
    <w:p w:rsidR="00010AE4" w:rsidRPr="00F96999" w:rsidRDefault="00516DA8" w:rsidP="00516DA8">
      <w:pPr>
        <w:pStyle w:val="HChG"/>
        <w:rPr>
          <w:rFonts w:eastAsiaTheme="minorEastAsia"/>
        </w:rPr>
      </w:pPr>
      <w:r>
        <w:br w:type="page"/>
      </w:r>
      <w:r w:rsidR="00010AE4">
        <w:lastRenderedPageBreak/>
        <w:tab/>
      </w:r>
      <w:r w:rsidR="00010AE4">
        <w:tab/>
        <w:t>Introduction</w:t>
      </w:r>
    </w:p>
    <w:p w:rsidR="00010AE4" w:rsidRPr="00E06F15" w:rsidRDefault="00010AE4" w:rsidP="00516DA8">
      <w:pPr>
        <w:pStyle w:val="ParNoG"/>
        <w:rPr>
          <w:rFonts w:eastAsiaTheme="minorEastAsia"/>
        </w:rPr>
      </w:pPr>
      <w:r>
        <w:t>La possibilité de transporter des matières explosibles en citerne a été introduite dans l</w:t>
      </w:r>
      <w:r w:rsidR="00F221E2">
        <w:t>’</w:t>
      </w:r>
      <w:r>
        <w:t xml:space="preserve">ADR 2013. Les véhicules EX/III destinés au transport de matières explosibles en citerne doivent satisfaire aux prescriptions supplémentaires du 9.7.9. </w:t>
      </w:r>
    </w:p>
    <w:p w:rsidR="00010AE4" w:rsidRPr="00F96999" w:rsidRDefault="00010AE4" w:rsidP="00516DA8">
      <w:pPr>
        <w:pStyle w:val="ParNoG"/>
        <w:tabs>
          <w:tab w:val="clear" w:pos="1701"/>
        </w:tabs>
        <w:rPr>
          <w:rFonts w:eastAsiaTheme="minorEastAsia"/>
          <w:sz w:val="22"/>
          <w:szCs w:val="22"/>
        </w:rPr>
      </w:pPr>
      <w:r>
        <w:t>Il est difficile pour les autorités de vérifier, lors d</w:t>
      </w:r>
      <w:r w:rsidR="00F221E2">
        <w:t>’</w:t>
      </w:r>
      <w:r>
        <w:t>un contrôle routier, si un véhicule EX/III est adapté au transport de matières explosibles en citernes.</w:t>
      </w:r>
      <w:r>
        <w:rPr>
          <w:rFonts w:eastAsiaTheme="minorEastAsia"/>
          <w:color w:val="000000"/>
          <w:sz w:val="22"/>
        </w:rPr>
        <w:t xml:space="preserve"> </w:t>
      </w:r>
    </w:p>
    <w:p w:rsidR="00010AE4" w:rsidRPr="00F96999" w:rsidRDefault="00010AE4" w:rsidP="00516DA8">
      <w:pPr>
        <w:pStyle w:val="ParNoG"/>
        <w:tabs>
          <w:tab w:val="clear" w:pos="1701"/>
        </w:tabs>
        <w:rPr>
          <w:rFonts w:eastAsiaTheme="minorEastAsia"/>
        </w:rPr>
      </w:pPr>
      <w:r>
        <w:t>C</w:t>
      </w:r>
      <w:r w:rsidR="00F221E2">
        <w:t>’</w:t>
      </w:r>
      <w:r>
        <w:t>est pourquoi il est proposé d</w:t>
      </w:r>
      <w:r w:rsidR="00F221E2">
        <w:t>’</w:t>
      </w:r>
      <w:r>
        <w:t>ajouter, au 9.1.3.3 de l</w:t>
      </w:r>
      <w:r w:rsidR="00F221E2">
        <w:t>’</w:t>
      </w:r>
      <w:r>
        <w:t>ADR, un nouveau paragraphe introduisant une mention supplémentaire à faire figurer sous le point 11 du certificat d</w:t>
      </w:r>
      <w:r w:rsidR="00F221E2">
        <w:t>’</w:t>
      </w:r>
      <w:r>
        <w:t xml:space="preserve">agrément. </w:t>
      </w:r>
    </w:p>
    <w:p w:rsidR="00010AE4" w:rsidRPr="00F96999" w:rsidRDefault="00010AE4" w:rsidP="00516DA8">
      <w:pPr>
        <w:pStyle w:val="HChG"/>
        <w:rPr>
          <w:rFonts w:eastAsiaTheme="minorEastAsia"/>
        </w:rPr>
      </w:pPr>
      <w:r>
        <w:tab/>
      </w:r>
      <w:r>
        <w:tab/>
        <w:t>Propositions</w:t>
      </w:r>
    </w:p>
    <w:p w:rsidR="00010AE4" w:rsidRPr="00F96999" w:rsidRDefault="00010AE4" w:rsidP="00516DA8">
      <w:pPr>
        <w:pStyle w:val="H1G"/>
        <w:rPr>
          <w:rFonts w:eastAsiaTheme="minorEastAsia"/>
        </w:rPr>
      </w:pPr>
      <w:r>
        <w:tab/>
      </w:r>
      <w:r>
        <w:tab/>
        <w:t>Proposition 1</w:t>
      </w:r>
    </w:p>
    <w:p w:rsidR="00010AE4" w:rsidRPr="00F96999" w:rsidRDefault="00010AE4" w:rsidP="00516DA8">
      <w:pPr>
        <w:pStyle w:val="ParNoG"/>
        <w:tabs>
          <w:tab w:val="clear" w:pos="1701"/>
        </w:tabs>
        <w:rPr>
          <w:rFonts w:eastAsiaTheme="minorEastAsia"/>
        </w:rPr>
      </w:pPr>
      <w:r>
        <w:t>Ajouter un nouveau paragraphe à la fin du 9.1.3.3, libellé comme suit</w:t>
      </w:r>
      <w:r w:rsidR="00F221E2">
        <w:t> :</w:t>
      </w:r>
    </w:p>
    <w:p w:rsidR="00010AE4" w:rsidRPr="0069204F" w:rsidRDefault="00F221E2" w:rsidP="00516DA8">
      <w:pPr>
        <w:pStyle w:val="SingleTxtG"/>
        <w:rPr>
          <w:rFonts w:eastAsiaTheme="minorEastAsia"/>
        </w:rPr>
      </w:pPr>
      <w:r>
        <w:t>« </w:t>
      </w:r>
      <w:r w:rsidR="00010AE4">
        <w:t>La mention ci-après doit figurer sous le point 11 du certificat d</w:t>
      </w:r>
      <w:r>
        <w:t>’</w:t>
      </w:r>
      <w:r w:rsidR="00010AE4">
        <w:t>agrément des véhicules EX/III conformes aux prescriptions du 9.7.9 destinés au transport de matières explosibles en citerne</w:t>
      </w:r>
      <w:r>
        <w:t> :</w:t>
      </w:r>
      <w:r w:rsidR="00010AE4">
        <w:t xml:space="preserve"> </w:t>
      </w:r>
      <w:r w:rsidRPr="00460532">
        <w:t>“</w:t>
      </w:r>
      <w:r w:rsidR="00010AE4">
        <w:t>Véhicule conforme au 9.7.9 de l</w:t>
      </w:r>
      <w:r>
        <w:t>’</w:t>
      </w:r>
      <w:r w:rsidR="00010AE4">
        <w:t>ADR pour le transport de matières explosibles en citerne</w:t>
      </w:r>
      <w:r w:rsidRPr="00460532">
        <w:t>”</w:t>
      </w:r>
      <w:r w:rsidR="00010AE4">
        <w:t>.</w:t>
      </w:r>
      <w:r>
        <w:t> »</w:t>
      </w:r>
      <w:r w:rsidR="00010AE4">
        <w:t>.</w:t>
      </w:r>
    </w:p>
    <w:p w:rsidR="00010AE4" w:rsidRPr="00F96999" w:rsidRDefault="00010AE4" w:rsidP="00516DA8">
      <w:pPr>
        <w:pStyle w:val="H1G"/>
        <w:rPr>
          <w:rFonts w:eastAsiaTheme="minorEastAsia"/>
        </w:rPr>
      </w:pPr>
      <w:r>
        <w:tab/>
      </w:r>
      <w:r>
        <w:tab/>
        <w:t>Proposition 2</w:t>
      </w:r>
    </w:p>
    <w:p w:rsidR="00010AE4" w:rsidRPr="00F96999" w:rsidRDefault="00010AE4" w:rsidP="00516DA8">
      <w:pPr>
        <w:pStyle w:val="ParNoG"/>
        <w:tabs>
          <w:tab w:val="clear" w:pos="1701"/>
        </w:tabs>
        <w:rPr>
          <w:rFonts w:eastAsiaTheme="minorEastAsia"/>
        </w:rPr>
      </w:pPr>
      <w:r>
        <w:t>Ajouter une nouvelle mesure transitoire au titre du 1.6.5, libellée comme suit</w:t>
      </w:r>
      <w:r w:rsidR="00F221E2">
        <w:t> :</w:t>
      </w:r>
    </w:p>
    <w:p w:rsidR="00010AE4" w:rsidRPr="0069204F" w:rsidRDefault="00F221E2" w:rsidP="00516DA8">
      <w:pPr>
        <w:pStyle w:val="SingleTxtG"/>
        <w:ind w:left="2268" w:hanging="1134"/>
        <w:rPr>
          <w:rFonts w:eastAsiaTheme="minorEastAsia"/>
        </w:rPr>
      </w:pPr>
      <w:r>
        <w:t>« </w:t>
      </w:r>
      <w:r w:rsidR="00010AE4">
        <w:t>1.6.5. xy</w:t>
      </w:r>
      <w:r w:rsidR="00010AE4">
        <w:tab/>
        <w:t>Les certificats d</w:t>
      </w:r>
      <w:r>
        <w:t>’</w:t>
      </w:r>
      <w:r w:rsidR="00010AE4">
        <w:t>agrément des véhicules EX/III destinés au transport de matières explosibles en citerne qui ont été établis conformément aux prescriptions du 9.1.3.3 applicables jusqu</w:t>
      </w:r>
      <w:r>
        <w:t>’</w:t>
      </w:r>
      <w:r w:rsidR="00010AE4">
        <w:t>au 31</w:t>
      </w:r>
      <w:r>
        <w:t> </w:t>
      </w:r>
      <w:r w:rsidR="00010AE4">
        <w:t>décembre 2018 et délivrés avant le 1</w:t>
      </w:r>
      <w:r w:rsidR="00010AE4">
        <w:rPr>
          <w:vertAlign w:val="superscript"/>
        </w:rPr>
        <w:t>er</w:t>
      </w:r>
      <w:r w:rsidR="00010AE4">
        <w:t> juillet</w:t>
      </w:r>
      <w:r>
        <w:t xml:space="preserve"> </w:t>
      </w:r>
      <w:r w:rsidR="00010AE4">
        <w:t>2019 et sur lesquels ne figure aucune mention relative à la conformité du véhicule avec le 9.7.9 peuvent être utilisés jusqu</w:t>
      </w:r>
      <w:r>
        <w:t>’</w:t>
      </w:r>
      <w:r w:rsidR="00010AE4">
        <w:t>au prochain contrôle technique du véhicule.</w:t>
      </w:r>
      <w:r>
        <w:t> »</w:t>
      </w:r>
      <w:r w:rsidR="00010AE4">
        <w:t>.</w:t>
      </w:r>
    </w:p>
    <w:p w:rsidR="00010AE4" w:rsidRPr="00F96999" w:rsidRDefault="00010AE4" w:rsidP="00516DA8">
      <w:pPr>
        <w:pStyle w:val="HChG"/>
        <w:rPr>
          <w:rFonts w:eastAsiaTheme="minorEastAsia"/>
        </w:rPr>
      </w:pPr>
      <w:r>
        <w:tab/>
      </w:r>
      <w:r>
        <w:tab/>
        <w:t>Justification</w:t>
      </w:r>
    </w:p>
    <w:p w:rsidR="00010AE4" w:rsidRPr="008F2EC1" w:rsidRDefault="00010AE4" w:rsidP="00516DA8">
      <w:pPr>
        <w:pStyle w:val="ParNoG"/>
        <w:tabs>
          <w:tab w:val="clear" w:pos="1701"/>
        </w:tabs>
        <w:rPr>
          <w:rFonts w:eastAsiaTheme="minorEastAsia"/>
        </w:rPr>
      </w:pPr>
      <w:r>
        <w:t xml:space="preserve">Bien que le libellé suggéré ait été ajouté dans la dernière mise à jour des </w:t>
      </w:r>
      <w:r w:rsidR="00F221E2">
        <w:t>« </w:t>
      </w:r>
      <w:r>
        <w:t>Lignes directrices relatives au certificat d</w:t>
      </w:r>
      <w:r w:rsidR="00F221E2">
        <w:t>’</w:t>
      </w:r>
      <w:r>
        <w:t>agrément selon le 9.1.3 de l</w:t>
      </w:r>
      <w:r w:rsidR="00F221E2">
        <w:t>’</w:t>
      </w:r>
      <w:r>
        <w:t>ADR</w:t>
      </w:r>
      <w:r w:rsidR="00F221E2">
        <w:t> »</w:t>
      </w:r>
      <w:r>
        <w:t xml:space="preserve">, qui peut être </w:t>
      </w:r>
      <w:r w:rsidRPr="001B4187">
        <w:t xml:space="preserve">consulté sur le site Web de la CEE (voir </w:t>
      </w:r>
      <w:hyperlink r:id="rId8">
        <w:r w:rsidRPr="001B4187">
          <w:rPr>
            <w:rStyle w:val="Lienhypertexte"/>
            <w:rFonts w:eastAsiaTheme="minorEastAsia"/>
            <w:color w:val="auto"/>
          </w:rPr>
          <w:t>https://www.unece.org/fileadmin/</w:t>
        </w:r>
        <w:r w:rsidR="001B4187" w:rsidRPr="001B4187">
          <w:rPr>
            <w:rStyle w:val="Lienhypertexte"/>
            <w:rFonts w:eastAsiaTheme="minorEastAsia"/>
            <w:color w:val="auto"/>
          </w:rPr>
          <w:t xml:space="preserve"> </w:t>
        </w:r>
        <w:r w:rsidRPr="001B4187">
          <w:rPr>
            <w:rStyle w:val="Lienhypertexte"/>
            <w:rFonts w:eastAsiaTheme="minorEastAsia"/>
            <w:color w:val="auto"/>
          </w:rPr>
          <w:t>DAM/trans/danger/publi/adr/guidelines/Lignes_directrices_relatives_au_certificat_d%E2%80%99agr%C3%A9ment.pdf</w:t>
        </w:r>
      </w:hyperlink>
      <w:r>
        <w:t>), il convient de noter que ces lignes directrices n</w:t>
      </w:r>
      <w:r w:rsidR="00F221E2">
        <w:t>’</w:t>
      </w:r>
      <w:r>
        <w:t>ont pas force obligatoire. Afin de donner à l</w:t>
      </w:r>
      <w:r w:rsidR="00F221E2">
        <w:t>’</w:t>
      </w:r>
      <w:r>
        <w:t>autorité de contrôle l</w:t>
      </w:r>
      <w:r w:rsidR="00F221E2">
        <w:t>’</w:t>
      </w:r>
      <w:r>
        <w:t>assurance qu</w:t>
      </w:r>
      <w:r w:rsidR="00F221E2">
        <w:t>’</w:t>
      </w:r>
      <w:r>
        <w:t>un véhicule est habilité à transporter des matières explosibles en citerne, il convient d</w:t>
      </w:r>
      <w:r w:rsidR="00F221E2">
        <w:t>’</w:t>
      </w:r>
      <w:r>
        <w:t>ajouter dans le texte même du Règlement ADR la mention proposée. Le libellé suggéré est identique à celui qui a été adopté antérieurement pour les Lignes directrices.</w:t>
      </w:r>
    </w:p>
    <w:p w:rsidR="00010AE4" w:rsidRPr="00F96999" w:rsidRDefault="00010AE4" w:rsidP="00516DA8">
      <w:pPr>
        <w:pStyle w:val="ParNoG"/>
        <w:tabs>
          <w:tab w:val="clear" w:pos="1701"/>
        </w:tabs>
        <w:rPr>
          <w:rFonts w:eastAsiaTheme="minorEastAsia"/>
          <w:sz w:val="22"/>
          <w:szCs w:val="22"/>
        </w:rPr>
      </w:pPr>
      <w:r>
        <w:t>Étant donné que le nouveau libellé s</w:t>
      </w:r>
      <w:r w:rsidR="00F221E2">
        <w:t>’</w:t>
      </w:r>
      <w:r>
        <w:t>applique uniquement au transport, dans des véhicules EX/III, de matières explosibles en citerne et non en emballage, la surcharge de travail due à la modification des certificats d</w:t>
      </w:r>
      <w:r w:rsidR="00F221E2">
        <w:t>’</w:t>
      </w:r>
      <w:r>
        <w:t>agrément sera limitée.</w:t>
      </w:r>
      <w:r>
        <w:rPr>
          <w:rFonts w:eastAsiaTheme="minorEastAsia"/>
          <w:sz w:val="22"/>
        </w:rPr>
        <w:t xml:space="preserve"> </w:t>
      </w:r>
    </w:p>
    <w:p w:rsidR="00446FE5" w:rsidRDefault="00010AE4" w:rsidP="00516DA8">
      <w:pPr>
        <w:pStyle w:val="ParNoG"/>
        <w:keepNext/>
        <w:keepLines/>
        <w:tabs>
          <w:tab w:val="clear" w:pos="1701"/>
        </w:tabs>
      </w:pPr>
      <w:r>
        <w:lastRenderedPageBreak/>
        <w:t>On pourra faire valoir que la formulation proposée est superflue en ce qui concerne les véhicules-citernes, pour lesquels l</w:t>
      </w:r>
      <w:r w:rsidR="00F221E2">
        <w:t>’</w:t>
      </w:r>
      <w:r>
        <w:t>autorisation de transport est déjà donnée au titre du point 10 du certificat d</w:t>
      </w:r>
      <w:r w:rsidR="00F221E2">
        <w:t>’</w:t>
      </w:r>
      <w:r>
        <w:t>agrément. Dans ce cas précis, au regard de la deuxième possibilité énumérée au point 10.2 du certificat, il convient de mentionner l</w:t>
      </w:r>
      <w:r w:rsidR="00F221E2">
        <w:t>’</w:t>
      </w:r>
      <w:r>
        <w:t>autorisation de transport relative au numéro ONU 0331 en raison de la présence du symbole (+) après le code-citerne correspondant dans l</w:t>
      </w:r>
      <w:r w:rsidR="00F221E2">
        <w:t>’</w:t>
      </w:r>
      <w:r>
        <w:t>ADR, ce qui peut laisser croire que les prescriptions du 9.7.9 sont automatiquement satisfaites. Néanmoins, pour éliminer toute incertitude et limiter les complications, il est suggéré de faire figurer la mention sur les certificats d</w:t>
      </w:r>
      <w:r w:rsidR="00F221E2">
        <w:t>’</w:t>
      </w:r>
      <w:r>
        <w:t>agrément de tous les véhicules, y compris ceux des véhicules-citernes.</w:t>
      </w:r>
    </w:p>
    <w:p w:rsidR="00770236" w:rsidRPr="00770236" w:rsidRDefault="00770236" w:rsidP="00770236">
      <w:pPr>
        <w:pStyle w:val="SingleTxtG"/>
        <w:spacing w:before="240" w:after="0"/>
        <w:jc w:val="center"/>
        <w:rPr>
          <w:u w:val="single"/>
        </w:rPr>
      </w:pPr>
      <w:r>
        <w:rPr>
          <w:u w:val="single"/>
        </w:rPr>
        <w:tab/>
      </w:r>
      <w:r>
        <w:rPr>
          <w:u w:val="single"/>
        </w:rPr>
        <w:tab/>
      </w:r>
      <w:r>
        <w:rPr>
          <w:u w:val="single"/>
        </w:rPr>
        <w:tab/>
      </w:r>
    </w:p>
    <w:sectPr w:rsidR="00770236" w:rsidRPr="00770236" w:rsidSect="00010AE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15" w:rsidRDefault="00337415" w:rsidP="00F95C08">
      <w:pPr>
        <w:spacing w:line="240" w:lineRule="auto"/>
      </w:pPr>
    </w:p>
  </w:endnote>
  <w:endnote w:type="continuationSeparator" w:id="0">
    <w:p w:rsidR="00337415" w:rsidRPr="00AC3823" w:rsidRDefault="00337415" w:rsidP="00AC3823">
      <w:pPr>
        <w:pStyle w:val="Pieddepage"/>
      </w:pPr>
    </w:p>
  </w:endnote>
  <w:endnote w:type="continuationNotice" w:id="1">
    <w:p w:rsidR="00337415" w:rsidRDefault="00337415">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E4" w:rsidRPr="00010AE4" w:rsidRDefault="000C3E85" w:rsidP="00010AE4">
    <w:pPr>
      <w:pStyle w:val="Pieddepage"/>
      <w:tabs>
        <w:tab w:val="right" w:pos="9638"/>
      </w:tabs>
    </w:pPr>
    <w:r w:rsidRPr="00010AE4">
      <w:rPr>
        <w:b/>
        <w:sz w:val="18"/>
      </w:rPr>
      <w:fldChar w:fldCharType="begin"/>
    </w:r>
    <w:r w:rsidR="00010AE4" w:rsidRPr="00010AE4">
      <w:rPr>
        <w:b/>
        <w:sz w:val="18"/>
      </w:rPr>
      <w:instrText xml:space="preserve"> PAGE  \* MERGEFORMAT </w:instrText>
    </w:r>
    <w:r w:rsidRPr="00010AE4">
      <w:rPr>
        <w:b/>
        <w:sz w:val="18"/>
      </w:rPr>
      <w:fldChar w:fldCharType="separate"/>
    </w:r>
    <w:r w:rsidR="0089733F">
      <w:rPr>
        <w:b/>
        <w:noProof/>
        <w:sz w:val="18"/>
      </w:rPr>
      <w:t>2</w:t>
    </w:r>
    <w:r w:rsidRPr="00010AE4">
      <w:rPr>
        <w:b/>
        <w:sz w:val="18"/>
      </w:rPr>
      <w:fldChar w:fldCharType="end"/>
    </w:r>
    <w:r w:rsidR="00010AE4">
      <w:rPr>
        <w:b/>
        <w:sz w:val="18"/>
      </w:rPr>
      <w:tab/>
    </w:r>
    <w:r w:rsidR="00010AE4">
      <w:t>GE.16-14510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E4" w:rsidRPr="00010AE4" w:rsidRDefault="00010AE4" w:rsidP="00010AE4">
    <w:pPr>
      <w:pStyle w:val="Pieddepage"/>
      <w:tabs>
        <w:tab w:val="right" w:pos="9638"/>
      </w:tabs>
      <w:rPr>
        <w:b/>
        <w:sz w:val="18"/>
      </w:rPr>
    </w:pPr>
    <w:r>
      <w:t>GE.16-14510</w:t>
    </w:r>
    <w:r>
      <w:tab/>
    </w:r>
    <w:r w:rsidR="000C3E85" w:rsidRPr="00010AE4">
      <w:rPr>
        <w:b/>
        <w:sz w:val="18"/>
      </w:rPr>
      <w:fldChar w:fldCharType="begin"/>
    </w:r>
    <w:r w:rsidRPr="00010AE4">
      <w:rPr>
        <w:b/>
        <w:sz w:val="18"/>
      </w:rPr>
      <w:instrText xml:space="preserve"> PAGE  \* MERGEFORMAT </w:instrText>
    </w:r>
    <w:r w:rsidR="000C3E85" w:rsidRPr="00010AE4">
      <w:rPr>
        <w:b/>
        <w:sz w:val="18"/>
      </w:rPr>
      <w:fldChar w:fldCharType="separate"/>
    </w:r>
    <w:r w:rsidR="0089733F">
      <w:rPr>
        <w:b/>
        <w:noProof/>
        <w:sz w:val="18"/>
      </w:rPr>
      <w:t>3</w:t>
    </w:r>
    <w:r w:rsidR="000C3E85" w:rsidRPr="00010AE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E9" w:rsidRPr="00010AE4" w:rsidRDefault="00010AE4" w:rsidP="00010AE4">
    <w:pPr>
      <w:pStyle w:val="Pieddepage"/>
      <w:spacing w:before="120"/>
      <w:rPr>
        <w:sz w:val="20"/>
      </w:rPr>
    </w:pPr>
    <w:r>
      <w:rPr>
        <w:sz w:val="20"/>
      </w:rPr>
      <w:t>GE.</w:t>
    </w:r>
    <w:r w:rsidR="000D3EE9">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16-14510  (F)</w:t>
    </w:r>
    <w:r w:rsidR="00602907">
      <w:rPr>
        <w:sz w:val="20"/>
      </w:rPr>
      <w:t xml:space="preserve">    220916    270916</w:t>
    </w:r>
    <w:r>
      <w:rPr>
        <w:sz w:val="20"/>
      </w:rPr>
      <w:br/>
    </w:r>
    <w:r w:rsidRPr="00010AE4">
      <w:rPr>
        <w:rFonts w:ascii="C39T30Lfz" w:hAnsi="C39T30Lfz"/>
        <w:sz w:val="56"/>
      </w:rPr>
      <w:t></w:t>
    </w:r>
    <w:r w:rsidRPr="00010AE4">
      <w:rPr>
        <w:rFonts w:ascii="C39T30Lfz" w:hAnsi="C39T30Lfz"/>
        <w:sz w:val="56"/>
      </w:rPr>
      <w:t></w:t>
    </w:r>
    <w:r w:rsidRPr="00010AE4">
      <w:rPr>
        <w:rFonts w:ascii="C39T30Lfz" w:hAnsi="C39T30Lfz"/>
        <w:sz w:val="56"/>
      </w:rPr>
      <w:t></w:t>
    </w:r>
    <w:r w:rsidRPr="00010AE4">
      <w:rPr>
        <w:rFonts w:ascii="C39T30Lfz" w:hAnsi="C39T30Lfz"/>
        <w:sz w:val="56"/>
      </w:rPr>
      <w:t></w:t>
    </w:r>
    <w:r w:rsidRPr="00010AE4">
      <w:rPr>
        <w:rFonts w:ascii="C39T30Lfz" w:hAnsi="C39T30Lfz"/>
        <w:sz w:val="56"/>
      </w:rPr>
      <w:t></w:t>
    </w:r>
    <w:r w:rsidRPr="00010AE4">
      <w:rPr>
        <w:rFonts w:ascii="C39T30Lfz" w:hAnsi="C39T30Lfz"/>
        <w:sz w:val="56"/>
      </w:rPr>
      <w:t></w:t>
    </w:r>
    <w:r w:rsidRPr="00010AE4">
      <w:rPr>
        <w:rFonts w:ascii="C39T30Lfz" w:hAnsi="C39T30Lfz"/>
        <w:sz w:val="56"/>
      </w:rPr>
      <w:t></w:t>
    </w:r>
    <w:r w:rsidRPr="00010AE4">
      <w:rPr>
        <w:rFonts w:ascii="C39T30Lfz" w:hAnsi="C39T30Lfz"/>
        <w:sz w:val="56"/>
      </w:rPr>
      <w:t></w:t>
    </w:r>
    <w:r w:rsidRPr="00010AE4">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TRANS/WP.15/2016/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8&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15" w:rsidRPr="00AC3823" w:rsidRDefault="00337415" w:rsidP="00AC3823">
      <w:pPr>
        <w:pStyle w:val="Pieddepage"/>
        <w:tabs>
          <w:tab w:val="right" w:pos="2155"/>
        </w:tabs>
        <w:spacing w:after="80" w:line="240" w:lineRule="atLeast"/>
        <w:ind w:left="680"/>
        <w:rPr>
          <w:u w:val="single"/>
        </w:rPr>
      </w:pPr>
      <w:r>
        <w:rPr>
          <w:u w:val="single"/>
        </w:rPr>
        <w:tab/>
      </w:r>
    </w:p>
  </w:footnote>
  <w:footnote w:type="continuationSeparator" w:id="0">
    <w:p w:rsidR="00337415" w:rsidRPr="00AC3823" w:rsidRDefault="00337415" w:rsidP="00AC3823">
      <w:pPr>
        <w:pStyle w:val="Pieddepage"/>
        <w:tabs>
          <w:tab w:val="right" w:pos="2155"/>
        </w:tabs>
        <w:spacing w:after="80" w:line="240" w:lineRule="atLeast"/>
        <w:ind w:left="680"/>
        <w:rPr>
          <w:u w:val="single"/>
        </w:rPr>
      </w:pPr>
      <w:r>
        <w:rPr>
          <w:u w:val="single"/>
        </w:rPr>
        <w:tab/>
      </w:r>
    </w:p>
  </w:footnote>
  <w:footnote w:type="continuationNotice" w:id="1">
    <w:p w:rsidR="00337415" w:rsidRPr="00AC3823" w:rsidRDefault="00337415">
      <w:pPr>
        <w:spacing w:line="240" w:lineRule="auto"/>
        <w:rPr>
          <w:sz w:val="2"/>
          <w:szCs w:val="2"/>
        </w:rPr>
      </w:pPr>
    </w:p>
  </w:footnote>
  <w:footnote w:id="2">
    <w:p w:rsidR="00B11E66" w:rsidRDefault="00B11E66">
      <w:pPr>
        <w:pStyle w:val="Notedebasdepage"/>
      </w:pPr>
      <w:r>
        <w:tab/>
      </w:r>
      <w:r>
        <w:rPr>
          <w:rStyle w:val="Appelnotedebasdep"/>
        </w:rPr>
        <w:footnoteRef/>
      </w:r>
      <w:r>
        <w:tab/>
      </w:r>
      <w:r w:rsidR="00337415" w:rsidRPr="00B11E66">
        <w:t>Conformément au programme de travail du Comité des transports intérieurs pour la période 2016-2017 (ECE/TRANS/2016/28/Add.1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E4" w:rsidRPr="00010AE4" w:rsidRDefault="00010AE4">
    <w:pPr>
      <w:pStyle w:val="En-tte"/>
    </w:pPr>
    <w:r>
      <w:t>ECE/TRANS/WP.15/2016/18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E4" w:rsidRPr="00010AE4" w:rsidRDefault="00010AE4" w:rsidP="00010AE4">
    <w:pPr>
      <w:pStyle w:val="En-tte"/>
      <w:jc w:val="right"/>
    </w:pPr>
    <w:r>
      <w:t>ECE/TRANS/WP.15/2016/18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F87D62"/>
    <w:rsid w:val="00010AE4"/>
    <w:rsid w:val="00017F94"/>
    <w:rsid w:val="00023842"/>
    <w:rsid w:val="000334F9"/>
    <w:rsid w:val="0007796D"/>
    <w:rsid w:val="000B7790"/>
    <w:rsid w:val="000C3E85"/>
    <w:rsid w:val="000D3EE9"/>
    <w:rsid w:val="000F671E"/>
    <w:rsid w:val="00111F2F"/>
    <w:rsid w:val="001433FD"/>
    <w:rsid w:val="0014365E"/>
    <w:rsid w:val="001541D3"/>
    <w:rsid w:val="00176178"/>
    <w:rsid w:val="001B4187"/>
    <w:rsid w:val="001F525A"/>
    <w:rsid w:val="00223272"/>
    <w:rsid w:val="0024779E"/>
    <w:rsid w:val="002832AC"/>
    <w:rsid w:val="002D7C93"/>
    <w:rsid w:val="00337415"/>
    <w:rsid w:val="00441C3B"/>
    <w:rsid w:val="00446B0A"/>
    <w:rsid w:val="00446FE5"/>
    <w:rsid w:val="00452396"/>
    <w:rsid w:val="004E468C"/>
    <w:rsid w:val="00516DA8"/>
    <w:rsid w:val="005316B0"/>
    <w:rsid w:val="005505B7"/>
    <w:rsid w:val="00550FB7"/>
    <w:rsid w:val="00573BE5"/>
    <w:rsid w:val="00586ED3"/>
    <w:rsid w:val="00596AA9"/>
    <w:rsid w:val="00602907"/>
    <w:rsid w:val="00706363"/>
    <w:rsid w:val="0071601D"/>
    <w:rsid w:val="00770236"/>
    <w:rsid w:val="007A62E6"/>
    <w:rsid w:val="0080684C"/>
    <w:rsid w:val="00871C75"/>
    <w:rsid w:val="008776DC"/>
    <w:rsid w:val="00887405"/>
    <w:rsid w:val="0089733F"/>
    <w:rsid w:val="009705C8"/>
    <w:rsid w:val="009C1CF4"/>
    <w:rsid w:val="00A30353"/>
    <w:rsid w:val="00AA113A"/>
    <w:rsid w:val="00AC3823"/>
    <w:rsid w:val="00AE323C"/>
    <w:rsid w:val="00B00181"/>
    <w:rsid w:val="00B00B0D"/>
    <w:rsid w:val="00B11E66"/>
    <w:rsid w:val="00B765F7"/>
    <w:rsid w:val="00BA0CA9"/>
    <w:rsid w:val="00C02897"/>
    <w:rsid w:val="00C27F09"/>
    <w:rsid w:val="00D17752"/>
    <w:rsid w:val="00D3439C"/>
    <w:rsid w:val="00DB1831"/>
    <w:rsid w:val="00DD3BFD"/>
    <w:rsid w:val="00DF6678"/>
    <w:rsid w:val="00EF2E22"/>
    <w:rsid w:val="00F115D2"/>
    <w:rsid w:val="00F221E2"/>
    <w:rsid w:val="00F660DF"/>
    <w:rsid w:val="00F87D62"/>
    <w:rsid w:val="00F902D6"/>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hps">
    <w:name w:val="hps"/>
    <w:basedOn w:val="Policepardfaut"/>
    <w:rsid w:val="00010AE4"/>
  </w:style>
  <w:style w:type="table" w:customStyle="1" w:styleId="TableGrid1">
    <w:name w:val="Table Grid1"/>
    <w:basedOn w:val="TableauNormal"/>
    <w:next w:val="Grilledutableau"/>
    <w:semiHidden/>
    <w:rsid w:val="00010AE4"/>
    <w:pPr>
      <w:suppressAutoHyphens/>
      <w:spacing w:after="0" w:line="240" w:lineRule="atLeast"/>
    </w:pPr>
    <w:rPr>
      <w:rFonts w:ascii="Times New Roman" w:hAnsi="Times New Roman" w:cs="Times New Roman"/>
      <w:sz w:val="20"/>
      <w:szCs w:val="20"/>
      <w:lang w:eastAsia="fr-CH" w:bidi="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link w:val="SingleTxtG"/>
    <w:rsid w:val="00550FB7"/>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hps">
    <w:name w:val="hps"/>
    <w:basedOn w:val="Policepardfaut"/>
    <w:rsid w:val="00010AE4"/>
  </w:style>
  <w:style w:type="table" w:customStyle="1" w:styleId="TableGrid1">
    <w:name w:val="Table Grid1"/>
    <w:basedOn w:val="TableauNormal"/>
    <w:next w:val="Grilledutableau"/>
    <w:semiHidden/>
    <w:rsid w:val="00010AE4"/>
    <w:pPr>
      <w:suppressAutoHyphens/>
      <w:spacing w:after="0" w:line="240" w:lineRule="atLeast"/>
    </w:pPr>
    <w:rPr>
      <w:rFonts w:ascii="Times New Roman" w:hAnsi="Times New Roman" w:cs="Times New Roman"/>
      <w:sz w:val="20"/>
      <w:szCs w:val="20"/>
      <w:lang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550FB7"/>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anger/publi/adr/guidelines/Lignes_directrices_relatives_au_certificat_d%E2%80%99agr%C3%A9ment.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Pages>
  <Words>679</Words>
  <Characters>3737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ECE/TRANS/WP.15/2016/18</vt:lpstr>
    </vt:vector>
  </TitlesOfParts>
  <Company>DCM</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ECE/TRANS/WP.15/2016/18</dc:title>
  <dc:creator>BEYSARD</dc:creator>
  <cp:lastModifiedBy>Maison</cp:lastModifiedBy>
  <cp:revision>2</cp:revision>
  <cp:lastPrinted>2016-09-27T06:20:00Z</cp:lastPrinted>
  <dcterms:created xsi:type="dcterms:W3CDTF">2016-09-27T12:41:00Z</dcterms:created>
  <dcterms:modified xsi:type="dcterms:W3CDTF">2016-09-27T12:41:00Z</dcterms:modified>
</cp:coreProperties>
</file>