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DC6" w:rsidRPr="000C6915" w:rsidRDefault="008C1DC6" w:rsidP="008C1DC6">
      <w:pPr>
        <w:spacing w:line="240" w:lineRule="auto"/>
        <w:rPr>
          <w:sz w:val="2"/>
          <w:lang w:val="fr-CH"/>
        </w:rPr>
        <w:sectPr w:rsidR="008C1DC6" w:rsidRPr="000C6915" w:rsidSect="008C1DC6">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8C1DC6" w:rsidRPr="000C6915" w:rsidRDefault="008C1DC6" w:rsidP="00077DC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0C6915">
        <w:rPr>
          <w:lang w:val="fr-CH"/>
        </w:rPr>
        <w:lastRenderedPageBreak/>
        <w:t>Commission économique pour l’Europe</w:t>
      </w:r>
    </w:p>
    <w:p w:rsidR="002214CF" w:rsidRPr="000C6915" w:rsidRDefault="002214CF" w:rsidP="002214CF">
      <w:pPr>
        <w:pStyle w:val="H1"/>
        <w:spacing w:line="120" w:lineRule="exact"/>
        <w:rPr>
          <w:b w:val="0"/>
          <w:sz w:val="10"/>
          <w:lang w:val="fr-CH"/>
        </w:rPr>
      </w:pPr>
    </w:p>
    <w:p w:rsidR="008C1DC6" w:rsidRPr="00077DC0" w:rsidRDefault="008C1DC6" w:rsidP="00077DC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bCs/>
          <w:lang w:val="fr-CH"/>
        </w:rPr>
      </w:pPr>
      <w:r w:rsidRPr="00077DC0">
        <w:rPr>
          <w:b w:val="0"/>
          <w:bCs/>
          <w:lang w:val="fr-CH"/>
        </w:rPr>
        <w:t>Comité des transports intérieurs</w:t>
      </w:r>
    </w:p>
    <w:p w:rsidR="008C1DC6" w:rsidRPr="000C6915" w:rsidRDefault="008C1DC6" w:rsidP="002214C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bookmarkStart w:id="1" w:name="TmpSave"/>
      <w:bookmarkEnd w:id="1"/>
    </w:p>
    <w:p w:rsidR="002214CF" w:rsidRPr="000C6915" w:rsidRDefault="002214CF" w:rsidP="005D661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0C6915">
        <w:rPr>
          <w:lang w:val="fr-CH"/>
        </w:rPr>
        <w:t xml:space="preserve">Groupe de travail des transports </w:t>
      </w:r>
      <w:r w:rsidR="005D6615">
        <w:rPr>
          <w:lang w:val="fr-CH"/>
        </w:rPr>
        <w:br/>
      </w:r>
      <w:r w:rsidRPr="000C6915">
        <w:rPr>
          <w:lang w:val="fr-CH"/>
        </w:rPr>
        <w:t>de marchandises dangereuses</w:t>
      </w:r>
    </w:p>
    <w:p w:rsidR="002214CF" w:rsidRPr="000C6915" w:rsidRDefault="002214CF" w:rsidP="002214C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b/>
          <w:bCs/>
          <w:sz w:val="10"/>
          <w:lang w:val="fr-CH"/>
        </w:rPr>
      </w:pPr>
    </w:p>
    <w:p w:rsidR="002214CF" w:rsidRPr="000C6915" w:rsidRDefault="002214CF" w:rsidP="002214C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bCs/>
          <w:lang w:val="fr-CH"/>
        </w:rPr>
      </w:pPr>
      <w:r w:rsidRPr="000C6915">
        <w:rPr>
          <w:b/>
          <w:bCs/>
          <w:lang w:val="fr-CH"/>
        </w:rPr>
        <w:t>Réunion commune de la Commission d’experts du RID</w:t>
      </w:r>
      <w:r w:rsidR="005D6615">
        <w:rPr>
          <w:b/>
          <w:bCs/>
          <w:lang w:val="fr-CH"/>
        </w:rPr>
        <w:t xml:space="preserve"> </w:t>
      </w:r>
      <w:r w:rsidRPr="000C6915">
        <w:rPr>
          <w:b/>
          <w:bCs/>
          <w:lang w:val="fr-CH"/>
        </w:rPr>
        <w:br/>
        <w:t xml:space="preserve">et du Groupe de travail des transports </w:t>
      </w:r>
      <w:r w:rsidRPr="000C6915">
        <w:rPr>
          <w:b/>
          <w:bCs/>
          <w:lang w:val="fr-CH"/>
        </w:rPr>
        <w:br/>
        <w:t>de marchandises dangereuses</w:t>
      </w:r>
    </w:p>
    <w:p w:rsidR="002214CF" w:rsidRPr="000C6915" w:rsidRDefault="002214CF" w:rsidP="002214C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0C6915">
        <w:rPr>
          <w:lang w:val="fr-CH"/>
        </w:rPr>
        <w:t>Genève, 15-25 septembre 2015</w:t>
      </w:r>
    </w:p>
    <w:p w:rsidR="002214CF" w:rsidRPr="000C6915" w:rsidRDefault="002214CF" w:rsidP="002214C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0C6915">
        <w:rPr>
          <w:lang w:val="fr-CH"/>
        </w:rPr>
        <w:t>Point 3 b) de l’ordre du jour provisoire</w:t>
      </w:r>
    </w:p>
    <w:p w:rsidR="002214CF" w:rsidRPr="000C6915" w:rsidRDefault="002214CF" w:rsidP="002214C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bCs/>
          <w:lang w:val="fr-CH"/>
        </w:rPr>
      </w:pPr>
      <w:r w:rsidRPr="000C6915">
        <w:rPr>
          <w:b/>
          <w:bCs/>
          <w:lang w:val="fr-CH"/>
        </w:rPr>
        <w:t>Propositions d’amendements au RID/ADR/ADN :</w:t>
      </w:r>
      <w:r w:rsidR="005D6615">
        <w:rPr>
          <w:b/>
          <w:bCs/>
          <w:lang w:val="fr-CH"/>
        </w:rPr>
        <w:t xml:space="preserve"> </w:t>
      </w:r>
      <w:r w:rsidRPr="000C6915">
        <w:rPr>
          <w:b/>
          <w:bCs/>
          <w:lang w:val="fr-CH"/>
        </w:rPr>
        <w:br/>
        <w:t>Nouvelles propositions</w:t>
      </w:r>
    </w:p>
    <w:p w:rsidR="002214CF" w:rsidRPr="000C6915" w:rsidRDefault="002214CF" w:rsidP="002214CF">
      <w:pPr>
        <w:pStyle w:val="SingleTxt"/>
        <w:spacing w:after="0" w:line="120" w:lineRule="exact"/>
        <w:rPr>
          <w:b/>
          <w:sz w:val="10"/>
          <w:lang w:val="fr-CH"/>
        </w:rPr>
      </w:pPr>
    </w:p>
    <w:p w:rsidR="002214CF" w:rsidRPr="005D6615" w:rsidRDefault="002214CF" w:rsidP="005D6615">
      <w:pPr>
        <w:pStyle w:val="SingleTxt"/>
        <w:spacing w:after="0" w:line="120" w:lineRule="exact"/>
        <w:rPr>
          <w:b/>
          <w:sz w:val="10"/>
          <w:lang w:val="fr-CH"/>
        </w:rPr>
      </w:pPr>
    </w:p>
    <w:p w:rsidR="005D6615" w:rsidRPr="000C6915" w:rsidRDefault="005D6615" w:rsidP="002214CF">
      <w:pPr>
        <w:pStyle w:val="SingleTxt"/>
        <w:spacing w:after="0" w:line="120" w:lineRule="exact"/>
        <w:rPr>
          <w:b/>
          <w:sz w:val="10"/>
          <w:lang w:val="fr-CH"/>
        </w:rPr>
      </w:pPr>
    </w:p>
    <w:p w:rsidR="002214CF" w:rsidRPr="000C6915" w:rsidRDefault="002214CF" w:rsidP="002214C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C6915">
        <w:rPr>
          <w:lang w:val="fr-CH"/>
        </w:rPr>
        <w:tab/>
      </w:r>
      <w:r w:rsidRPr="000C6915">
        <w:rPr>
          <w:lang w:val="fr-CH"/>
        </w:rPr>
        <w:tab/>
        <w:t>Mesures transitoires</w:t>
      </w:r>
    </w:p>
    <w:p w:rsidR="002214CF" w:rsidRPr="000C6915" w:rsidRDefault="002214CF" w:rsidP="002214CF">
      <w:pPr>
        <w:pStyle w:val="SingleTxt"/>
        <w:spacing w:after="0" w:line="120" w:lineRule="exact"/>
        <w:rPr>
          <w:b/>
          <w:sz w:val="10"/>
          <w:lang w:val="fr-CH"/>
        </w:rPr>
      </w:pPr>
    </w:p>
    <w:p w:rsidR="002214CF" w:rsidRPr="000C6915" w:rsidRDefault="002214CF" w:rsidP="002214CF">
      <w:pPr>
        <w:pStyle w:val="SingleTxt"/>
        <w:spacing w:after="0" w:line="120" w:lineRule="exact"/>
        <w:rPr>
          <w:b/>
          <w:sz w:val="10"/>
          <w:lang w:val="fr-CH"/>
        </w:rPr>
      </w:pPr>
    </w:p>
    <w:p w:rsidR="002214CF" w:rsidRPr="000C6915" w:rsidRDefault="002214CF" w:rsidP="002214C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C6915">
        <w:rPr>
          <w:lang w:val="fr-CH"/>
        </w:rPr>
        <w:tab/>
      </w:r>
      <w:r w:rsidRPr="000C6915">
        <w:rPr>
          <w:lang w:val="fr-CH"/>
        </w:rPr>
        <w:tab/>
        <w:t>Note du secrétariat de l’OTIF et du secrétariat de la CEE</w:t>
      </w:r>
      <w:r w:rsidRPr="000C6915">
        <w:rPr>
          <w:rStyle w:val="FootnoteReference"/>
          <w:b w:val="0"/>
          <w:color w:val="auto"/>
          <w:sz w:val="20"/>
        </w:rPr>
        <w:footnoteReference w:id="1"/>
      </w:r>
      <w:r w:rsidRPr="000C6915">
        <w:rPr>
          <w:b w:val="0"/>
          <w:vertAlign w:val="superscript"/>
          <w:lang w:val="fr-CH"/>
        </w:rPr>
        <w:t>,</w:t>
      </w:r>
      <w:r w:rsidRPr="000C6915">
        <w:rPr>
          <w:b w:val="0"/>
          <w:lang w:val="fr-CH"/>
        </w:rPr>
        <w:t xml:space="preserve"> </w:t>
      </w:r>
      <w:r w:rsidRPr="000C6915">
        <w:rPr>
          <w:rStyle w:val="FootnoteReference"/>
          <w:b w:val="0"/>
          <w:color w:val="auto"/>
          <w:sz w:val="20"/>
        </w:rPr>
        <w:footnoteReference w:id="2"/>
      </w:r>
    </w:p>
    <w:p w:rsidR="002214CF" w:rsidRPr="000C6915" w:rsidRDefault="002214CF" w:rsidP="002214CF">
      <w:pPr>
        <w:pStyle w:val="SingleTxt"/>
        <w:spacing w:after="0" w:line="120" w:lineRule="exact"/>
        <w:rPr>
          <w:sz w:val="10"/>
          <w:lang w:val="fr-CH"/>
        </w:rPr>
      </w:pPr>
    </w:p>
    <w:p w:rsidR="002214CF" w:rsidRPr="000C6915" w:rsidRDefault="002214CF" w:rsidP="002214CF">
      <w:pPr>
        <w:pStyle w:val="SingleTxt"/>
        <w:spacing w:after="0" w:line="120" w:lineRule="exact"/>
        <w:rPr>
          <w:sz w:val="10"/>
          <w:lang w:val="fr-CH"/>
        </w:rPr>
      </w:pPr>
    </w:p>
    <w:p w:rsidR="002214CF" w:rsidRPr="000C6915" w:rsidRDefault="002214CF" w:rsidP="002214CF">
      <w:pPr>
        <w:pStyle w:val="SingleTxt"/>
        <w:rPr>
          <w:lang w:val="fr-CH"/>
        </w:rPr>
      </w:pPr>
      <w:r w:rsidRPr="000C6915">
        <w:rPr>
          <w:lang w:val="fr-CH"/>
        </w:rPr>
        <w:tab/>
        <w:t>La Réunion commune souhaitera peut-être examiner les suppressions ou modifications des mesures transitoires suivantes qui figurent dans le RID/ADR 2017.</w:t>
      </w:r>
    </w:p>
    <w:p w:rsidR="002214CF" w:rsidRPr="000C6915" w:rsidRDefault="002214CF" w:rsidP="002214CF">
      <w:pPr>
        <w:pStyle w:val="SingleTxt"/>
        <w:spacing w:after="0" w:line="120" w:lineRule="exact"/>
        <w:rPr>
          <w:b/>
          <w:sz w:val="10"/>
          <w:lang w:val="fr-CH"/>
        </w:rPr>
      </w:pPr>
    </w:p>
    <w:p w:rsidR="002214CF" w:rsidRPr="000C6915" w:rsidRDefault="002214CF" w:rsidP="002214CF">
      <w:pPr>
        <w:pStyle w:val="SingleTxt"/>
        <w:spacing w:after="0" w:line="120" w:lineRule="exact"/>
        <w:rPr>
          <w:b/>
          <w:sz w:val="10"/>
          <w:lang w:val="fr-CH"/>
        </w:rPr>
      </w:pPr>
    </w:p>
    <w:p w:rsidR="002214CF" w:rsidRPr="000C6915" w:rsidRDefault="002214CF" w:rsidP="002214C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C6915">
        <w:rPr>
          <w:lang w:val="fr-CH"/>
        </w:rPr>
        <w:tab/>
      </w:r>
      <w:r w:rsidRPr="000C6915">
        <w:rPr>
          <w:lang w:val="fr-CH"/>
        </w:rPr>
        <w:tab/>
        <w:t>Mesures transitoires générales :</w:t>
      </w:r>
    </w:p>
    <w:p w:rsidR="002214CF" w:rsidRPr="000C6915" w:rsidRDefault="002214CF" w:rsidP="002214CF">
      <w:pPr>
        <w:pStyle w:val="SingleTxt"/>
        <w:spacing w:after="0" w:line="120" w:lineRule="exact"/>
        <w:rPr>
          <w:b/>
          <w:sz w:val="10"/>
          <w:lang w:val="fr-CH"/>
        </w:rPr>
      </w:pPr>
    </w:p>
    <w:p w:rsidR="002214CF" w:rsidRPr="000C6915" w:rsidRDefault="002214CF" w:rsidP="002214CF">
      <w:pPr>
        <w:pStyle w:val="SingleTxt"/>
        <w:spacing w:after="0" w:line="120" w:lineRule="exact"/>
        <w:rPr>
          <w:b/>
          <w:sz w:val="10"/>
          <w:lang w:val="fr-CH"/>
        </w:rPr>
      </w:pPr>
    </w:p>
    <w:p w:rsidR="002214CF" w:rsidRPr="000C6915" w:rsidRDefault="002214CF" w:rsidP="002214CF">
      <w:pPr>
        <w:pStyle w:val="SingleTxt"/>
        <w:rPr>
          <w:lang w:val="fr-CH"/>
        </w:rPr>
      </w:pPr>
      <w:r w:rsidRPr="000C6915">
        <w:rPr>
          <w:b/>
          <w:lang w:val="fr-CH"/>
        </w:rPr>
        <w:t>1.6.1.1</w:t>
      </w:r>
      <w:r w:rsidRPr="000C6915">
        <w:rPr>
          <w:lang w:val="fr-CH"/>
        </w:rPr>
        <w:tab/>
        <w:t>Modifier « 30 juin 2015 » comme suit :</w:t>
      </w:r>
    </w:p>
    <w:p w:rsidR="002214CF" w:rsidRPr="000C6915" w:rsidRDefault="002214CF" w:rsidP="002214CF">
      <w:pPr>
        <w:pStyle w:val="SingleTxt"/>
        <w:rPr>
          <w:lang w:val="fr-CH"/>
        </w:rPr>
      </w:pPr>
      <w:r w:rsidRPr="000C6915">
        <w:rPr>
          <w:lang w:val="fr-CH"/>
        </w:rPr>
        <w:tab/>
      </w:r>
      <w:r w:rsidRPr="000C6915">
        <w:rPr>
          <w:lang w:val="fr-CH"/>
        </w:rPr>
        <w:tab/>
        <w:t>« 30 juin 2017 ».</w:t>
      </w:r>
    </w:p>
    <w:p w:rsidR="002214CF" w:rsidRPr="000C6915" w:rsidRDefault="002214CF" w:rsidP="002214CF">
      <w:pPr>
        <w:pStyle w:val="SingleTxt"/>
        <w:rPr>
          <w:lang w:val="fr-CH"/>
        </w:rPr>
      </w:pPr>
      <w:r w:rsidRPr="000C6915">
        <w:rPr>
          <w:lang w:val="fr-CH"/>
        </w:rPr>
        <w:tab/>
      </w:r>
      <w:r w:rsidRPr="000C6915">
        <w:rPr>
          <w:lang w:val="fr-CH"/>
        </w:rPr>
        <w:tab/>
        <w:t>Modifier « 31 décembre 2014 » comme suit :</w:t>
      </w:r>
    </w:p>
    <w:p w:rsidR="002214CF" w:rsidRPr="000C6915" w:rsidRDefault="002214CF" w:rsidP="002214CF">
      <w:pPr>
        <w:pStyle w:val="SingleTxt"/>
        <w:rPr>
          <w:lang w:val="fr-CH"/>
        </w:rPr>
      </w:pPr>
      <w:r w:rsidRPr="000C6915">
        <w:rPr>
          <w:lang w:val="fr-CH"/>
        </w:rPr>
        <w:tab/>
      </w:r>
      <w:r w:rsidRPr="000C6915">
        <w:rPr>
          <w:lang w:val="fr-CH"/>
        </w:rPr>
        <w:tab/>
        <w:t>« 31 décembre 2016 ».</w:t>
      </w:r>
    </w:p>
    <w:p w:rsidR="002214CF" w:rsidRPr="000C6915" w:rsidRDefault="002214CF" w:rsidP="002214CF">
      <w:pPr>
        <w:pStyle w:val="SingleTxt"/>
        <w:ind w:left="2218" w:hanging="951"/>
        <w:rPr>
          <w:lang w:val="fr-CH"/>
        </w:rPr>
      </w:pPr>
      <w:r w:rsidRPr="000C6915">
        <w:rPr>
          <w:lang w:val="fr-CH"/>
        </w:rPr>
        <w:tab/>
      </w:r>
      <w:r w:rsidRPr="000C6915">
        <w:rPr>
          <w:lang w:val="fr-CH"/>
        </w:rPr>
        <w:tab/>
        <w:t>(RID seulement :) Dans la note de bas de page 1, modifier « 1</w:t>
      </w:r>
      <w:r w:rsidRPr="000C6915">
        <w:rPr>
          <w:vertAlign w:val="superscript"/>
          <w:lang w:val="fr-CH"/>
        </w:rPr>
        <w:t>er</w:t>
      </w:r>
      <w:r w:rsidRPr="000C6915">
        <w:rPr>
          <w:lang w:val="fr-CH"/>
        </w:rPr>
        <w:t> janvier 2013 » comme suit :</w:t>
      </w:r>
    </w:p>
    <w:p w:rsidR="002214CF" w:rsidRPr="000C6915" w:rsidRDefault="002214CF" w:rsidP="002214CF">
      <w:pPr>
        <w:pStyle w:val="SingleTxt"/>
        <w:rPr>
          <w:lang w:val="fr-CH"/>
        </w:rPr>
      </w:pPr>
      <w:r w:rsidRPr="000C6915">
        <w:rPr>
          <w:lang w:val="fr-CH"/>
        </w:rPr>
        <w:tab/>
      </w:r>
      <w:r w:rsidRPr="000C6915">
        <w:rPr>
          <w:lang w:val="fr-CH"/>
        </w:rPr>
        <w:tab/>
        <w:t>« 1</w:t>
      </w:r>
      <w:r w:rsidRPr="000C6915">
        <w:rPr>
          <w:vertAlign w:val="superscript"/>
          <w:lang w:val="fr-CH"/>
        </w:rPr>
        <w:t>er</w:t>
      </w:r>
      <w:r w:rsidRPr="000C6915">
        <w:rPr>
          <w:lang w:val="fr-CH"/>
        </w:rPr>
        <w:t> janvier 2015 ».</w:t>
      </w:r>
    </w:p>
    <w:p w:rsidR="002214CF" w:rsidRPr="000C6915" w:rsidRDefault="002214CF" w:rsidP="002214CF">
      <w:pPr>
        <w:pStyle w:val="SingleTxt"/>
        <w:rPr>
          <w:lang w:val="fr-CH"/>
        </w:rPr>
      </w:pPr>
      <w:r w:rsidRPr="000C6915">
        <w:rPr>
          <w:b/>
          <w:lang w:val="fr-CH"/>
        </w:rPr>
        <w:t>[1.6.1.7</w:t>
      </w:r>
      <w:r w:rsidRPr="000C6915">
        <w:rPr>
          <w:lang w:val="fr-CH"/>
        </w:rPr>
        <w:tab/>
        <w:t>Modifier comme suit :</w:t>
      </w:r>
    </w:p>
    <w:p w:rsidR="002214CF" w:rsidRPr="000C6915" w:rsidRDefault="002214CF" w:rsidP="00077DC0">
      <w:pPr>
        <w:pStyle w:val="SingleTxt"/>
        <w:rPr>
          <w:lang w:val="fr-CH"/>
        </w:rPr>
      </w:pPr>
      <w:r w:rsidRPr="000C6915">
        <w:rPr>
          <w:lang w:val="fr-CH"/>
        </w:rPr>
        <w:tab/>
      </w:r>
      <w:r w:rsidRPr="000C6915">
        <w:rPr>
          <w:lang w:val="fr-CH"/>
        </w:rPr>
        <w:tab/>
        <w:t>« (Supprimé) ».]</w:t>
      </w:r>
    </w:p>
    <w:p w:rsidR="002214CF" w:rsidRPr="000C6915" w:rsidRDefault="002214CF" w:rsidP="005D6615">
      <w:pPr>
        <w:pStyle w:val="SingleTxt"/>
        <w:ind w:left="2218" w:hanging="951"/>
        <w:rPr>
          <w:i/>
          <w:iCs/>
          <w:lang w:val="fr-CH"/>
        </w:rPr>
      </w:pPr>
      <w:r w:rsidRPr="000C6915">
        <w:rPr>
          <w:lang w:val="fr-CH"/>
        </w:rPr>
        <w:lastRenderedPageBreak/>
        <w:tab/>
      </w:r>
      <w:r w:rsidRPr="000C6915">
        <w:rPr>
          <w:lang w:val="fr-CH"/>
        </w:rPr>
        <w:tab/>
      </w:r>
      <w:r w:rsidRPr="000C6915">
        <w:rPr>
          <w:i/>
          <w:iCs/>
          <w:lang w:val="fr-CH"/>
        </w:rPr>
        <w:t>Justification : Conformément au paragraphe</w:t>
      </w:r>
      <w:r w:rsidR="005D6615">
        <w:rPr>
          <w:i/>
          <w:iCs/>
          <w:lang w:val="fr-CH"/>
        </w:rPr>
        <w:t xml:space="preserve"> </w:t>
      </w:r>
      <w:r w:rsidRPr="000C6915">
        <w:rPr>
          <w:i/>
          <w:iCs/>
          <w:lang w:val="fr-CH"/>
        </w:rPr>
        <w:t>4.1.1.15, la durée d’utilisation admise est de cinq ans. Comme les homologations de type mentionnées dans la disposition transitoire étaient valable jusqu’au 31 décembre 2009, la durée d’utilisation des emballages en polyéthylène de masse moléculaire élevée ou moyenne fabriqués avant le 31 décembre 2009 conformément à l’agrément de type doit avoir expiré le 31 décembre 2014. La proposition est maintenue entre crochets car le paragraphe 4.1.1.15 permet à l’autorité compétente d’approuver une durée d’utilisation plus longue.</w:t>
      </w:r>
    </w:p>
    <w:p w:rsidR="002214CF" w:rsidRPr="000C6915" w:rsidRDefault="002214CF" w:rsidP="002214CF">
      <w:pPr>
        <w:pStyle w:val="SingleTxt"/>
        <w:rPr>
          <w:lang w:val="fr-CH"/>
        </w:rPr>
      </w:pPr>
      <w:r w:rsidRPr="000C6915">
        <w:rPr>
          <w:b/>
          <w:lang w:val="fr-CH"/>
        </w:rPr>
        <w:t>1.6.1.20</w:t>
      </w:r>
      <w:r w:rsidRPr="000C6915">
        <w:rPr>
          <w:lang w:val="fr-CH"/>
        </w:rPr>
        <w:tab/>
        <w:t>Modifier comme suit :</w:t>
      </w:r>
    </w:p>
    <w:p w:rsidR="002214CF" w:rsidRPr="000C6915" w:rsidRDefault="002214CF" w:rsidP="002214CF">
      <w:pPr>
        <w:pStyle w:val="SingleTxt"/>
        <w:rPr>
          <w:lang w:val="fr-CH"/>
        </w:rPr>
      </w:pPr>
      <w:r w:rsidRPr="000C6915">
        <w:rPr>
          <w:lang w:val="fr-CH"/>
        </w:rPr>
        <w:tab/>
      </w:r>
      <w:r w:rsidRPr="000C6915">
        <w:rPr>
          <w:lang w:val="fr-CH"/>
        </w:rPr>
        <w:tab/>
        <w:t>« (Supprimé) ».</w:t>
      </w:r>
    </w:p>
    <w:p w:rsidR="002214CF" w:rsidRPr="000C6915" w:rsidRDefault="002214CF" w:rsidP="002214CF">
      <w:pPr>
        <w:pStyle w:val="SingleTxt"/>
        <w:rPr>
          <w:i/>
          <w:iCs/>
          <w:lang w:val="fr-CH"/>
        </w:rPr>
      </w:pPr>
      <w:r w:rsidRPr="000C6915">
        <w:rPr>
          <w:i/>
          <w:iCs/>
          <w:lang w:val="fr-CH"/>
        </w:rPr>
        <w:t>Note : Pour 1.6.1.25, voir ECE/TRANS/WP.15/AC.1/2015/23/Add.1.</w:t>
      </w:r>
    </w:p>
    <w:p w:rsidR="002214CF" w:rsidRPr="000C6915" w:rsidRDefault="002214CF" w:rsidP="002214CF">
      <w:pPr>
        <w:pStyle w:val="SingleTxt"/>
        <w:rPr>
          <w:lang w:val="fr-CH"/>
        </w:rPr>
      </w:pPr>
      <w:r w:rsidRPr="000C6915">
        <w:rPr>
          <w:b/>
          <w:lang w:val="fr-CH"/>
        </w:rPr>
        <w:t>1.6.1.28</w:t>
      </w:r>
      <w:r w:rsidRPr="000C6915">
        <w:rPr>
          <w:lang w:val="fr-CH"/>
        </w:rPr>
        <w:tab/>
        <w:t>Modifier comme suit :</w:t>
      </w:r>
    </w:p>
    <w:p w:rsidR="002214CF" w:rsidRPr="000C6915" w:rsidRDefault="002214CF" w:rsidP="002214CF">
      <w:pPr>
        <w:pStyle w:val="SingleTxt"/>
        <w:rPr>
          <w:lang w:val="fr-CH"/>
        </w:rPr>
      </w:pPr>
      <w:r w:rsidRPr="000C6915">
        <w:rPr>
          <w:lang w:val="fr-CH"/>
        </w:rPr>
        <w:tab/>
      </w:r>
      <w:r w:rsidRPr="000C6915">
        <w:rPr>
          <w:lang w:val="fr-CH"/>
        </w:rPr>
        <w:tab/>
        <w:t>« (Supprimé) ».</w:t>
      </w:r>
    </w:p>
    <w:p w:rsidR="002214CF" w:rsidRPr="000C6915" w:rsidRDefault="002214CF" w:rsidP="002214CF">
      <w:pPr>
        <w:pStyle w:val="SingleTxt"/>
        <w:rPr>
          <w:lang w:val="fr-CH"/>
        </w:rPr>
      </w:pPr>
      <w:r w:rsidRPr="000C6915">
        <w:rPr>
          <w:b/>
          <w:lang w:val="fr-CH"/>
        </w:rPr>
        <w:t>1.6.1.30</w:t>
      </w:r>
      <w:r w:rsidRPr="000C6915">
        <w:rPr>
          <w:lang w:val="fr-CH"/>
        </w:rPr>
        <w:tab/>
        <w:t>Modifier comme suit :</w:t>
      </w:r>
    </w:p>
    <w:p w:rsidR="002214CF" w:rsidRPr="000C6915" w:rsidRDefault="002214CF" w:rsidP="002214CF">
      <w:pPr>
        <w:pStyle w:val="SingleTxt"/>
        <w:rPr>
          <w:lang w:val="fr-CH"/>
        </w:rPr>
      </w:pPr>
      <w:r w:rsidRPr="000C6915">
        <w:rPr>
          <w:lang w:val="fr-CH"/>
        </w:rPr>
        <w:tab/>
      </w:r>
      <w:r w:rsidRPr="000C6915">
        <w:rPr>
          <w:lang w:val="fr-CH"/>
        </w:rPr>
        <w:tab/>
        <w:t>« (Supprimé) ».</w:t>
      </w:r>
    </w:p>
    <w:p w:rsidR="002214CF" w:rsidRPr="000C6915" w:rsidRDefault="002214CF" w:rsidP="002214CF">
      <w:pPr>
        <w:pStyle w:val="SingleTxt"/>
        <w:rPr>
          <w:lang w:val="fr-CH"/>
        </w:rPr>
      </w:pPr>
      <w:r w:rsidRPr="000C6915">
        <w:rPr>
          <w:b/>
          <w:lang w:val="fr-CH"/>
        </w:rPr>
        <w:t>1.6.1.31</w:t>
      </w:r>
      <w:r w:rsidRPr="000C6915">
        <w:rPr>
          <w:lang w:val="fr-CH"/>
        </w:rPr>
        <w:tab/>
        <w:t>Modifier comme suit :</w:t>
      </w:r>
    </w:p>
    <w:p w:rsidR="002214CF" w:rsidRPr="000C6915" w:rsidRDefault="002214CF" w:rsidP="002214CF">
      <w:pPr>
        <w:pStyle w:val="SingleTxt"/>
        <w:rPr>
          <w:lang w:val="fr-CH"/>
        </w:rPr>
      </w:pPr>
      <w:r w:rsidRPr="000C6915">
        <w:rPr>
          <w:lang w:val="fr-CH"/>
        </w:rPr>
        <w:tab/>
      </w:r>
      <w:r w:rsidRPr="000C6915">
        <w:rPr>
          <w:lang w:val="fr-CH"/>
        </w:rPr>
        <w:tab/>
        <w:t>« (Supprimé) ».</w:t>
      </w:r>
    </w:p>
    <w:p w:rsidR="002214CF" w:rsidRPr="000C6915" w:rsidRDefault="002214CF" w:rsidP="002214CF">
      <w:pPr>
        <w:pStyle w:val="SingleTxt"/>
        <w:rPr>
          <w:lang w:val="fr-CH"/>
        </w:rPr>
      </w:pPr>
      <w:r w:rsidRPr="000C6915">
        <w:rPr>
          <w:b/>
          <w:lang w:val="fr-CH"/>
        </w:rPr>
        <w:t>1.6.1.32</w:t>
      </w:r>
      <w:r w:rsidRPr="000C6915">
        <w:rPr>
          <w:lang w:val="fr-CH"/>
        </w:rPr>
        <w:tab/>
        <w:t>Modifier comme suit :</w:t>
      </w:r>
    </w:p>
    <w:p w:rsidR="002214CF" w:rsidRPr="000C6915" w:rsidRDefault="002214CF" w:rsidP="002214CF">
      <w:pPr>
        <w:pStyle w:val="SingleTxt"/>
        <w:rPr>
          <w:lang w:val="fr-CH"/>
        </w:rPr>
      </w:pPr>
      <w:r w:rsidRPr="000C6915">
        <w:rPr>
          <w:lang w:val="fr-CH"/>
        </w:rPr>
        <w:tab/>
      </w:r>
      <w:r w:rsidRPr="000C6915">
        <w:rPr>
          <w:lang w:val="fr-CH"/>
        </w:rPr>
        <w:tab/>
        <w:t>« (Supprimé) ».</w:t>
      </w:r>
    </w:p>
    <w:p w:rsidR="002214CF" w:rsidRPr="000C6915" w:rsidRDefault="002214CF" w:rsidP="002214CF">
      <w:pPr>
        <w:pStyle w:val="SingleTxt"/>
        <w:spacing w:after="0" w:line="120" w:lineRule="exact"/>
        <w:rPr>
          <w:b/>
          <w:sz w:val="10"/>
          <w:lang w:val="fr-CH"/>
        </w:rPr>
      </w:pPr>
    </w:p>
    <w:p w:rsidR="002214CF" w:rsidRPr="000C6915" w:rsidRDefault="002214CF" w:rsidP="002214CF">
      <w:pPr>
        <w:pStyle w:val="SingleTxt"/>
        <w:spacing w:after="0" w:line="120" w:lineRule="exact"/>
        <w:rPr>
          <w:b/>
          <w:sz w:val="10"/>
          <w:lang w:val="fr-CH"/>
        </w:rPr>
      </w:pPr>
    </w:p>
    <w:p w:rsidR="002214CF" w:rsidRPr="000C6915" w:rsidRDefault="002214CF" w:rsidP="002214C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C6915">
        <w:rPr>
          <w:lang w:val="fr-CH"/>
        </w:rPr>
        <w:tab/>
      </w:r>
      <w:r w:rsidRPr="000C6915">
        <w:rPr>
          <w:lang w:val="fr-CH"/>
        </w:rPr>
        <w:tab/>
        <w:t xml:space="preserve">Mesures provisoires applicables aux citernes (pour examen </w:t>
      </w:r>
      <w:r w:rsidRPr="000C6915">
        <w:rPr>
          <w:lang w:val="fr-CH"/>
        </w:rPr>
        <w:br/>
        <w:t>par le Groupe de travail sur les citernes) :</w:t>
      </w:r>
    </w:p>
    <w:p w:rsidR="002214CF" w:rsidRPr="000C6915" w:rsidRDefault="002214CF" w:rsidP="002214CF">
      <w:pPr>
        <w:pStyle w:val="SingleTxt"/>
        <w:spacing w:after="0" w:line="120" w:lineRule="exact"/>
        <w:rPr>
          <w:sz w:val="10"/>
          <w:lang w:val="fr-CH"/>
        </w:rPr>
      </w:pPr>
    </w:p>
    <w:p w:rsidR="002214CF" w:rsidRPr="000C6915" w:rsidRDefault="002214CF" w:rsidP="002214CF">
      <w:pPr>
        <w:pStyle w:val="SingleTxt"/>
        <w:spacing w:after="0" w:line="120" w:lineRule="exact"/>
        <w:rPr>
          <w:sz w:val="10"/>
          <w:lang w:val="fr-CH"/>
        </w:rPr>
      </w:pPr>
    </w:p>
    <w:p w:rsidR="002214CF" w:rsidRPr="000C6915" w:rsidRDefault="002214CF" w:rsidP="002214CF">
      <w:pPr>
        <w:pStyle w:val="SingleTxt"/>
        <w:rPr>
          <w:lang w:val="fr-CH"/>
        </w:rPr>
      </w:pPr>
      <w:r w:rsidRPr="000C6915">
        <w:rPr>
          <w:lang w:val="fr-CH"/>
        </w:rPr>
        <w:t>(RID seulement :)</w:t>
      </w:r>
    </w:p>
    <w:p w:rsidR="002214CF" w:rsidRPr="000C6915" w:rsidRDefault="002214CF" w:rsidP="005D6615">
      <w:pPr>
        <w:pStyle w:val="SingleTxt"/>
        <w:rPr>
          <w:lang w:val="fr-CH"/>
        </w:rPr>
      </w:pPr>
      <w:r w:rsidRPr="000C6915">
        <w:rPr>
          <w:b/>
          <w:lang w:val="fr-CH"/>
        </w:rPr>
        <w:t>1.6.3.32</w:t>
      </w:r>
      <w:r w:rsidRPr="000C6915">
        <w:rPr>
          <w:lang w:val="fr-CH"/>
        </w:rPr>
        <w:tab/>
      </w:r>
      <w:r w:rsidR="005D6615">
        <w:rPr>
          <w:lang w:val="fr-CH"/>
        </w:rPr>
        <w:t>À</w:t>
      </w:r>
      <w:r w:rsidRPr="000C6915">
        <w:rPr>
          <w:lang w:val="fr-CH"/>
        </w:rPr>
        <w:t xml:space="preserve"> la fin, supprimer :</w:t>
      </w:r>
    </w:p>
    <w:p w:rsidR="002214CF" w:rsidRPr="000C6915" w:rsidRDefault="002214CF" w:rsidP="002214CF">
      <w:pPr>
        <w:pStyle w:val="SingleTxt"/>
        <w:rPr>
          <w:lang w:val="fr-CH"/>
        </w:rPr>
      </w:pPr>
      <w:r w:rsidRPr="000C6915">
        <w:rPr>
          <w:lang w:val="fr-CH"/>
        </w:rPr>
        <w:tab/>
      </w:r>
      <w:r w:rsidRPr="000C6915">
        <w:rPr>
          <w:lang w:val="fr-CH"/>
        </w:rPr>
        <w:tab/>
        <w:t>« </w:t>
      </w:r>
      <w:proofErr w:type="gramStart"/>
      <w:r w:rsidRPr="000C6915">
        <w:rPr>
          <w:lang w:val="fr-CH"/>
        </w:rPr>
        <w:t>au</w:t>
      </w:r>
      <w:proofErr w:type="gramEnd"/>
      <w:r w:rsidRPr="000C6915">
        <w:rPr>
          <w:lang w:val="fr-CH"/>
        </w:rPr>
        <w:t xml:space="preserve"> plus tard le 31 décembre 2014 ».</w:t>
      </w:r>
    </w:p>
    <w:p w:rsidR="002214CF" w:rsidRPr="000C6915" w:rsidRDefault="002214CF" w:rsidP="002214CF">
      <w:pPr>
        <w:pStyle w:val="SingleTxt"/>
        <w:rPr>
          <w:lang w:val="fr-CH"/>
        </w:rPr>
      </w:pPr>
      <w:r w:rsidRPr="000C6915">
        <w:rPr>
          <w:b/>
          <w:lang w:val="fr-CH"/>
        </w:rPr>
        <w:t>1.6.3.40</w:t>
      </w:r>
      <w:r w:rsidRPr="000C6915">
        <w:rPr>
          <w:lang w:val="fr-CH"/>
        </w:rPr>
        <w:tab/>
        <w:t>Modifier comme suit :</w:t>
      </w:r>
    </w:p>
    <w:p w:rsidR="002214CF" w:rsidRPr="000C6915" w:rsidRDefault="002214CF" w:rsidP="002214CF">
      <w:pPr>
        <w:pStyle w:val="SingleTxt"/>
        <w:rPr>
          <w:lang w:val="fr-CH"/>
        </w:rPr>
      </w:pPr>
      <w:r w:rsidRPr="000C6915">
        <w:rPr>
          <w:lang w:val="fr-CH"/>
        </w:rPr>
        <w:tab/>
      </w:r>
      <w:r w:rsidRPr="000C6915">
        <w:rPr>
          <w:lang w:val="fr-CH"/>
        </w:rPr>
        <w:tab/>
        <w:t>« (Supprimé) ».</w:t>
      </w:r>
    </w:p>
    <w:p w:rsidR="002214CF" w:rsidRPr="000C6915" w:rsidRDefault="002214CF" w:rsidP="002214CF">
      <w:pPr>
        <w:pStyle w:val="SingleTxt"/>
        <w:rPr>
          <w:lang w:val="fr-CH"/>
        </w:rPr>
      </w:pPr>
      <w:r w:rsidRPr="000C6915">
        <w:rPr>
          <w:b/>
          <w:lang w:val="fr-CH"/>
        </w:rPr>
        <w:t>1.6.4.19</w:t>
      </w:r>
      <w:r w:rsidRPr="000C6915">
        <w:rPr>
          <w:lang w:val="fr-CH"/>
        </w:rPr>
        <w:tab/>
        <w:t>Modifier comme suit :</w:t>
      </w:r>
    </w:p>
    <w:p w:rsidR="002214CF" w:rsidRPr="000C6915" w:rsidRDefault="002214CF" w:rsidP="002214CF">
      <w:pPr>
        <w:pStyle w:val="SingleTxt"/>
        <w:rPr>
          <w:lang w:val="fr-CH"/>
        </w:rPr>
      </w:pPr>
      <w:r w:rsidRPr="000C6915">
        <w:rPr>
          <w:lang w:val="fr-CH"/>
        </w:rPr>
        <w:tab/>
      </w:r>
      <w:r w:rsidRPr="000C6915">
        <w:rPr>
          <w:lang w:val="fr-CH"/>
        </w:rPr>
        <w:tab/>
        <w:t>« (Supprimé) ».</w:t>
      </w:r>
    </w:p>
    <w:p w:rsidR="002214CF" w:rsidRPr="000C6915" w:rsidRDefault="002214CF" w:rsidP="002214CF">
      <w:pPr>
        <w:pStyle w:val="SingleTxt"/>
        <w:rPr>
          <w:lang w:val="fr-CH"/>
        </w:rPr>
      </w:pPr>
      <w:r w:rsidRPr="000C6915">
        <w:rPr>
          <w:b/>
          <w:lang w:val="fr-CH"/>
        </w:rPr>
        <w:t>1.6.4.36</w:t>
      </w:r>
      <w:r w:rsidRPr="000C6915">
        <w:rPr>
          <w:lang w:val="fr-CH"/>
        </w:rPr>
        <w:tab/>
        <w:t>Modifier comme suit :</w:t>
      </w:r>
    </w:p>
    <w:p w:rsidR="002214CF" w:rsidRPr="000C6915" w:rsidRDefault="002214CF" w:rsidP="002214CF">
      <w:pPr>
        <w:pStyle w:val="SingleTxt"/>
        <w:rPr>
          <w:lang w:val="fr-CH"/>
        </w:rPr>
      </w:pPr>
      <w:r w:rsidRPr="000C6915">
        <w:rPr>
          <w:lang w:val="fr-CH"/>
        </w:rPr>
        <w:tab/>
      </w:r>
      <w:r w:rsidRPr="000C6915">
        <w:rPr>
          <w:lang w:val="fr-CH"/>
        </w:rPr>
        <w:tab/>
        <w:t>« (Supprimé) ».</w:t>
      </w:r>
    </w:p>
    <w:p w:rsidR="002214CF" w:rsidRPr="000C6915" w:rsidRDefault="002214CF" w:rsidP="002214CF">
      <w:pPr>
        <w:pStyle w:val="SingleTxt"/>
        <w:rPr>
          <w:lang w:val="fr-CH"/>
        </w:rPr>
      </w:pPr>
      <w:r w:rsidRPr="000C6915">
        <w:rPr>
          <w:lang w:val="fr-CH"/>
        </w:rPr>
        <w:tab/>
      </w:r>
      <w:r w:rsidRPr="000C6915">
        <w:rPr>
          <w:lang w:val="fr-CH"/>
        </w:rPr>
        <w:tab/>
      </w:r>
      <w:r w:rsidRPr="000C6915">
        <w:rPr>
          <w:i/>
          <w:iCs/>
          <w:lang w:val="fr-CH"/>
        </w:rPr>
        <w:t>Modifications corollaires</w:t>
      </w:r>
      <w:r w:rsidR="00C97E9C" w:rsidRPr="000C6915">
        <w:rPr>
          <w:lang w:val="fr-CH"/>
        </w:rPr>
        <w:t> </w:t>
      </w:r>
      <w:r w:rsidRPr="000C6915">
        <w:rPr>
          <w:lang w:val="fr-CH"/>
        </w:rPr>
        <w:t>:</w:t>
      </w:r>
    </w:p>
    <w:p w:rsidR="002214CF" w:rsidRPr="000C6915" w:rsidRDefault="00C97E9C" w:rsidP="002214CF">
      <w:pPr>
        <w:pStyle w:val="SingleTxt"/>
        <w:rPr>
          <w:b/>
          <w:bCs/>
          <w:lang w:val="fr-CH"/>
        </w:rPr>
      </w:pPr>
      <w:r w:rsidRPr="000C6915">
        <w:rPr>
          <w:b/>
          <w:bCs/>
          <w:lang w:val="fr-CH"/>
        </w:rPr>
        <w:tab/>
      </w:r>
      <w:r w:rsidRPr="000C6915">
        <w:rPr>
          <w:b/>
          <w:bCs/>
          <w:lang w:val="fr-CH"/>
        </w:rPr>
        <w:tab/>
      </w:r>
      <w:r w:rsidR="005D6615">
        <w:rPr>
          <w:b/>
          <w:bCs/>
          <w:lang w:val="fr-CH"/>
        </w:rPr>
        <w:t>Chapitre </w:t>
      </w:r>
      <w:r w:rsidR="002214CF" w:rsidRPr="000C6915">
        <w:rPr>
          <w:b/>
          <w:bCs/>
          <w:lang w:val="fr-CH"/>
        </w:rPr>
        <w:t>3.2</w:t>
      </w:r>
    </w:p>
    <w:p w:rsidR="002214CF" w:rsidRPr="000C6915" w:rsidRDefault="00C97E9C" w:rsidP="00C97E9C">
      <w:pPr>
        <w:pStyle w:val="SingleTxt"/>
        <w:ind w:left="2218" w:hanging="951"/>
        <w:rPr>
          <w:lang w:val="fr-CH"/>
        </w:rPr>
      </w:pPr>
      <w:r w:rsidRPr="000C6915">
        <w:rPr>
          <w:b/>
          <w:lang w:val="fr-CH"/>
        </w:rPr>
        <w:tab/>
      </w:r>
      <w:r w:rsidRPr="000C6915">
        <w:rPr>
          <w:b/>
          <w:lang w:val="fr-CH"/>
        </w:rPr>
        <w:tab/>
      </w:r>
      <w:r w:rsidR="005D6615">
        <w:rPr>
          <w:b/>
          <w:lang w:val="fr-CH"/>
        </w:rPr>
        <w:t>Tableau </w:t>
      </w:r>
      <w:r w:rsidR="002214CF" w:rsidRPr="000C6915">
        <w:rPr>
          <w:b/>
          <w:lang w:val="fr-CH"/>
        </w:rPr>
        <w:t>A</w:t>
      </w:r>
      <w:r w:rsidRPr="000C6915">
        <w:rPr>
          <w:lang w:val="fr-CH"/>
        </w:rPr>
        <w:t xml:space="preserve"> Dans la colonne </w:t>
      </w:r>
      <w:r w:rsidR="002214CF" w:rsidRPr="000C6915">
        <w:rPr>
          <w:lang w:val="fr-CH"/>
        </w:rPr>
        <w:t xml:space="preserve">(11), supprimer </w:t>
      </w:r>
      <w:r w:rsidRPr="000C6915">
        <w:rPr>
          <w:lang w:val="fr-CH"/>
        </w:rPr>
        <w:t>« </w:t>
      </w:r>
      <w:r w:rsidR="002214CF" w:rsidRPr="000C6915">
        <w:rPr>
          <w:lang w:val="fr-CH"/>
        </w:rPr>
        <w:t>TP37</w:t>
      </w:r>
      <w:r w:rsidRPr="000C6915">
        <w:rPr>
          <w:lang w:val="fr-CH"/>
        </w:rPr>
        <w:t> »</w:t>
      </w:r>
      <w:r w:rsidR="002214CF" w:rsidRPr="000C6915">
        <w:rPr>
          <w:lang w:val="fr-CH"/>
        </w:rPr>
        <w:t xml:space="preserve"> chaque fois que cette mention apparaît.</w:t>
      </w:r>
    </w:p>
    <w:p w:rsidR="002214CF" w:rsidRPr="000C6915" w:rsidRDefault="00C97E9C" w:rsidP="00C97E9C">
      <w:pPr>
        <w:pStyle w:val="SingleTxt"/>
        <w:ind w:left="2218" w:hanging="951"/>
        <w:rPr>
          <w:lang w:val="fr-CH"/>
        </w:rPr>
      </w:pPr>
      <w:r w:rsidRPr="000C6915">
        <w:rPr>
          <w:lang w:val="fr-CH"/>
        </w:rPr>
        <w:tab/>
      </w:r>
      <w:r w:rsidRPr="000C6915">
        <w:rPr>
          <w:lang w:val="fr-CH"/>
        </w:rPr>
        <w:tab/>
      </w:r>
      <w:r w:rsidR="002214CF" w:rsidRPr="000C6915">
        <w:rPr>
          <w:lang w:val="fr-CH"/>
        </w:rPr>
        <w:t>Les numéros suivants sont affectés</w:t>
      </w:r>
      <w:r w:rsidRPr="000C6915">
        <w:rPr>
          <w:lang w:val="fr-CH"/>
        </w:rPr>
        <w:t> </w:t>
      </w:r>
      <w:r w:rsidR="002214CF" w:rsidRPr="000C6915">
        <w:rPr>
          <w:lang w:val="fr-CH"/>
        </w:rPr>
        <w:t xml:space="preserve">: ONU 1135, ONU 1182, ONU 1251, ONU 1541, ONU 1580, ONU 1605, ONU 1670, ONU 1810, ONU 1838, ONU 1892, ONU 2232, ONU 2382, ONU 2474, ONU 2477, ONU 2481, ONU 2482, ONU 2483, ONU 2484, ONU 2485, ONU 2486, ONU 2487, </w:t>
      </w:r>
      <w:r w:rsidR="002214CF" w:rsidRPr="000C6915">
        <w:rPr>
          <w:lang w:val="fr-CH"/>
        </w:rPr>
        <w:lastRenderedPageBreak/>
        <w:t>ONU 2488, ONU 2521, ONU 2605, ONU 2606, ONU 2644, ONU 2668, ONU 3079 et ONU 3246.</w:t>
      </w:r>
    </w:p>
    <w:p w:rsidR="002214CF" w:rsidRPr="000C6915" w:rsidRDefault="00C97E9C" w:rsidP="005D6615">
      <w:pPr>
        <w:pStyle w:val="SingleTxt"/>
        <w:rPr>
          <w:lang w:val="fr-CH"/>
        </w:rPr>
      </w:pPr>
      <w:r w:rsidRPr="000C6915">
        <w:rPr>
          <w:b/>
          <w:lang w:val="fr-CH"/>
        </w:rPr>
        <w:tab/>
      </w:r>
      <w:r w:rsidRPr="000C6915">
        <w:rPr>
          <w:b/>
          <w:lang w:val="fr-CH"/>
        </w:rPr>
        <w:tab/>
      </w:r>
      <w:r w:rsidR="002214CF" w:rsidRPr="000C6915">
        <w:rPr>
          <w:b/>
          <w:lang w:val="fr-CH"/>
        </w:rPr>
        <w:t>4.2.5.3</w:t>
      </w:r>
      <w:r w:rsidR="002214CF" w:rsidRPr="000C6915">
        <w:rPr>
          <w:lang w:val="fr-CH"/>
        </w:rPr>
        <w:tab/>
        <w:t>Modifier la disposition spéciale TP 37 comme suit</w:t>
      </w:r>
      <w:r w:rsidRPr="000C6915">
        <w:rPr>
          <w:lang w:val="fr-CH"/>
        </w:rPr>
        <w:t> </w:t>
      </w:r>
      <w:r w:rsidR="002214CF" w:rsidRPr="000C6915">
        <w:rPr>
          <w:lang w:val="fr-CH"/>
        </w:rPr>
        <w:t>:</w:t>
      </w:r>
    </w:p>
    <w:p w:rsidR="002214CF" w:rsidRPr="000C6915" w:rsidRDefault="00C97E9C" w:rsidP="005D6615">
      <w:pPr>
        <w:pStyle w:val="SingleTxt"/>
        <w:rPr>
          <w:lang w:val="fr-CH"/>
        </w:rPr>
      </w:pPr>
      <w:r w:rsidRPr="000C6915">
        <w:rPr>
          <w:lang w:val="fr-CH"/>
        </w:rPr>
        <w:tab/>
      </w:r>
      <w:r w:rsidRPr="000C6915">
        <w:rPr>
          <w:lang w:val="fr-CH"/>
        </w:rPr>
        <w:tab/>
      </w:r>
      <w:r w:rsidRPr="000C6915">
        <w:rPr>
          <w:lang w:val="fr-CH"/>
        </w:rPr>
        <w:tab/>
        <w:t>« </w:t>
      </w:r>
      <w:r w:rsidR="002214CF" w:rsidRPr="000C6915">
        <w:rPr>
          <w:b/>
          <w:lang w:val="fr-CH"/>
        </w:rPr>
        <w:t>TP 37</w:t>
      </w:r>
      <w:r w:rsidR="002214CF" w:rsidRPr="000C6915">
        <w:rPr>
          <w:b/>
          <w:lang w:val="fr-CH"/>
        </w:rPr>
        <w:tab/>
      </w:r>
      <w:r w:rsidR="002214CF" w:rsidRPr="000C6915">
        <w:rPr>
          <w:lang w:val="fr-CH"/>
        </w:rPr>
        <w:t>(Supprimé)</w:t>
      </w:r>
      <w:r w:rsidRPr="000C6915">
        <w:rPr>
          <w:lang w:val="fr-CH"/>
        </w:rPr>
        <w:t> »</w:t>
      </w:r>
      <w:r w:rsidR="002214CF" w:rsidRPr="000C6915">
        <w:rPr>
          <w:lang w:val="fr-CH"/>
        </w:rPr>
        <w:t>.</w:t>
      </w:r>
    </w:p>
    <w:p w:rsidR="002214CF" w:rsidRPr="000C6915" w:rsidRDefault="00C97E9C" w:rsidP="00C97E9C">
      <w:pPr>
        <w:pStyle w:val="SingleTxt"/>
        <w:ind w:left="2218" w:hanging="951"/>
        <w:rPr>
          <w:i/>
          <w:iCs/>
          <w:lang w:val="fr-CH"/>
        </w:rPr>
      </w:pPr>
      <w:r w:rsidRPr="000C6915">
        <w:rPr>
          <w:i/>
          <w:iCs/>
          <w:lang w:val="fr-CH"/>
        </w:rPr>
        <w:tab/>
      </w:r>
      <w:r w:rsidRPr="000C6915">
        <w:rPr>
          <w:i/>
          <w:iCs/>
          <w:lang w:val="fr-CH"/>
        </w:rPr>
        <w:tab/>
      </w:r>
      <w:r w:rsidR="002214CF" w:rsidRPr="000C6915">
        <w:rPr>
          <w:i/>
          <w:iCs/>
          <w:lang w:val="fr-CH"/>
        </w:rPr>
        <w:t>Note</w:t>
      </w:r>
      <w:r w:rsidRPr="000C6915">
        <w:rPr>
          <w:i/>
          <w:iCs/>
          <w:lang w:val="fr-CH"/>
        </w:rPr>
        <w:t> </w:t>
      </w:r>
      <w:r w:rsidR="002214CF" w:rsidRPr="000C6915">
        <w:rPr>
          <w:i/>
          <w:iCs/>
          <w:lang w:val="fr-CH"/>
        </w:rPr>
        <w:t>: Une proposition visant à modifier en conséquence le Règlement type sera soumise à la prochaine session du Sous-Comité d’experts du transport des marchandises dangereuses de l’ONU.</w:t>
      </w:r>
    </w:p>
    <w:p w:rsidR="002214CF" w:rsidRPr="000C6915" w:rsidRDefault="002214CF" w:rsidP="00C97E9C">
      <w:pPr>
        <w:pStyle w:val="SingleTxt"/>
        <w:rPr>
          <w:lang w:val="fr-CH"/>
        </w:rPr>
      </w:pPr>
      <w:r w:rsidRPr="000C6915">
        <w:rPr>
          <w:b/>
          <w:lang w:val="fr-CH"/>
        </w:rPr>
        <w:t>1.6.4.37</w:t>
      </w:r>
      <w:r w:rsidRPr="000C6915">
        <w:rPr>
          <w:lang w:val="fr-CH"/>
        </w:rPr>
        <w:tab/>
        <w:t xml:space="preserve">Supprimer la deuxième phrase. </w:t>
      </w:r>
    </w:p>
    <w:p w:rsidR="002214CF" w:rsidRPr="000C6915" w:rsidRDefault="002214CF" w:rsidP="00C97E9C">
      <w:pPr>
        <w:pStyle w:val="SingleTxt"/>
        <w:rPr>
          <w:lang w:val="fr-CH"/>
        </w:rPr>
      </w:pPr>
      <w:r w:rsidRPr="000C6915">
        <w:rPr>
          <w:b/>
          <w:lang w:val="fr-CH"/>
        </w:rPr>
        <w:t>1.6.4.41</w:t>
      </w:r>
      <w:r w:rsidRPr="000C6915">
        <w:rPr>
          <w:lang w:val="fr-CH"/>
        </w:rPr>
        <w:tab/>
        <w:t>Modifier comme suit</w:t>
      </w:r>
      <w:r w:rsidR="00C97E9C" w:rsidRPr="000C6915">
        <w:rPr>
          <w:lang w:val="fr-CH"/>
        </w:rPr>
        <w:t> </w:t>
      </w:r>
      <w:r w:rsidRPr="000C6915">
        <w:rPr>
          <w:lang w:val="fr-CH"/>
        </w:rPr>
        <w:t>:</w:t>
      </w:r>
    </w:p>
    <w:p w:rsidR="002214CF" w:rsidRPr="000C6915" w:rsidRDefault="00C97E9C" w:rsidP="00C97E9C">
      <w:pPr>
        <w:pStyle w:val="SingleTxt"/>
        <w:rPr>
          <w:lang w:val="fr-CH"/>
        </w:rPr>
      </w:pPr>
      <w:r w:rsidRPr="000C6915">
        <w:rPr>
          <w:lang w:val="fr-CH"/>
        </w:rPr>
        <w:tab/>
      </w:r>
      <w:r w:rsidRPr="000C6915">
        <w:rPr>
          <w:lang w:val="fr-CH"/>
        </w:rPr>
        <w:tab/>
        <w:t>« </w:t>
      </w:r>
      <w:r w:rsidR="002214CF" w:rsidRPr="000C6915">
        <w:rPr>
          <w:lang w:val="fr-CH"/>
        </w:rPr>
        <w:t>(Supprimé)</w:t>
      </w:r>
      <w:r w:rsidRPr="000C6915">
        <w:rPr>
          <w:lang w:val="fr-CH"/>
        </w:rPr>
        <w:t> »</w:t>
      </w:r>
      <w:r w:rsidR="002214CF" w:rsidRPr="000C6915">
        <w:rPr>
          <w:lang w:val="fr-CH"/>
        </w:rPr>
        <w:t>.</w:t>
      </w:r>
    </w:p>
    <w:p w:rsidR="002214CF" w:rsidRPr="000C6915" w:rsidRDefault="002214CF" w:rsidP="00C97E9C">
      <w:pPr>
        <w:pStyle w:val="SingleTxt"/>
        <w:rPr>
          <w:u w:val="single"/>
          <w:lang w:val="fr-CH"/>
        </w:rPr>
      </w:pPr>
      <w:r w:rsidRPr="000C6915">
        <w:rPr>
          <w:u w:val="single"/>
          <w:lang w:val="fr-CH"/>
        </w:rPr>
        <w:t>Autres modifications</w:t>
      </w:r>
      <w:r w:rsidR="00C97E9C" w:rsidRPr="000C6915">
        <w:rPr>
          <w:u w:val="single"/>
          <w:lang w:val="fr-CH"/>
        </w:rPr>
        <w:t> </w:t>
      </w:r>
      <w:r w:rsidRPr="000C6915">
        <w:rPr>
          <w:u w:val="single"/>
          <w:lang w:val="fr-CH"/>
        </w:rPr>
        <w:t>:</w:t>
      </w:r>
    </w:p>
    <w:p w:rsidR="002214CF" w:rsidRPr="000C6915" w:rsidRDefault="005D6615" w:rsidP="00C97E9C">
      <w:pPr>
        <w:pStyle w:val="SingleTxt"/>
        <w:rPr>
          <w:b/>
          <w:bCs/>
          <w:lang w:val="fr-CH"/>
        </w:rPr>
      </w:pPr>
      <w:r>
        <w:rPr>
          <w:b/>
          <w:bCs/>
          <w:lang w:val="fr-CH"/>
        </w:rPr>
        <w:t>Chapitre </w:t>
      </w:r>
      <w:r w:rsidR="002214CF" w:rsidRPr="000C6915">
        <w:rPr>
          <w:b/>
          <w:bCs/>
          <w:lang w:val="fr-CH"/>
        </w:rPr>
        <w:t>3.2</w:t>
      </w:r>
    </w:p>
    <w:p w:rsidR="002214CF" w:rsidRPr="000C6915" w:rsidRDefault="005D6615" w:rsidP="00C97E9C">
      <w:pPr>
        <w:pStyle w:val="SingleTxt"/>
        <w:ind w:left="2218" w:hanging="951"/>
        <w:rPr>
          <w:lang w:val="fr-CH"/>
        </w:rPr>
      </w:pPr>
      <w:r>
        <w:rPr>
          <w:b/>
          <w:lang w:val="fr-CH"/>
        </w:rPr>
        <w:t>Tableau </w:t>
      </w:r>
      <w:r w:rsidR="002214CF" w:rsidRPr="000C6915">
        <w:rPr>
          <w:b/>
          <w:lang w:val="fr-CH"/>
        </w:rPr>
        <w:t>A</w:t>
      </w:r>
      <w:r w:rsidR="00C97E9C" w:rsidRPr="000C6915">
        <w:rPr>
          <w:lang w:val="fr-CH"/>
        </w:rPr>
        <w:t xml:space="preserve"> Dans la colonne </w:t>
      </w:r>
      <w:r w:rsidR="002214CF" w:rsidRPr="000C6915">
        <w:rPr>
          <w:lang w:val="fr-CH"/>
        </w:rPr>
        <w:t xml:space="preserve">(11), supprimer </w:t>
      </w:r>
      <w:r w:rsidR="00C97E9C" w:rsidRPr="000C6915">
        <w:rPr>
          <w:lang w:val="fr-CH"/>
        </w:rPr>
        <w:t>« </w:t>
      </w:r>
      <w:r w:rsidR="002214CF" w:rsidRPr="000C6915">
        <w:rPr>
          <w:lang w:val="fr-CH"/>
        </w:rPr>
        <w:t>TP35</w:t>
      </w:r>
      <w:r w:rsidR="00C97E9C" w:rsidRPr="000C6915">
        <w:rPr>
          <w:lang w:val="fr-CH"/>
        </w:rPr>
        <w:t> »</w:t>
      </w:r>
      <w:r w:rsidR="002214CF" w:rsidRPr="000C6915">
        <w:rPr>
          <w:lang w:val="fr-CH"/>
        </w:rPr>
        <w:t xml:space="preserve"> chaque fois que cette mention apparaît.</w:t>
      </w:r>
    </w:p>
    <w:p w:rsidR="002214CF" w:rsidRPr="000C6915" w:rsidRDefault="00C97E9C" w:rsidP="00C97E9C">
      <w:pPr>
        <w:pStyle w:val="SingleTxt"/>
        <w:ind w:left="2218" w:hanging="951"/>
        <w:rPr>
          <w:lang w:val="fr-CH"/>
        </w:rPr>
      </w:pPr>
      <w:r w:rsidRPr="000C6915">
        <w:rPr>
          <w:lang w:val="fr-CH"/>
        </w:rPr>
        <w:tab/>
      </w:r>
      <w:r w:rsidRPr="000C6915">
        <w:rPr>
          <w:lang w:val="fr-CH"/>
        </w:rPr>
        <w:tab/>
      </w:r>
      <w:r w:rsidR="002214CF" w:rsidRPr="000C6915">
        <w:rPr>
          <w:lang w:val="fr-CH"/>
        </w:rPr>
        <w:t>Les numéros suivants sont affectés: ONU 1092, ONU 1098, ONU 1143, ONU 1163, ONU 1238, ONU 1239, ONU 1244, ONU 1595, ONU 1695, ONU 1752, ONU 1809, ONU 2334, ONU 2337, ONU 2646 et ONU 3023.</w:t>
      </w:r>
    </w:p>
    <w:p w:rsidR="002214CF" w:rsidRPr="000C6915" w:rsidRDefault="002214CF" w:rsidP="00C97E9C">
      <w:pPr>
        <w:pStyle w:val="SingleTxt"/>
        <w:rPr>
          <w:lang w:val="fr-CH"/>
        </w:rPr>
      </w:pPr>
      <w:r w:rsidRPr="000C6915">
        <w:rPr>
          <w:b/>
          <w:lang w:val="fr-CH"/>
        </w:rPr>
        <w:t>4.2.5.3</w:t>
      </w:r>
      <w:r w:rsidRPr="000C6915">
        <w:rPr>
          <w:lang w:val="fr-CH"/>
        </w:rPr>
        <w:tab/>
        <w:t>Modifier la disposition spéciale TP 35 comme suit</w:t>
      </w:r>
      <w:r w:rsidR="00C97E9C" w:rsidRPr="000C6915">
        <w:rPr>
          <w:lang w:val="fr-CH"/>
        </w:rPr>
        <w:t> </w:t>
      </w:r>
      <w:r w:rsidRPr="000C6915">
        <w:rPr>
          <w:lang w:val="fr-CH"/>
        </w:rPr>
        <w:t>:</w:t>
      </w:r>
    </w:p>
    <w:p w:rsidR="002214CF" w:rsidRPr="000C6915" w:rsidRDefault="00C97E9C" w:rsidP="00C97E9C">
      <w:pPr>
        <w:pStyle w:val="SingleTxt"/>
        <w:rPr>
          <w:lang w:val="fr-CH"/>
        </w:rPr>
      </w:pPr>
      <w:r w:rsidRPr="000C6915">
        <w:rPr>
          <w:lang w:val="fr-CH"/>
        </w:rPr>
        <w:tab/>
      </w:r>
      <w:r w:rsidRPr="000C6915">
        <w:rPr>
          <w:lang w:val="fr-CH"/>
        </w:rPr>
        <w:tab/>
        <w:t>« </w:t>
      </w:r>
      <w:r w:rsidR="002214CF" w:rsidRPr="000C6915">
        <w:rPr>
          <w:b/>
          <w:lang w:val="fr-CH"/>
        </w:rPr>
        <w:t>TP 35</w:t>
      </w:r>
      <w:r w:rsidR="002214CF" w:rsidRPr="000C6915">
        <w:rPr>
          <w:b/>
          <w:lang w:val="fr-CH"/>
        </w:rPr>
        <w:tab/>
      </w:r>
      <w:r w:rsidR="002214CF" w:rsidRPr="000C6915">
        <w:rPr>
          <w:lang w:val="fr-CH"/>
        </w:rPr>
        <w:t>(Supprimé</w:t>
      </w:r>
      <w:r w:rsidRPr="000C6915">
        <w:rPr>
          <w:lang w:val="fr-CH"/>
        </w:rPr>
        <w:t>) »</w:t>
      </w:r>
      <w:r w:rsidR="002214CF" w:rsidRPr="000C6915">
        <w:rPr>
          <w:lang w:val="fr-CH"/>
        </w:rPr>
        <w:t>.</w:t>
      </w:r>
    </w:p>
    <w:p w:rsidR="002214CF" w:rsidRPr="000C6915" w:rsidRDefault="00C97E9C" w:rsidP="00C97E9C">
      <w:pPr>
        <w:pStyle w:val="SingleTxt"/>
        <w:ind w:left="2218" w:hanging="951"/>
        <w:rPr>
          <w:i/>
          <w:iCs/>
          <w:lang w:val="fr-CH"/>
        </w:rPr>
      </w:pPr>
      <w:r w:rsidRPr="000C6915">
        <w:rPr>
          <w:i/>
          <w:iCs/>
          <w:lang w:val="fr-CH"/>
        </w:rPr>
        <w:tab/>
      </w:r>
      <w:r w:rsidRPr="000C6915">
        <w:rPr>
          <w:i/>
          <w:iCs/>
          <w:lang w:val="fr-CH"/>
        </w:rPr>
        <w:tab/>
      </w:r>
      <w:r w:rsidR="002214CF" w:rsidRPr="000C6915">
        <w:rPr>
          <w:i/>
          <w:iCs/>
          <w:lang w:val="fr-CH"/>
        </w:rPr>
        <w:t>Justification</w:t>
      </w:r>
      <w:r w:rsidRPr="000C6915">
        <w:rPr>
          <w:i/>
          <w:iCs/>
          <w:lang w:val="fr-CH"/>
        </w:rPr>
        <w:t> </w:t>
      </w:r>
      <w:r w:rsidR="002214CF" w:rsidRPr="000C6915">
        <w:rPr>
          <w:i/>
          <w:iCs/>
          <w:lang w:val="fr-CH"/>
        </w:rPr>
        <w:t>: La disposition transitoire a déjà expiré le 31 décembre 2014. La mesure transitoire correspondante (1.6.3.31) a déjà été supprimée dans la version 2015 du RID/ADR/ADN.</w:t>
      </w:r>
    </w:p>
    <w:p w:rsidR="002214CF" w:rsidRPr="000C6915" w:rsidRDefault="00C97E9C" w:rsidP="00C97E9C">
      <w:pPr>
        <w:pStyle w:val="SingleTxt"/>
        <w:ind w:left="2218" w:hanging="951"/>
        <w:rPr>
          <w:i/>
          <w:iCs/>
          <w:lang w:val="fr-CH"/>
        </w:rPr>
      </w:pPr>
      <w:r w:rsidRPr="000C6915">
        <w:rPr>
          <w:i/>
          <w:iCs/>
          <w:lang w:val="fr-CH"/>
        </w:rPr>
        <w:tab/>
      </w:r>
      <w:r w:rsidRPr="000C6915">
        <w:rPr>
          <w:i/>
          <w:iCs/>
          <w:lang w:val="fr-CH"/>
        </w:rPr>
        <w:tab/>
      </w:r>
      <w:r w:rsidR="002214CF" w:rsidRPr="000C6915">
        <w:rPr>
          <w:i/>
          <w:iCs/>
          <w:lang w:val="fr-CH"/>
        </w:rPr>
        <w:t>Note</w:t>
      </w:r>
      <w:r w:rsidRPr="000C6915">
        <w:rPr>
          <w:i/>
          <w:iCs/>
          <w:lang w:val="fr-CH"/>
        </w:rPr>
        <w:t> </w:t>
      </w:r>
      <w:r w:rsidR="002214CF" w:rsidRPr="000C6915">
        <w:rPr>
          <w:i/>
          <w:iCs/>
          <w:lang w:val="fr-CH"/>
        </w:rPr>
        <w:t xml:space="preserve">: Une proposition visant à modifier en conséquence le Règlement type sera soumise à la prochaine session du Sous-Comité d’experts du transport des marchandises dangereuses de l’ONU. </w:t>
      </w:r>
    </w:p>
    <w:p w:rsidR="002214CF" w:rsidRPr="000C6915" w:rsidRDefault="00C97E9C" w:rsidP="00C97E9C">
      <w:pPr>
        <w:pStyle w:val="SingleTxt"/>
        <w:spacing w:after="0" w:line="240" w:lineRule="auto"/>
        <w:rPr>
          <w:lang w:val="fr-CH"/>
        </w:rPr>
      </w:pPr>
      <w:r w:rsidRPr="000C6915">
        <w:rPr>
          <w:noProof/>
          <w:w w:val="100"/>
          <w:lang w:val="en-GB" w:eastAsia="en-GB"/>
        </w:rPr>
        <mc:AlternateContent>
          <mc:Choice Requires="wps">
            <w:drawing>
              <wp:anchor distT="0" distB="0" distL="114300" distR="114300" simplePos="0" relativeHeight="251659264" behindDoc="0" locked="0" layoutInCell="1" allowOverlap="1" wp14:anchorId="4719EB18" wp14:editId="485CDCB9">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2214CF" w:rsidRPr="000C6915" w:rsidSect="008C1DC6">
      <w:endnotePr>
        <w:numFmt w:val="decimal"/>
      </w:endnotePr>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35B" w:rsidRDefault="00E5535B" w:rsidP="00F3330B">
      <w:pPr>
        <w:spacing w:line="240" w:lineRule="auto"/>
      </w:pPr>
      <w:r>
        <w:separator/>
      </w:r>
    </w:p>
  </w:endnote>
  <w:endnote w:type="continuationSeparator" w:id="0">
    <w:p w:rsidR="00E5535B" w:rsidRDefault="00E5535B"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C1DC6" w:rsidTr="008C1DC6">
      <w:trPr>
        <w:jc w:val="center"/>
      </w:trPr>
      <w:tc>
        <w:tcPr>
          <w:tcW w:w="5126" w:type="dxa"/>
          <w:shd w:val="clear" w:color="auto" w:fill="auto"/>
        </w:tcPr>
        <w:p w:rsidR="008C1DC6" w:rsidRPr="008C1DC6" w:rsidRDefault="008C1DC6" w:rsidP="008C1DC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73FD7">
            <w:rPr>
              <w:b w:val="0"/>
              <w:w w:val="103"/>
              <w:sz w:val="14"/>
            </w:rPr>
            <w:t>GE.15-10135</w:t>
          </w:r>
          <w:r>
            <w:rPr>
              <w:b w:val="0"/>
              <w:w w:val="103"/>
              <w:sz w:val="14"/>
            </w:rPr>
            <w:fldChar w:fldCharType="end"/>
          </w:r>
        </w:p>
      </w:tc>
      <w:tc>
        <w:tcPr>
          <w:tcW w:w="5127" w:type="dxa"/>
          <w:shd w:val="clear" w:color="auto" w:fill="auto"/>
        </w:tcPr>
        <w:p w:rsidR="008C1DC6" w:rsidRPr="008C1DC6" w:rsidRDefault="008C1DC6" w:rsidP="008C1DC6">
          <w:pPr>
            <w:pStyle w:val="Footer"/>
            <w:rPr>
              <w:w w:val="103"/>
            </w:rPr>
          </w:pPr>
          <w:r>
            <w:rPr>
              <w:w w:val="103"/>
            </w:rPr>
            <w:fldChar w:fldCharType="begin"/>
          </w:r>
          <w:r>
            <w:rPr>
              <w:w w:val="103"/>
            </w:rPr>
            <w:instrText xml:space="preserve"> PAGE  \* Arabic  \* MERGEFORMAT </w:instrText>
          </w:r>
          <w:r>
            <w:rPr>
              <w:w w:val="103"/>
            </w:rPr>
            <w:fldChar w:fldCharType="separate"/>
          </w:r>
          <w:r w:rsidR="00F73FD7">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73FD7">
            <w:rPr>
              <w:noProof/>
              <w:w w:val="103"/>
            </w:rPr>
            <w:t>3</w:t>
          </w:r>
          <w:r>
            <w:rPr>
              <w:w w:val="103"/>
            </w:rPr>
            <w:fldChar w:fldCharType="end"/>
          </w:r>
        </w:p>
      </w:tc>
    </w:tr>
  </w:tbl>
  <w:p w:rsidR="008C1DC6" w:rsidRPr="008C1DC6" w:rsidRDefault="008C1DC6" w:rsidP="008C1D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C1DC6" w:rsidTr="008C1DC6">
      <w:trPr>
        <w:jc w:val="center"/>
      </w:trPr>
      <w:tc>
        <w:tcPr>
          <w:tcW w:w="5126" w:type="dxa"/>
          <w:shd w:val="clear" w:color="auto" w:fill="auto"/>
        </w:tcPr>
        <w:p w:rsidR="008C1DC6" w:rsidRPr="008C1DC6" w:rsidRDefault="008C1DC6" w:rsidP="008C1DC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73FD7">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73FD7">
            <w:rPr>
              <w:noProof/>
              <w:w w:val="103"/>
            </w:rPr>
            <w:t>3</w:t>
          </w:r>
          <w:r>
            <w:rPr>
              <w:w w:val="103"/>
            </w:rPr>
            <w:fldChar w:fldCharType="end"/>
          </w:r>
        </w:p>
      </w:tc>
      <w:tc>
        <w:tcPr>
          <w:tcW w:w="5127" w:type="dxa"/>
          <w:shd w:val="clear" w:color="auto" w:fill="auto"/>
        </w:tcPr>
        <w:p w:rsidR="008C1DC6" w:rsidRPr="008C1DC6" w:rsidRDefault="008C1DC6" w:rsidP="008C1DC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73FD7">
            <w:rPr>
              <w:b w:val="0"/>
              <w:w w:val="103"/>
              <w:sz w:val="14"/>
            </w:rPr>
            <w:t>GE.15-10135</w:t>
          </w:r>
          <w:r>
            <w:rPr>
              <w:b w:val="0"/>
              <w:w w:val="103"/>
              <w:sz w:val="14"/>
            </w:rPr>
            <w:fldChar w:fldCharType="end"/>
          </w:r>
        </w:p>
      </w:tc>
    </w:tr>
  </w:tbl>
  <w:p w:rsidR="008C1DC6" w:rsidRPr="008C1DC6" w:rsidRDefault="008C1DC6" w:rsidP="008C1D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DC6" w:rsidRDefault="008C1DC6">
    <w:pPr>
      <w:pStyle w:val="Footer"/>
    </w:pPr>
    <w:r>
      <w:rPr>
        <w:noProof/>
        <w:lang w:val="en-GB" w:eastAsia="en-GB"/>
      </w:rPr>
      <w:drawing>
        <wp:anchor distT="0" distB="0" distL="114300" distR="114300" simplePos="0" relativeHeight="251658240" behindDoc="0" locked="0" layoutInCell="1" allowOverlap="1" wp14:anchorId="7A550B16" wp14:editId="2B973864">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15/AC.1/2015/30&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1/2015/30&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8C1DC6" w:rsidTr="008C1DC6">
      <w:tc>
        <w:tcPr>
          <w:tcW w:w="3859" w:type="dxa"/>
        </w:tcPr>
        <w:p w:rsidR="008C1DC6" w:rsidRDefault="008C1DC6" w:rsidP="005D6615">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F73FD7">
            <w:rPr>
              <w:b w:val="0"/>
              <w:sz w:val="20"/>
            </w:rPr>
            <w:t>GE.15-10135 (F)</w:t>
          </w:r>
          <w:r>
            <w:rPr>
              <w:b w:val="0"/>
              <w:sz w:val="20"/>
            </w:rPr>
            <w:fldChar w:fldCharType="end"/>
          </w:r>
          <w:r>
            <w:rPr>
              <w:b w:val="0"/>
              <w:sz w:val="20"/>
            </w:rPr>
            <w:t xml:space="preserve">    130815    1</w:t>
          </w:r>
          <w:r w:rsidR="005D6615">
            <w:rPr>
              <w:b w:val="0"/>
              <w:sz w:val="20"/>
            </w:rPr>
            <w:t>4</w:t>
          </w:r>
          <w:r>
            <w:rPr>
              <w:b w:val="0"/>
              <w:sz w:val="20"/>
            </w:rPr>
            <w:t>0815</w:t>
          </w:r>
        </w:p>
        <w:p w:rsidR="008C1DC6" w:rsidRPr="008C1DC6" w:rsidRDefault="008C1DC6" w:rsidP="008C1DC6">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F73FD7">
            <w:rPr>
              <w:rFonts w:ascii="Barcode 3 of 9 by request" w:hAnsi="Barcode 3 of 9 by request"/>
              <w:b w:val="0"/>
              <w:spacing w:val="0"/>
              <w:w w:val="100"/>
              <w:sz w:val="24"/>
            </w:rPr>
            <w:t>*1510135*</w:t>
          </w:r>
          <w:r>
            <w:rPr>
              <w:rFonts w:ascii="Barcode 3 of 9 by request" w:hAnsi="Barcode 3 of 9 by request"/>
              <w:b w:val="0"/>
              <w:spacing w:val="0"/>
              <w:w w:val="100"/>
              <w:sz w:val="24"/>
            </w:rPr>
            <w:fldChar w:fldCharType="end"/>
          </w:r>
        </w:p>
      </w:tc>
      <w:tc>
        <w:tcPr>
          <w:tcW w:w="5127" w:type="dxa"/>
        </w:tcPr>
        <w:p w:rsidR="008C1DC6" w:rsidRDefault="008C1DC6" w:rsidP="008C1DC6">
          <w:pPr>
            <w:pStyle w:val="Footer"/>
            <w:spacing w:line="240" w:lineRule="atLeast"/>
            <w:jc w:val="right"/>
            <w:rPr>
              <w:b w:val="0"/>
              <w:sz w:val="20"/>
            </w:rPr>
          </w:pPr>
          <w:r>
            <w:rPr>
              <w:b w:val="0"/>
              <w:noProof/>
              <w:sz w:val="20"/>
              <w:lang w:val="en-GB" w:eastAsia="en-GB"/>
            </w:rPr>
            <w:drawing>
              <wp:inline distT="0" distB="0" distL="0" distR="0" wp14:anchorId="635B0F4B" wp14:editId="3766AE93">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8C1DC6" w:rsidRPr="008C1DC6" w:rsidRDefault="008C1DC6" w:rsidP="008C1DC6">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35B" w:rsidRPr="003E47D8" w:rsidRDefault="00E5535B" w:rsidP="003E47D8">
      <w:pPr>
        <w:pStyle w:val="Footer"/>
        <w:spacing w:after="80"/>
        <w:rPr>
          <w:sz w:val="16"/>
        </w:rPr>
      </w:pPr>
      <w:r w:rsidRPr="003E47D8">
        <w:rPr>
          <w:sz w:val="16"/>
        </w:rPr>
        <w:t>__________________</w:t>
      </w:r>
    </w:p>
  </w:footnote>
  <w:footnote w:type="continuationSeparator" w:id="0">
    <w:p w:rsidR="00E5535B" w:rsidRPr="003E47D8" w:rsidRDefault="00E5535B" w:rsidP="003E47D8">
      <w:pPr>
        <w:pStyle w:val="Footer"/>
        <w:spacing w:after="80"/>
        <w:rPr>
          <w:sz w:val="16"/>
        </w:rPr>
      </w:pPr>
      <w:r w:rsidRPr="003E47D8">
        <w:rPr>
          <w:sz w:val="16"/>
        </w:rPr>
        <w:t>__________________</w:t>
      </w:r>
    </w:p>
  </w:footnote>
  <w:footnote w:id="1">
    <w:p w:rsidR="002214CF" w:rsidRPr="000C6915" w:rsidRDefault="002214CF" w:rsidP="002214CF">
      <w:pPr>
        <w:pStyle w:val="FootnoteText"/>
        <w:widowControl w:val="0"/>
        <w:tabs>
          <w:tab w:val="right" w:pos="1195"/>
          <w:tab w:val="left" w:pos="1267"/>
          <w:tab w:val="left" w:pos="1742"/>
          <w:tab w:val="left" w:pos="2218"/>
          <w:tab w:val="left" w:pos="2693"/>
        </w:tabs>
        <w:ind w:left="1267" w:right="1260" w:hanging="432"/>
        <w:rPr>
          <w:lang w:val="fr-CH"/>
        </w:rPr>
      </w:pPr>
      <w:r w:rsidRPr="000C6915">
        <w:rPr>
          <w:lang w:val="fr-CH"/>
        </w:rPr>
        <w:tab/>
      </w:r>
      <w:r w:rsidRPr="000C6915">
        <w:rPr>
          <w:rStyle w:val="FootnoteReference"/>
          <w:color w:val="auto"/>
          <w:lang w:val="fr-CH"/>
        </w:rPr>
        <w:footnoteRef/>
      </w:r>
      <w:r w:rsidRPr="000C6915">
        <w:rPr>
          <w:lang w:val="fr-CH"/>
        </w:rPr>
        <w:tab/>
        <w:t>Conformément au programme de travail du Comité des transports intérieurs pour 2014-2015 (ECE/TRANS/240, par.</w:t>
      </w:r>
      <w:r w:rsidR="005D6615">
        <w:rPr>
          <w:lang w:val="fr-CH"/>
        </w:rPr>
        <w:t> 100, ECE/TRANS/2014/23, module </w:t>
      </w:r>
      <w:r w:rsidRPr="000C6915">
        <w:rPr>
          <w:lang w:val="fr-CH"/>
        </w:rPr>
        <w:t>9, par. 9.2).</w:t>
      </w:r>
    </w:p>
  </w:footnote>
  <w:footnote w:id="2">
    <w:p w:rsidR="002214CF" w:rsidRPr="000C6915" w:rsidRDefault="002214CF" w:rsidP="002214CF">
      <w:pPr>
        <w:pStyle w:val="FootnoteText"/>
        <w:widowControl w:val="0"/>
        <w:tabs>
          <w:tab w:val="right" w:pos="1195"/>
          <w:tab w:val="left" w:pos="1267"/>
          <w:tab w:val="left" w:pos="1742"/>
          <w:tab w:val="left" w:pos="2218"/>
          <w:tab w:val="left" w:pos="2693"/>
        </w:tabs>
        <w:ind w:left="1267" w:right="1260" w:hanging="432"/>
        <w:rPr>
          <w:lang w:val="fr-CH"/>
        </w:rPr>
      </w:pPr>
      <w:r w:rsidRPr="000C6915">
        <w:rPr>
          <w:lang w:val="fr-CH"/>
        </w:rPr>
        <w:tab/>
      </w:r>
      <w:r w:rsidRPr="000C6915">
        <w:rPr>
          <w:rStyle w:val="FootnoteReference"/>
          <w:color w:val="auto"/>
          <w:lang w:val="fr-CH"/>
        </w:rPr>
        <w:footnoteRef/>
      </w:r>
      <w:r w:rsidRPr="000C6915">
        <w:rPr>
          <w:lang w:val="fr-CH"/>
        </w:rPr>
        <w:tab/>
        <w:t>Diffusée par l’Organisation intergouvernementale pour les transports internationaux ferroviaires (OTIF) sous la cote OTIF/RID/RC/2015/30.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8C1DC6" w:rsidTr="008C1DC6">
      <w:trPr>
        <w:trHeight w:hRule="exact" w:val="864"/>
        <w:jc w:val="center"/>
      </w:trPr>
      <w:tc>
        <w:tcPr>
          <w:tcW w:w="4882" w:type="dxa"/>
          <w:shd w:val="clear" w:color="auto" w:fill="auto"/>
          <w:vAlign w:val="bottom"/>
        </w:tcPr>
        <w:p w:rsidR="008C1DC6" w:rsidRPr="008C1DC6" w:rsidRDefault="008C1DC6" w:rsidP="008C1DC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73FD7">
            <w:rPr>
              <w:b/>
              <w:color w:val="000000"/>
            </w:rPr>
            <w:t>ECE/TRANS/WP.15/AC.1/2015/30</w:t>
          </w:r>
          <w:r>
            <w:rPr>
              <w:b/>
              <w:color w:val="000000"/>
            </w:rPr>
            <w:fldChar w:fldCharType="end"/>
          </w:r>
        </w:p>
      </w:tc>
      <w:tc>
        <w:tcPr>
          <w:tcW w:w="5127" w:type="dxa"/>
          <w:shd w:val="clear" w:color="auto" w:fill="auto"/>
          <w:vAlign w:val="bottom"/>
        </w:tcPr>
        <w:p w:rsidR="008C1DC6" w:rsidRDefault="008C1DC6" w:rsidP="008C1DC6">
          <w:pPr>
            <w:pStyle w:val="Header"/>
          </w:pPr>
        </w:p>
      </w:tc>
    </w:tr>
  </w:tbl>
  <w:p w:rsidR="008C1DC6" w:rsidRPr="008C1DC6" w:rsidRDefault="008C1DC6" w:rsidP="008C1DC6">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8C1DC6" w:rsidTr="008C1DC6">
      <w:trPr>
        <w:trHeight w:hRule="exact" w:val="864"/>
        <w:jc w:val="center"/>
      </w:trPr>
      <w:tc>
        <w:tcPr>
          <w:tcW w:w="4882" w:type="dxa"/>
          <w:shd w:val="clear" w:color="auto" w:fill="auto"/>
          <w:vAlign w:val="bottom"/>
        </w:tcPr>
        <w:p w:rsidR="008C1DC6" w:rsidRDefault="008C1DC6" w:rsidP="008C1DC6">
          <w:pPr>
            <w:pStyle w:val="Header"/>
          </w:pPr>
        </w:p>
      </w:tc>
      <w:tc>
        <w:tcPr>
          <w:tcW w:w="5127" w:type="dxa"/>
          <w:shd w:val="clear" w:color="auto" w:fill="auto"/>
          <w:vAlign w:val="bottom"/>
        </w:tcPr>
        <w:p w:rsidR="008C1DC6" w:rsidRPr="008C1DC6" w:rsidRDefault="008C1DC6" w:rsidP="008C1DC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73FD7">
            <w:rPr>
              <w:b/>
              <w:color w:val="000000"/>
            </w:rPr>
            <w:t>ECE/TRANS/WP.15/AC.1/2015/30</w:t>
          </w:r>
          <w:r>
            <w:rPr>
              <w:b/>
              <w:color w:val="000000"/>
            </w:rPr>
            <w:fldChar w:fldCharType="end"/>
          </w:r>
        </w:p>
      </w:tc>
    </w:tr>
  </w:tbl>
  <w:p w:rsidR="008C1DC6" w:rsidRPr="008C1DC6" w:rsidRDefault="008C1DC6" w:rsidP="008C1DC6">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8C1DC6" w:rsidRPr="002214CF" w:rsidTr="008C1DC6">
      <w:trPr>
        <w:trHeight w:hRule="exact" w:val="864"/>
      </w:trPr>
      <w:tc>
        <w:tcPr>
          <w:tcW w:w="1267" w:type="dxa"/>
          <w:tcBorders>
            <w:bottom w:val="single" w:sz="4" w:space="0" w:color="auto"/>
          </w:tcBorders>
          <w:shd w:val="clear" w:color="auto" w:fill="auto"/>
          <w:vAlign w:val="bottom"/>
        </w:tcPr>
        <w:p w:rsidR="008C1DC6" w:rsidRPr="002214CF" w:rsidRDefault="008C1DC6" w:rsidP="008C1DC6">
          <w:pPr>
            <w:pStyle w:val="Header"/>
            <w:spacing w:after="120"/>
            <w:rPr>
              <w:lang w:val="fr-CH"/>
            </w:rPr>
          </w:pPr>
        </w:p>
      </w:tc>
      <w:tc>
        <w:tcPr>
          <w:tcW w:w="2059" w:type="dxa"/>
          <w:tcBorders>
            <w:bottom w:val="single" w:sz="4" w:space="0" w:color="auto"/>
          </w:tcBorders>
          <w:shd w:val="clear" w:color="auto" w:fill="auto"/>
          <w:vAlign w:val="bottom"/>
        </w:tcPr>
        <w:p w:rsidR="008C1DC6" w:rsidRPr="002214CF" w:rsidRDefault="008C1DC6" w:rsidP="008C1DC6">
          <w:pPr>
            <w:pStyle w:val="HCH"/>
            <w:spacing w:after="80"/>
            <w:rPr>
              <w:b w:val="0"/>
              <w:color w:val="010000"/>
              <w:spacing w:val="2"/>
              <w:w w:val="96"/>
              <w:lang w:val="fr-CH"/>
            </w:rPr>
          </w:pPr>
          <w:r w:rsidRPr="002214CF">
            <w:rPr>
              <w:b w:val="0"/>
              <w:color w:val="010000"/>
              <w:spacing w:val="2"/>
              <w:w w:val="96"/>
              <w:lang w:val="fr-CH"/>
            </w:rPr>
            <w:t>Nations Unies</w:t>
          </w:r>
        </w:p>
      </w:tc>
      <w:tc>
        <w:tcPr>
          <w:tcW w:w="58" w:type="dxa"/>
          <w:tcBorders>
            <w:bottom w:val="single" w:sz="4" w:space="0" w:color="auto"/>
          </w:tcBorders>
          <w:shd w:val="clear" w:color="auto" w:fill="auto"/>
          <w:vAlign w:val="bottom"/>
        </w:tcPr>
        <w:p w:rsidR="008C1DC6" w:rsidRPr="002214CF" w:rsidRDefault="008C1DC6" w:rsidP="008C1DC6">
          <w:pPr>
            <w:pStyle w:val="Header"/>
            <w:spacing w:after="120"/>
            <w:rPr>
              <w:lang w:val="fr-CH"/>
            </w:rPr>
          </w:pPr>
        </w:p>
      </w:tc>
      <w:tc>
        <w:tcPr>
          <w:tcW w:w="6653" w:type="dxa"/>
          <w:gridSpan w:val="4"/>
          <w:tcBorders>
            <w:bottom w:val="single" w:sz="4" w:space="0" w:color="auto"/>
          </w:tcBorders>
          <w:shd w:val="clear" w:color="auto" w:fill="auto"/>
          <w:vAlign w:val="bottom"/>
        </w:tcPr>
        <w:p w:rsidR="008C1DC6" w:rsidRPr="002214CF" w:rsidRDefault="008C1DC6" w:rsidP="008C1DC6">
          <w:pPr>
            <w:spacing w:after="80" w:line="240" w:lineRule="auto"/>
            <w:jc w:val="right"/>
            <w:rPr>
              <w:position w:val="-4"/>
              <w:lang w:val="fr-CH"/>
            </w:rPr>
          </w:pPr>
          <w:r w:rsidRPr="002214CF">
            <w:rPr>
              <w:position w:val="-4"/>
              <w:sz w:val="40"/>
              <w:lang w:val="fr-CH"/>
            </w:rPr>
            <w:t>ECE</w:t>
          </w:r>
          <w:r w:rsidRPr="002214CF">
            <w:rPr>
              <w:position w:val="-4"/>
              <w:lang w:val="fr-CH"/>
            </w:rPr>
            <w:t>/TRANS/WP.15/AC.1/2015/30</w:t>
          </w:r>
        </w:p>
      </w:tc>
    </w:tr>
    <w:tr w:rsidR="008C1DC6" w:rsidRPr="002214CF" w:rsidTr="008C1DC6">
      <w:trPr>
        <w:gridAfter w:val="1"/>
        <w:wAfter w:w="18" w:type="dxa"/>
        <w:trHeight w:hRule="exact" w:val="2880"/>
      </w:trPr>
      <w:tc>
        <w:tcPr>
          <w:tcW w:w="1267" w:type="dxa"/>
          <w:tcBorders>
            <w:top w:val="single" w:sz="4" w:space="0" w:color="auto"/>
            <w:bottom w:val="single" w:sz="12" w:space="0" w:color="auto"/>
          </w:tcBorders>
          <w:shd w:val="clear" w:color="auto" w:fill="auto"/>
        </w:tcPr>
        <w:p w:rsidR="008C1DC6" w:rsidRPr="002214CF" w:rsidRDefault="008C1DC6" w:rsidP="008C1DC6">
          <w:pPr>
            <w:pStyle w:val="Header"/>
            <w:spacing w:before="120" w:line="240" w:lineRule="auto"/>
            <w:ind w:left="-72"/>
            <w:jc w:val="center"/>
            <w:rPr>
              <w:lang w:val="fr-CH"/>
            </w:rPr>
          </w:pPr>
          <w:r w:rsidRPr="002214CF">
            <w:rPr>
              <w:lang w:val="fr-CH"/>
            </w:rPr>
            <w:t xml:space="preserve">  </w:t>
          </w:r>
          <w:r w:rsidRPr="002214CF">
            <w:rPr>
              <w:noProof/>
              <w:lang w:val="en-GB" w:eastAsia="en-GB"/>
            </w:rPr>
            <w:drawing>
              <wp:inline distT="0" distB="0" distL="0" distR="0" wp14:anchorId="22574FA9" wp14:editId="0A97BDB2">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8C1DC6" w:rsidRPr="002214CF" w:rsidRDefault="008C1DC6" w:rsidP="008C1DC6">
          <w:pPr>
            <w:pStyle w:val="XLarge"/>
            <w:spacing w:before="109"/>
            <w:rPr>
              <w:lang w:val="fr-CH"/>
            </w:rPr>
          </w:pPr>
          <w:r w:rsidRPr="002214CF">
            <w:rPr>
              <w:lang w:val="fr-CH"/>
            </w:rPr>
            <w:t>Conseil économique et social</w:t>
          </w:r>
        </w:p>
      </w:tc>
      <w:tc>
        <w:tcPr>
          <w:tcW w:w="245" w:type="dxa"/>
          <w:tcBorders>
            <w:top w:val="single" w:sz="4" w:space="0" w:color="auto"/>
            <w:bottom w:val="single" w:sz="12" w:space="0" w:color="auto"/>
          </w:tcBorders>
          <w:shd w:val="clear" w:color="auto" w:fill="auto"/>
        </w:tcPr>
        <w:p w:rsidR="008C1DC6" w:rsidRPr="002214CF" w:rsidRDefault="008C1DC6" w:rsidP="008C1DC6">
          <w:pPr>
            <w:pStyle w:val="Header"/>
            <w:spacing w:before="109"/>
            <w:rPr>
              <w:lang w:val="fr-CH"/>
            </w:rPr>
          </w:pPr>
        </w:p>
      </w:tc>
      <w:tc>
        <w:tcPr>
          <w:tcW w:w="3280" w:type="dxa"/>
          <w:tcBorders>
            <w:top w:val="single" w:sz="4" w:space="0" w:color="auto"/>
            <w:bottom w:val="single" w:sz="12" w:space="0" w:color="auto"/>
          </w:tcBorders>
          <w:shd w:val="clear" w:color="auto" w:fill="auto"/>
        </w:tcPr>
        <w:p w:rsidR="008C1DC6" w:rsidRPr="002214CF" w:rsidRDefault="008C1DC6" w:rsidP="008C1DC6">
          <w:pPr>
            <w:pStyle w:val="Distribution"/>
            <w:rPr>
              <w:color w:val="000000"/>
              <w:lang w:val="fr-CH"/>
            </w:rPr>
          </w:pPr>
          <w:proofErr w:type="spellStart"/>
          <w:r w:rsidRPr="002214CF">
            <w:rPr>
              <w:color w:val="000000"/>
              <w:lang w:val="fr-CH"/>
            </w:rPr>
            <w:t>Distr</w:t>
          </w:r>
          <w:proofErr w:type="spellEnd"/>
          <w:r w:rsidRPr="002214CF">
            <w:rPr>
              <w:color w:val="000000"/>
              <w:lang w:val="fr-CH"/>
            </w:rPr>
            <w:t>. générale</w:t>
          </w:r>
        </w:p>
        <w:p w:rsidR="008C1DC6" w:rsidRPr="002214CF" w:rsidRDefault="008C1DC6" w:rsidP="008C1DC6">
          <w:pPr>
            <w:pStyle w:val="Publication"/>
            <w:rPr>
              <w:color w:val="000000"/>
              <w:lang w:val="fr-CH"/>
            </w:rPr>
          </w:pPr>
          <w:r w:rsidRPr="002214CF">
            <w:rPr>
              <w:color w:val="000000"/>
              <w:lang w:val="fr-CH"/>
            </w:rPr>
            <w:t>19 juin 2015</w:t>
          </w:r>
        </w:p>
        <w:p w:rsidR="008C1DC6" w:rsidRPr="002214CF" w:rsidRDefault="008C1DC6" w:rsidP="008C1DC6">
          <w:pPr>
            <w:rPr>
              <w:lang w:val="fr-CH"/>
            </w:rPr>
          </w:pPr>
          <w:r w:rsidRPr="002214CF">
            <w:rPr>
              <w:lang w:val="fr-CH"/>
            </w:rPr>
            <w:t>Français</w:t>
          </w:r>
        </w:p>
        <w:p w:rsidR="008C1DC6" w:rsidRPr="002214CF" w:rsidRDefault="008C1DC6" w:rsidP="008C1DC6">
          <w:pPr>
            <w:pStyle w:val="Original"/>
            <w:rPr>
              <w:color w:val="000000"/>
              <w:lang w:val="fr-CH"/>
            </w:rPr>
          </w:pPr>
          <w:r w:rsidRPr="002214CF">
            <w:rPr>
              <w:color w:val="000000"/>
              <w:lang w:val="fr-CH"/>
            </w:rPr>
            <w:t>Original : anglais</w:t>
          </w:r>
        </w:p>
      </w:tc>
    </w:tr>
  </w:tbl>
  <w:p w:rsidR="008C1DC6" w:rsidRPr="002214CF" w:rsidRDefault="008C1DC6" w:rsidP="008C1DC6">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SortMethod w:val="0003"/>
  <w:defaultTabStop w:val="475"/>
  <w:doNotHyphenateCaps/>
  <w:evenAndOddHeaders/>
  <w:characterSpacingControl w:val="doNotCompress"/>
  <w:hdrShapeDefaults>
    <o:shapedefaults v:ext="edit" spidmax="18433"/>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0135*"/>
    <w:docVar w:name="CreationDt" w:val="8/13/2015 3:04: PM"/>
    <w:docVar w:name="DocCategory" w:val="Doc"/>
    <w:docVar w:name="DocType" w:val="Final"/>
    <w:docVar w:name="DutyStation" w:val="Geneva"/>
    <w:docVar w:name="FooterJN" w:val="GE.15-10135"/>
    <w:docVar w:name="jobn" w:val="GE.15-10135 (F)"/>
    <w:docVar w:name="jobnDT" w:val="GE.15-10135 (F)   130815"/>
    <w:docVar w:name="jobnDTDT" w:val="GE.15-10135 (F)   130815   130815"/>
    <w:docVar w:name="JobNo" w:val="GE.1510135F"/>
    <w:docVar w:name="JobNo2" w:val="GE.1512965F"/>
    <w:docVar w:name="LocalDrive" w:val="0"/>
    <w:docVar w:name="OandT" w:val="N.Morin"/>
    <w:docVar w:name="PaperSize" w:val="A4"/>
    <w:docVar w:name="sss1" w:val="ECE/TRANS/WP.15/AC.1/2015/30"/>
    <w:docVar w:name="sss2" w:val="-"/>
    <w:docVar w:name="Symbol1" w:val="ECE/TRANS/WP.15/AC.1/2015/30"/>
    <w:docVar w:name="Symbol2" w:val="-"/>
  </w:docVars>
  <w:rsids>
    <w:rsidRoot w:val="00E5535B"/>
    <w:rsid w:val="000015B8"/>
    <w:rsid w:val="000046A5"/>
    <w:rsid w:val="000055FB"/>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525E"/>
    <w:rsid w:val="000776CA"/>
    <w:rsid w:val="00077CC4"/>
    <w:rsid w:val="00077DC0"/>
    <w:rsid w:val="00083D89"/>
    <w:rsid w:val="00085112"/>
    <w:rsid w:val="0008708F"/>
    <w:rsid w:val="00091BC1"/>
    <w:rsid w:val="00091DBD"/>
    <w:rsid w:val="000A18B6"/>
    <w:rsid w:val="000A24DE"/>
    <w:rsid w:val="000A2612"/>
    <w:rsid w:val="000A3AB1"/>
    <w:rsid w:val="000A4A47"/>
    <w:rsid w:val="000A74D1"/>
    <w:rsid w:val="000B0E9A"/>
    <w:rsid w:val="000B1A18"/>
    <w:rsid w:val="000B2CD0"/>
    <w:rsid w:val="000B3ED4"/>
    <w:rsid w:val="000B5AF0"/>
    <w:rsid w:val="000B6B84"/>
    <w:rsid w:val="000B7004"/>
    <w:rsid w:val="000C07CC"/>
    <w:rsid w:val="000C085A"/>
    <w:rsid w:val="000C349B"/>
    <w:rsid w:val="000C683C"/>
    <w:rsid w:val="000C6915"/>
    <w:rsid w:val="000D44E3"/>
    <w:rsid w:val="000D54D7"/>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54B3"/>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14CF"/>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728E"/>
    <w:rsid w:val="00332A87"/>
    <w:rsid w:val="003342DF"/>
    <w:rsid w:val="00334FEB"/>
    <w:rsid w:val="00337015"/>
    <w:rsid w:val="003406CA"/>
    <w:rsid w:val="00340736"/>
    <w:rsid w:val="00343F8A"/>
    <w:rsid w:val="003441A5"/>
    <w:rsid w:val="00347E5F"/>
    <w:rsid w:val="003506F1"/>
    <w:rsid w:val="003555DE"/>
    <w:rsid w:val="00355810"/>
    <w:rsid w:val="003559A7"/>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72F"/>
    <w:rsid w:val="004A0AA6"/>
    <w:rsid w:val="004A1763"/>
    <w:rsid w:val="004A186E"/>
    <w:rsid w:val="004A2319"/>
    <w:rsid w:val="004A2455"/>
    <w:rsid w:val="004A698E"/>
    <w:rsid w:val="004A760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4171"/>
    <w:rsid w:val="005C65C2"/>
    <w:rsid w:val="005D6615"/>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25C31"/>
    <w:rsid w:val="00833A79"/>
    <w:rsid w:val="00833BFF"/>
    <w:rsid w:val="0083677A"/>
    <w:rsid w:val="00837284"/>
    <w:rsid w:val="0083731D"/>
    <w:rsid w:val="00837549"/>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DC6"/>
    <w:rsid w:val="008C1E51"/>
    <w:rsid w:val="008C5E6B"/>
    <w:rsid w:val="008C6672"/>
    <w:rsid w:val="008D2DCF"/>
    <w:rsid w:val="008D3043"/>
    <w:rsid w:val="008D3318"/>
    <w:rsid w:val="008D4C00"/>
    <w:rsid w:val="008D52CD"/>
    <w:rsid w:val="008D5C5F"/>
    <w:rsid w:val="008D613D"/>
    <w:rsid w:val="008D756B"/>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9AD"/>
    <w:rsid w:val="00942918"/>
    <w:rsid w:val="0095064A"/>
    <w:rsid w:val="00951A0B"/>
    <w:rsid w:val="009535B3"/>
    <w:rsid w:val="00953A36"/>
    <w:rsid w:val="00955DBA"/>
    <w:rsid w:val="00957244"/>
    <w:rsid w:val="00962CAC"/>
    <w:rsid w:val="00964BDE"/>
    <w:rsid w:val="009676D3"/>
    <w:rsid w:val="00971E24"/>
    <w:rsid w:val="0098128C"/>
    <w:rsid w:val="009813FE"/>
    <w:rsid w:val="00983DD0"/>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4AD2"/>
    <w:rsid w:val="00A72C1F"/>
    <w:rsid w:val="00A72F5E"/>
    <w:rsid w:val="00A75482"/>
    <w:rsid w:val="00A761B5"/>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4648"/>
    <w:rsid w:val="00AF4DD3"/>
    <w:rsid w:val="00AF6B78"/>
    <w:rsid w:val="00B01631"/>
    <w:rsid w:val="00B01D80"/>
    <w:rsid w:val="00B05198"/>
    <w:rsid w:val="00B0544B"/>
    <w:rsid w:val="00B06C4C"/>
    <w:rsid w:val="00B10BF5"/>
    <w:rsid w:val="00B145B5"/>
    <w:rsid w:val="00B152AC"/>
    <w:rsid w:val="00B16C8B"/>
    <w:rsid w:val="00B20969"/>
    <w:rsid w:val="00B22BE8"/>
    <w:rsid w:val="00B2356B"/>
    <w:rsid w:val="00B249F3"/>
    <w:rsid w:val="00B25B74"/>
    <w:rsid w:val="00B26B93"/>
    <w:rsid w:val="00B26C0B"/>
    <w:rsid w:val="00B27126"/>
    <w:rsid w:val="00B31D4C"/>
    <w:rsid w:val="00B32CDE"/>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65D9"/>
    <w:rsid w:val="00C87110"/>
    <w:rsid w:val="00C90813"/>
    <w:rsid w:val="00C90C2B"/>
    <w:rsid w:val="00C9582B"/>
    <w:rsid w:val="00C978FA"/>
    <w:rsid w:val="00C97E9C"/>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D6AC6"/>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17215"/>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E003D9"/>
    <w:rsid w:val="00E00C20"/>
    <w:rsid w:val="00E028F6"/>
    <w:rsid w:val="00E0753F"/>
    <w:rsid w:val="00E10BF1"/>
    <w:rsid w:val="00E11B5C"/>
    <w:rsid w:val="00E13E2B"/>
    <w:rsid w:val="00E22DB7"/>
    <w:rsid w:val="00E23C1B"/>
    <w:rsid w:val="00E24D2B"/>
    <w:rsid w:val="00E25DDC"/>
    <w:rsid w:val="00E345BF"/>
    <w:rsid w:val="00E34D59"/>
    <w:rsid w:val="00E35C78"/>
    <w:rsid w:val="00E405EA"/>
    <w:rsid w:val="00E40877"/>
    <w:rsid w:val="00E51F8B"/>
    <w:rsid w:val="00E51FCF"/>
    <w:rsid w:val="00E529D4"/>
    <w:rsid w:val="00E53839"/>
    <w:rsid w:val="00E53C18"/>
    <w:rsid w:val="00E53F41"/>
    <w:rsid w:val="00E54488"/>
    <w:rsid w:val="00E5535B"/>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3FD7"/>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8C1DC6"/>
    <w:rPr>
      <w:sz w:val="16"/>
      <w:szCs w:val="16"/>
    </w:rPr>
  </w:style>
  <w:style w:type="paragraph" w:styleId="CommentText">
    <w:name w:val="annotation text"/>
    <w:basedOn w:val="Normal"/>
    <w:link w:val="CommentTextChar"/>
    <w:uiPriority w:val="99"/>
    <w:semiHidden/>
    <w:unhideWhenUsed/>
    <w:rsid w:val="008C1DC6"/>
    <w:pPr>
      <w:spacing w:line="240" w:lineRule="auto"/>
    </w:pPr>
    <w:rPr>
      <w:szCs w:val="20"/>
    </w:rPr>
  </w:style>
  <w:style w:type="character" w:customStyle="1" w:styleId="CommentTextChar">
    <w:name w:val="Comment Text Char"/>
    <w:basedOn w:val="DefaultParagraphFont"/>
    <w:link w:val="CommentText"/>
    <w:uiPriority w:val="99"/>
    <w:semiHidden/>
    <w:rsid w:val="008C1DC6"/>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8C1DC6"/>
    <w:rPr>
      <w:b/>
      <w:bCs/>
    </w:rPr>
  </w:style>
  <w:style w:type="character" w:customStyle="1" w:styleId="CommentSubjectChar">
    <w:name w:val="Comment Subject Char"/>
    <w:basedOn w:val="CommentTextChar"/>
    <w:link w:val="CommentSubject"/>
    <w:uiPriority w:val="99"/>
    <w:semiHidden/>
    <w:rsid w:val="008C1DC6"/>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8C1DC6"/>
    <w:rPr>
      <w:sz w:val="16"/>
      <w:szCs w:val="16"/>
    </w:rPr>
  </w:style>
  <w:style w:type="paragraph" w:styleId="CommentText">
    <w:name w:val="annotation text"/>
    <w:basedOn w:val="Normal"/>
    <w:link w:val="CommentTextChar"/>
    <w:uiPriority w:val="99"/>
    <w:semiHidden/>
    <w:unhideWhenUsed/>
    <w:rsid w:val="008C1DC6"/>
    <w:pPr>
      <w:spacing w:line="240" w:lineRule="auto"/>
    </w:pPr>
    <w:rPr>
      <w:szCs w:val="20"/>
    </w:rPr>
  </w:style>
  <w:style w:type="character" w:customStyle="1" w:styleId="CommentTextChar">
    <w:name w:val="Comment Text Char"/>
    <w:basedOn w:val="DefaultParagraphFont"/>
    <w:link w:val="CommentText"/>
    <w:uiPriority w:val="99"/>
    <w:semiHidden/>
    <w:rsid w:val="008C1DC6"/>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8C1DC6"/>
    <w:rPr>
      <w:b/>
      <w:bCs/>
    </w:rPr>
  </w:style>
  <w:style w:type="character" w:customStyle="1" w:styleId="CommentSubjectChar">
    <w:name w:val="Comment Subject Char"/>
    <w:basedOn w:val="CommentTextChar"/>
    <w:link w:val="CommentSubject"/>
    <w:uiPriority w:val="99"/>
    <w:semiHidden/>
    <w:rsid w:val="008C1DC6"/>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9A35D-746C-44B2-BC18-EE2CE02B3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556</Words>
  <Characters>3268</Characters>
  <Application>Microsoft Office Word</Application>
  <DocSecurity>0</DocSecurity>
  <Lines>60</Lines>
  <Paragraphs>25</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Morin</dc:creator>
  <cp:lastModifiedBy>barrio-champeau</cp:lastModifiedBy>
  <cp:revision>5</cp:revision>
  <cp:lastPrinted>2015-08-14T09:57:00Z</cp:lastPrinted>
  <dcterms:created xsi:type="dcterms:W3CDTF">2015-08-14T09:49:00Z</dcterms:created>
  <dcterms:modified xsi:type="dcterms:W3CDTF">2015-08-14T09:57:00Z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1510135F</vt:lpwstr>
  </property>
  <property fmtid="{D5CDD505-2E9C-101B-9397-08002B2CF9AE}" pid="3" name="ODSRefJobNo">
    <vt:lpwstr>1512965F</vt:lpwstr>
  </property>
  <property fmtid="{D5CDD505-2E9C-101B-9397-08002B2CF9AE}" pid="4" name="Symbol1">
    <vt:lpwstr>ECE/TRANS/WP.15/AC.1/2015/30</vt:lpwstr>
  </property>
  <property fmtid="{D5CDD505-2E9C-101B-9397-08002B2CF9AE}" pid="5" name="Symbol2">
    <vt:lpwstr/>
  </property>
  <property fmtid="{D5CDD505-2E9C-101B-9397-08002B2CF9AE}" pid="6" name="Translator">
    <vt:lpwstr/>
  </property>
  <property fmtid="{D5CDD505-2E9C-101B-9397-08002B2CF9AE}" pid="7" name="Operator">
    <vt:lpwstr>N.Morin</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19 juin 2015</vt:lpwstr>
  </property>
  <property fmtid="{D5CDD505-2E9C-101B-9397-08002B2CF9AE}" pid="12" name="Original">
    <vt:lpwstr>anglais</vt:lpwstr>
  </property>
  <property fmtid="{D5CDD505-2E9C-101B-9397-08002B2CF9AE}" pid="13" name="Release Date">
    <vt:lpwstr>130815</vt:lpwstr>
  </property>
</Properties>
</file>